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0FE3093C"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1F1A05">
        <w:rPr>
          <w:rFonts w:asciiTheme="minorHAnsi" w:hAnsiTheme="minorHAnsi"/>
          <w:sz w:val="20"/>
        </w:rPr>
        <w:t>25 czerwca 2024</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1F1A05">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E5D71"/>
    <w:rsid w:val="001F0AE7"/>
    <w:rsid w:val="001F1A05"/>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248E2"/>
    <w:rsid w:val="00352286"/>
    <w:rsid w:val="003574CF"/>
    <w:rsid w:val="00362C6E"/>
    <w:rsid w:val="003A4FF0"/>
    <w:rsid w:val="003B5BB9"/>
    <w:rsid w:val="003B6AD5"/>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129052</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12</cp:revision>
  <cp:lastPrinted>2023-01-24T09:36:00Z</cp:lastPrinted>
  <dcterms:created xsi:type="dcterms:W3CDTF">2023-01-24T09:36:00Z</dcterms:created>
  <dcterms:modified xsi:type="dcterms:W3CDTF">2024-06-27T05:56:00Z</dcterms:modified>
</cp:coreProperties>
</file>