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9C3392A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bookmarkStart w:id="0" w:name="_Hlk513444680"/>
      <w:bookmarkStart w:id="1" w:name="_Hlk513444974"/>
      <w:r w:rsidR="00AE28E0">
        <w:rPr>
          <w:rFonts w:asciiTheme="minorHAnsi" w:hAnsiTheme="minorHAnsi"/>
          <w:sz w:val="20"/>
        </w:rPr>
        <w:t xml:space="preserve"> z dn. </w:t>
      </w:r>
      <w:r w:rsidR="000A435B">
        <w:rPr>
          <w:rFonts w:asciiTheme="minorHAnsi" w:hAnsiTheme="minorHAnsi"/>
          <w:sz w:val="20"/>
        </w:rPr>
        <w:t xml:space="preserve">26 </w:t>
      </w:r>
      <w:r w:rsidR="000E4EA8">
        <w:rPr>
          <w:rFonts w:asciiTheme="minorHAnsi" w:hAnsiTheme="minorHAnsi"/>
          <w:sz w:val="20"/>
        </w:rPr>
        <w:t>marca</w:t>
      </w:r>
      <w:r w:rsidR="000A435B">
        <w:rPr>
          <w:rFonts w:asciiTheme="minorHAnsi" w:hAnsiTheme="minorHAnsi"/>
          <w:sz w:val="20"/>
        </w:rPr>
        <w:t xml:space="preserve"> 2024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080F94B0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CABBEB1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6BCA9DC8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31EC30E2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4CDEB298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5127C745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74215698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3BB28D96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16EAC77F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7AAE042C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231AAACF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0D7F33E0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6B1273E7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090755AB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11C55BB3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65327422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5FCDED88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7D894D65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00459288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61F625DE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12C57A1D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09F3DEED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1EBA9E66" w:rsidR="00120627" w:rsidRDefault="000E4EA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67D6AAEF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11C0DD88" w:rsidR="00120627" w:rsidRDefault="000E4EA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16CFAC9F" w:rsidR="00120627" w:rsidRDefault="000E4EA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71CE1412" w:rsidR="00120627" w:rsidRDefault="000E4EA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2FE06883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23E3879C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36194816" w:rsidR="00120627" w:rsidRDefault="000E4EA8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301406DD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4F768567" w:rsidR="00120627" w:rsidRDefault="000E4EA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2269C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0E4EA8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567"/>
        <w:gridCol w:w="1842"/>
        <w:gridCol w:w="1276"/>
        <w:gridCol w:w="992"/>
        <w:gridCol w:w="1276"/>
        <w:gridCol w:w="825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56251C">
        <w:trPr>
          <w:trHeight w:val="689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25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56251C">
        <w:trPr>
          <w:cantSplit/>
          <w:trHeight w:val="1084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56251C">
        <w:trPr>
          <w:cantSplit/>
          <w:trHeight w:val="17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DBB7E5F" w14:textId="3AAB95CD" w:rsidR="00A00020" w:rsidRPr="00B270E3" w:rsidRDefault="00A00020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227 793 467,22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0BB32265" w:rsidR="00A00020" w:rsidRPr="00B270E3" w:rsidRDefault="00A0002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213 418 434,07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156DA06D" w:rsidR="00A00020" w:rsidRPr="00B270E3" w:rsidRDefault="00A0002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00020">
              <w:rPr>
                <w:rFonts w:asciiTheme="minorHAnsi" w:hAnsiTheme="minorHAnsi"/>
                <w:sz w:val="16"/>
                <w:szCs w:val="16"/>
              </w:rPr>
              <w:t>181 405 668,96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594C6403" w:rsidR="009113B2" w:rsidRPr="00B270E3" w:rsidRDefault="00071B7D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56251C">
        <w:trPr>
          <w:cantSplit/>
          <w:trHeight w:val="16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56251C">
        <w:trPr>
          <w:cantSplit/>
          <w:trHeight w:val="1686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276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56251C">
        <w:trPr>
          <w:cantSplit/>
          <w:trHeight w:val="113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56251C">
        <w:trPr>
          <w:cantSplit/>
          <w:trHeight w:val="310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56251C">
        <w:trPr>
          <w:cantSplit/>
          <w:trHeight w:val="225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66DEE845" w:rsidR="006F5D16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48 510 352,65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05110451" w:rsidR="00E61700" w:rsidRPr="00301B4E" w:rsidRDefault="00E617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61700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41DFE129" w:rsidR="002A3A15" w:rsidRPr="00301B4E" w:rsidRDefault="002A3A15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18 439 054,00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4FCA2CC0" w:rsidR="002A3A15" w:rsidRPr="00301B4E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7 758 857,16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31F63FD3" w:rsidR="002A3A15" w:rsidRPr="009B1341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6 595 028,59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07487391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1FD1518A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99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3C31DFFE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606AEA5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11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02CF9A5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53282850"/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bookmarkStart w:id="33" w:name="_Hlk153282904"/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  <w:bookmarkEnd w:id="33"/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450CCCAA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205 241 763,90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17146303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174 455 499,32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4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5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15FA1C9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14 393 648,81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1D210166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11 250 535,64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163F6E83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9 562 955,29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1A7F63DF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212F51">
              <w:rPr>
                <w:rFonts w:asciiTheme="minorHAnsi" w:hAnsiTheme="minorHAnsi"/>
                <w:sz w:val="16"/>
                <w:szCs w:val="16"/>
              </w:rPr>
              <w:t>7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6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6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2427120B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32ABF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7" w:name="_Toc111701107"/>
      <w:bookmarkStart w:id="38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7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8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9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9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40" w:name="_Toc447019219"/>
      <w:bookmarkStart w:id="41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40"/>
      <w:bookmarkEnd w:id="4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3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4" w:name="_Toc111701109"/>
      <w:bookmarkStart w:id="45" w:name="_Hlk153282932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 xml:space="preserve">- </w:t>
      </w:r>
      <w:bookmarkStart w:id="46" w:name="_Hlk153282953"/>
      <w:r w:rsidRPr="00213B4A">
        <w:rPr>
          <w:rFonts w:asciiTheme="minorHAnsi" w:hAnsiTheme="minorHAnsi"/>
          <w:b w:val="0"/>
          <w:sz w:val="24"/>
          <w:szCs w:val="24"/>
          <w:u w:val="single"/>
        </w:rPr>
        <w:t>ZIT AW</w:t>
      </w:r>
      <w:bookmarkEnd w:id="43"/>
      <w:bookmarkEnd w:id="44"/>
      <w:bookmarkEnd w:id="46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"/>
        <w:gridCol w:w="508"/>
        <w:gridCol w:w="1932"/>
        <w:gridCol w:w="1204"/>
        <w:gridCol w:w="910"/>
        <w:gridCol w:w="1217"/>
        <w:gridCol w:w="1095"/>
        <w:gridCol w:w="930"/>
        <w:gridCol w:w="488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6251C">
        <w:trPr>
          <w:trHeight w:val="689"/>
        </w:trPr>
        <w:tc>
          <w:tcPr>
            <w:tcW w:w="364" w:type="dxa"/>
            <w:vMerge w:val="restart"/>
            <w:shd w:val="clear" w:color="auto" w:fill="auto"/>
            <w:vAlign w:val="center"/>
          </w:tcPr>
          <w:bookmarkEnd w:id="45"/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30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88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6251C">
        <w:trPr>
          <w:cantSplit/>
          <w:trHeight w:val="1134"/>
        </w:trPr>
        <w:tc>
          <w:tcPr>
            <w:tcW w:w="364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8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0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56251C">
        <w:trPr>
          <w:cantSplit/>
          <w:trHeight w:val="1537"/>
        </w:trPr>
        <w:tc>
          <w:tcPr>
            <w:tcW w:w="364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7" w:name="_Hlk153283001"/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  <w:bookmarkEnd w:id="47"/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18954721" w:rsidR="00C95DA0" w:rsidRPr="00B270E3" w:rsidRDefault="00A2074C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74C">
              <w:rPr>
                <w:rFonts w:asciiTheme="minorHAnsi" w:hAnsiTheme="minorHAnsi"/>
                <w:sz w:val="16"/>
                <w:szCs w:val="16"/>
              </w:rPr>
              <w:t>145 783 379,92</w:t>
            </w: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4497E3E3" w14:textId="3078BC63" w:rsidR="00B90222" w:rsidRPr="00B270E3" w:rsidRDefault="00A2074C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74C">
              <w:rPr>
                <w:rFonts w:asciiTheme="minorHAnsi" w:hAnsiTheme="minorHAnsi"/>
                <w:bCs/>
                <w:sz w:val="16"/>
                <w:szCs w:val="16"/>
              </w:rPr>
              <w:t>110 027 546,85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2211DE35" w:rsidR="00B90222" w:rsidRPr="00B270E3" w:rsidRDefault="00A2074C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2074C">
              <w:rPr>
                <w:rFonts w:asciiTheme="minorHAnsi" w:hAnsiTheme="minorHAnsi"/>
                <w:bCs/>
                <w:sz w:val="16"/>
                <w:szCs w:val="16"/>
              </w:rPr>
              <w:t>93 523 414,82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1849D0B2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8082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9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5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5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51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8"/>
      <w:bookmarkEnd w:id="51"/>
    </w:p>
    <w:p w14:paraId="25C4D46F" w14:textId="77777777" w:rsidR="00D07AAA" w:rsidRPr="00B270E3" w:rsidRDefault="00456B11" w:rsidP="00120AEB">
      <w:pPr>
        <w:pStyle w:val="Nagwek1"/>
      </w:pPr>
      <w:bookmarkStart w:id="52" w:name="_Toc111701113"/>
      <w:r w:rsidRPr="00B270E3">
        <w:t xml:space="preserve">Działanie 8.1 </w:t>
      </w:r>
      <w:bookmarkStart w:id="53" w:name="_Hlk2769087"/>
      <w:r w:rsidR="00AD1EE0" w:rsidRPr="00B270E3">
        <w:t>Projekty powiatowych urzędów pracy</w:t>
      </w:r>
      <w:bookmarkEnd w:id="52"/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5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5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8" w:name="_Toc111701114"/>
      <w:r w:rsidRPr="00B270E3">
        <w:t xml:space="preserve">Działanie 8.2 </w:t>
      </w:r>
      <w:r w:rsidR="00AD1EE0" w:rsidRPr="00B270E3">
        <w:t>Wsparcie osób poszukujących pracy</w:t>
      </w:r>
      <w:bookmarkEnd w:id="5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9" w:name="_Toc516818632"/>
      <w:bookmarkStart w:id="60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9"/>
      <w:bookmarkEnd w:id="60"/>
    </w:p>
    <w:p w14:paraId="4DBD4863" w14:textId="77777777" w:rsidR="005F6A7C" w:rsidRPr="00B270E3" w:rsidRDefault="005F6A7C" w:rsidP="00120AEB">
      <w:pPr>
        <w:pStyle w:val="Nagwek1"/>
      </w:pPr>
      <w:bookmarkStart w:id="61" w:name="_Toc111701116"/>
      <w:r w:rsidRPr="00B270E3">
        <w:t>Działanie 9.4</w:t>
      </w:r>
      <w:r w:rsidR="00AD1EE0" w:rsidRPr="00B270E3">
        <w:t xml:space="preserve"> Wspieranie gospodarki społecznej</w:t>
      </w:r>
      <w:bookmarkEnd w:id="6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6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6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63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6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6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6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5" w:name="_Toc516818634"/>
      <w:bookmarkStart w:id="6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5"/>
      <w:bookmarkEnd w:id="66"/>
    </w:p>
    <w:p w14:paraId="07F72157" w14:textId="77777777" w:rsidR="00456B11" w:rsidRPr="00B270E3" w:rsidRDefault="00456B11" w:rsidP="00120AEB">
      <w:pPr>
        <w:pStyle w:val="Nagwek1"/>
      </w:pPr>
      <w:bookmarkStart w:id="67" w:name="_Toc111701120"/>
      <w:r w:rsidRPr="00B270E3">
        <w:t>Działanie 11.1</w:t>
      </w:r>
      <w:r w:rsidR="00EF2D6F" w:rsidRPr="00B270E3">
        <w:t xml:space="preserve"> Pomoc techniczna</w:t>
      </w:r>
      <w:bookmarkEnd w:id="6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8" w:name="_Toc111701121"/>
      <w:r w:rsidRPr="00B270E3">
        <w:t>Oś priorytetowa 1</w:t>
      </w:r>
      <w:r>
        <w:t>2 REACT EU</w:t>
      </w:r>
      <w:bookmarkEnd w:id="68"/>
    </w:p>
    <w:p w14:paraId="4C99E40A" w14:textId="263CDD75" w:rsidR="00A94D08" w:rsidRPr="00B270E3" w:rsidRDefault="00A94D08" w:rsidP="00E34758">
      <w:pPr>
        <w:pStyle w:val="Nagwek2"/>
      </w:pPr>
      <w:bookmarkStart w:id="6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70" w:name="_Toc111701123"/>
      <w:bookmarkStart w:id="71" w:name="_Hlk46137468"/>
      <w:r w:rsidRPr="00B270E3">
        <w:t>Instrumenty Finansowe w ramach RPO WD 2014-2020</w:t>
      </w:r>
      <w:bookmarkEnd w:id="7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7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7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7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73" w:name="_Toc111701124"/>
      <w:r>
        <w:rPr>
          <w:noProof/>
        </w:rPr>
        <w:t>Projekty pozakonkursowe realizowane w trybie nadzwyczajnym</w:t>
      </w:r>
      <w:bookmarkEnd w:id="7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7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7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1B7D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35B"/>
    <w:rsid w:val="000A4A3B"/>
    <w:rsid w:val="000A531A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4EA8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2F51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3A15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1A18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4A96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251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1D69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14A8"/>
    <w:rsid w:val="007342B4"/>
    <w:rsid w:val="0073482E"/>
    <w:rsid w:val="00736003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082E"/>
    <w:rsid w:val="0078291B"/>
    <w:rsid w:val="00783D26"/>
    <w:rsid w:val="007858F6"/>
    <w:rsid w:val="007867C3"/>
    <w:rsid w:val="00786ED5"/>
    <w:rsid w:val="007875CD"/>
    <w:rsid w:val="00791F9A"/>
    <w:rsid w:val="00792846"/>
    <w:rsid w:val="0079630A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5EEE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252D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944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2E33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0F30"/>
    <w:rsid w:val="00931DA6"/>
    <w:rsid w:val="00931E12"/>
    <w:rsid w:val="00932ABF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020"/>
    <w:rsid w:val="00A0033E"/>
    <w:rsid w:val="00A036B1"/>
    <w:rsid w:val="00A038B8"/>
    <w:rsid w:val="00A05E72"/>
    <w:rsid w:val="00A06053"/>
    <w:rsid w:val="00A069AF"/>
    <w:rsid w:val="00A079E5"/>
    <w:rsid w:val="00A079F5"/>
    <w:rsid w:val="00A07F81"/>
    <w:rsid w:val="00A106BC"/>
    <w:rsid w:val="00A11E80"/>
    <w:rsid w:val="00A135A4"/>
    <w:rsid w:val="00A17FDD"/>
    <w:rsid w:val="00A2074C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187B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8E0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64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953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269C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15D0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A7A6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1700"/>
    <w:rsid w:val="00E64834"/>
    <w:rsid w:val="00E64F98"/>
    <w:rsid w:val="00E65F84"/>
    <w:rsid w:val="00E66115"/>
    <w:rsid w:val="00E6727D"/>
    <w:rsid w:val="00E70473"/>
    <w:rsid w:val="00E71D4F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15F50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916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66</Pages>
  <Words>13507</Words>
  <Characters>81043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21</cp:revision>
  <cp:lastPrinted>2024-02-21T06:29:00Z</cp:lastPrinted>
  <dcterms:created xsi:type="dcterms:W3CDTF">2023-12-12T13:20:00Z</dcterms:created>
  <dcterms:modified xsi:type="dcterms:W3CDTF">2024-03-27T06:57:00Z</dcterms:modified>
</cp:coreProperties>
</file>