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906D" w14:textId="77777777" w:rsidR="007F774E" w:rsidRDefault="007F774E" w:rsidP="00377F0A">
      <w:pPr>
        <w:spacing w:after="0" w:line="360" w:lineRule="auto"/>
        <w:rPr>
          <w:rFonts w:ascii="Arial" w:hAnsi="Arial" w:cs="Arial"/>
          <w:b/>
          <w:sz w:val="24"/>
          <w:szCs w:val="24"/>
        </w:rPr>
      </w:pPr>
    </w:p>
    <w:p w14:paraId="02D153C7" w14:textId="1ADE2C57" w:rsidR="007F774E" w:rsidRPr="00552C3A" w:rsidRDefault="007F774E" w:rsidP="007F774E">
      <w:pPr>
        <w:pStyle w:val="Akapitzlist"/>
        <w:spacing w:after="0"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52C3A">
        <w:rPr>
          <w:rFonts w:ascii="Arial" w:hAnsi="Arial" w:cs="Arial"/>
          <w:b/>
          <w:sz w:val="24"/>
          <w:szCs w:val="24"/>
        </w:rPr>
        <w:t xml:space="preserve">Zał. nr </w:t>
      </w:r>
      <w:r w:rsidR="003D2FA0">
        <w:rPr>
          <w:rFonts w:ascii="Arial" w:hAnsi="Arial" w:cs="Arial"/>
          <w:b/>
          <w:sz w:val="24"/>
          <w:szCs w:val="24"/>
        </w:rPr>
        <w:t>3 do Regulaminu wyboru projektów</w:t>
      </w:r>
    </w:p>
    <w:p w14:paraId="4BB85D4D" w14:textId="77777777" w:rsidR="00701F06" w:rsidRPr="00552C3A" w:rsidRDefault="00701F06" w:rsidP="007F774E">
      <w:pPr>
        <w:pStyle w:val="Akapitzlist"/>
        <w:spacing w:after="0" w:line="360" w:lineRule="auto"/>
        <w:rPr>
          <w:rFonts w:ascii="Arial" w:hAnsi="Arial" w:cs="Arial"/>
          <w:b/>
          <w:sz w:val="28"/>
          <w:szCs w:val="28"/>
        </w:rPr>
      </w:pPr>
    </w:p>
    <w:p w14:paraId="263D712F" w14:textId="12E8AA13" w:rsidR="007F2679" w:rsidRPr="00552C3A" w:rsidRDefault="00053880" w:rsidP="00377F0A">
      <w:pPr>
        <w:pStyle w:val="Akapitzlist"/>
        <w:numPr>
          <w:ilvl w:val="0"/>
          <w:numId w:val="6"/>
        </w:numPr>
        <w:spacing w:after="0" w:line="360" w:lineRule="auto"/>
        <w:rPr>
          <w:rFonts w:ascii="Arial" w:hAnsi="Arial" w:cs="Arial"/>
          <w:b/>
          <w:sz w:val="24"/>
          <w:szCs w:val="24"/>
        </w:rPr>
      </w:pPr>
      <w:r w:rsidRPr="00552C3A">
        <w:rPr>
          <w:rFonts w:ascii="Arial" w:hAnsi="Arial" w:cs="Arial"/>
          <w:b/>
          <w:sz w:val="24"/>
          <w:szCs w:val="24"/>
        </w:rPr>
        <w:t>W</w:t>
      </w:r>
      <w:r w:rsidR="00BB5D33" w:rsidRPr="00552C3A">
        <w:rPr>
          <w:rFonts w:ascii="Arial" w:hAnsi="Arial" w:cs="Arial"/>
          <w:b/>
          <w:sz w:val="24"/>
          <w:szCs w:val="24"/>
        </w:rPr>
        <w:t xml:space="preserve">skaźniki mierzone we wszystkich celach szczegółowych </w:t>
      </w:r>
    </w:p>
    <w:tbl>
      <w:tblPr>
        <w:tblStyle w:val="Tabela-Siatka"/>
        <w:tblW w:w="0" w:type="auto"/>
        <w:tblLook w:val="04A0" w:firstRow="1" w:lastRow="0" w:firstColumn="1" w:lastColumn="0" w:noHBand="0" w:noVBand="1"/>
      </w:tblPr>
      <w:tblGrid>
        <w:gridCol w:w="1413"/>
        <w:gridCol w:w="2268"/>
        <w:gridCol w:w="4111"/>
        <w:gridCol w:w="6202"/>
      </w:tblGrid>
      <w:tr w:rsidR="00BD0662" w:rsidRPr="00552C3A" w14:paraId="3F56D192" w14:textId="77777777" w:rsidTr="00BD0662">
        <w:tc>
          <w:tcPr>
            <w:tcW w:w="1413" w:type="dxa"/>
          </w:tcPr>
          <w:p w14:paraId="5DE7CA69" w14:textId="61F10DAE" w:rsidR="00BD0662" w:rsidRPr="00552C3A" w:rsidRDefault="00BD0662" w:rsidP="00D70895">
            <w:pPr>
              <w:spacing w:line="360" w:lineRule="auto"/>
              <w:rPr>
                <w:rFonts w:ascii="Arial" w:hAnsi="Arial" w:cs="Arial"/>
                <w:b/>
                <w:sz w:val="24"/>
                <w:szCs w:val="24"/>
              </w:rPr>
            </w:pPr>
            <w:r w:rsidRPr="00552C3A">
              <w:rPr>
                <w:rFonts w:ascii="Arial" w:hAnsi="Arial" w:cs="Arial"/>
                <w:b/>
                <w:sz w:val="24"/>
                <w:szCs w:val="24"/>
              </w:rPr>
              <w:t>Kod wskaźnika</w:t>
            </w:r>
          </w:p>
        </w:tc>
        <w:tc>
          <w:tcPr>
            <w:tcW w:w="2268" w:type="dxa"/>
          </w:tcPr>
          <w:p w14:paraId="204D0EEA" w14:textId="3B7AF6A2" w:rsidR="00BD0662" w:rsidRPr="00552C3A" w:rsidRDefault="00BD0662" w:rsidP="00D70895">
            <w:pPr>
              <w:spacing w:line="360" w:lineRule="auto"/>
              <w:rPr>
                <w:rFonts w:ascii="Arial" w:hAnsi="Arial" w:cs="Arial"/>
                <w:b/>
                <w:sz w:val="24"/>
                <w:szCs w:val="24"/>
              </w:rPr>
            </w:pPr>
            <w:r w:rsidRPr="00552C3A">
              <w:rPr>
                <w:rFonts w:ascii="Arial" w:hAnsi="Arial" w:cs="Arial"/>
                <w:b/>
                <w:sz w:val="24"/>
                <w:szCs w:val="24"/>
              </w:rPr>
              <w:t>Rodzaj wskaźnika</w:t>
            </w:r>
          </w:p>
        </w:tc>
        <w:tc>
          <w:tcPr>
            <w:tcW w:w="4111" w:type="dxa"/>
          </w:tcPr>
          <w:p w14:paraId="4741E8A5" w14:textId="1D668CDB" w:rsidR="00BD0662" w:rsidRPr="00552C3A" w:rsidRDefault="00BD0662" w:rsidP="00D70895">
            <w:pPr>
              <w:spacing w:line="360" w:lineRule="auto"/>
              <w:rPr>
                <w:rFonts w:ascii="Arial" w:hAnsi="Arial" w:cs="Arial"/>
                <w:b/>
                <w:sz w:val="24"/>
                <w:szCs w:val="24"/>
              </w:rPr>
            </w:pPr>
            <w:r w:rsidRPr="00552C3A">
              <w:rPr>
                <w:rFonts w:ascii="Arial" w:hAnsi="Arial" w:cs="Arial"/>
                <w:b/>
                <w:sz w:val="24"/>
                <w:szCs w:val="24"/>
              </w:rPr>
              <w:t>Nazwa wskaźnika (jednostka miary)</w:t>
            </w:r>
          </w:p>
        </w:tc>
        <w:tc>
          <w:tcPr>
            <w:tcW w:w="6202" w:type="dxa"/>
          </w:tcPr>
          <w:p w14:paraId="4686E047" w14:textId="2E39983F" w:rsidR="00BD0662" w:rsidRPr="00552C3A" w:rsidRDefault="00BD0662" w:rsidP="00D70895">
            <w:pPr>
              <w:spacing w:line="360" w:lineRule="auto"/>
              <w:rPr>
                <w:rFonts w:ascii="Arial" w:hAnsi="Arial" w:cs="Arial"/>
                <w:b/>
                <w:sz w:val="24"/>
                <w:szCs w:val="24"/>
              </w:rPr>
            </w:pPr>
            <w:r w:rsidRPr="00552C3A">
              <w:rPr>
                <w:rFonts w:ascii="Arial" w:hAnsi="Arial" w:cs="Arial"/>
                <w:b/>
                <w:sz w:val="24"/>
                <w:szCs w:val="24"/>
              </w:rPr>
              <w:t>Definicja operacyjna/kontekst prawny</w:t>
            </w:r>
          </w:p>
        </w:tc>
      </w:tr>
      <w:tr w:rsidR="00BD0662" w:rsidRPr="00552C3A" w14:paraId="0B0DD443" w14:textId="77777777" w:rsidTr="00BD0662">
        <w:tc>
          <w:tcPr>
            <w:tcW w:w="1413" w:type="dxa"/>
          </w:tcPr>
          <w:p w14:paraId="00B29659" w14:textId="0D886851" w:rsidR="00BD0662" w:rsidRPr="00552C3A" w:rsidRDefault="00BD0662" w:rsidP="00D70895">
            <w:pPr>
              <w:spacing w:line="360" w:lineRule="auto"/>
              <w:rPr>
                <w:rFonts w:ascii="Arial" w:hAnsi="Arial" w:cs="Arial"/>
                <w:b/>
                <w:sz w:val="24"/>
                <w:szCs w:val="24"/>
              </w:rPr>
            </w:pPr>
            <w:r w:rsidRPr="00552C3A">
              <w:rPr>
                <w:rFonts w:ascii="Arial" w:hAnsi="Arial" w:cs="Arial"/>
                <w:b/>
                <w:sz w:val="24"/>
                <w:szCs w:val="24"/>
              </w:rPr>
              <w:t>PL0CO01</w:t>
            </w:r>
          </w:p>
        </w:tc>
        <w:tc>
          <w:tcPr>
            <w:tcW w:w="2268" w:type="dxa"/>
          </w:tcPr>
          <w:p w14:paraId="5E3E92AC" w14:textId="4B35F028" w:rsidR="00BD0662" w:rsidRPr="00552C3A" w:rsidRDefault="00BD0662" w:rsidP="00D70895">
            <w:pPr>
              <w:spacing w:line="360" w:lineRule="auto"/>
              <w:rPr>
                <w:rFonts w:ascii="Arial" w:hAnsi="Arial" w:cs="Arial"/>
                <w:b/>
                <w:sz w:val="24"/>
                <w:szCs w:val="24"/>
              </w:rPr>
            </w:pPr>
            <w:r w:rsidRPr="00552C3A">
              <w:rPr>
                <w:rFonts w:ascii="Arial" w:hAnsi="Arial" w:cs="Arial"/>
                <w:sz w:val="24"/>
                <w:szCs w:val="24"/>
              </w:rPr>
              <w:t xml:space="preserve">Wskaźnik produktu  </w:t>
            </w:r>
          </w:p>
        </w:tc>
        <w:tc>
          <w:tcPr>
            <w:tcW w:w="4111" w:type="dxa"/>
          </w:tcPr>
          <w:p w14:paraId="218DAF1F" w14:textId="1F20C607" w:rsidR="00BD0662" w:rsidRPr="00552C3A" w:rsidRDefault="00BD0662" w:rsidP="00D70895">
            <w:pPr>
              <w:spacing w:line="360" w:lineRule="auto"/>
              <w:rPr>
                <w:rFonts w:ascii="Arial" w:hAnsi="Arial" w:cs="Arial"/>
                <w:b/>
                <w:sz w:val="24"/>
                <w:szCs w:val="24"/>
              </w:rPr>
            </w:pPr>
            <w:r w:rsidRPr="00552C3A">
              <w:rPr>
                <w:rFonts w:ascii="Arial" w:hAnsi="Arial" w:cs="Arial"/>
                <w:sz w:val="24"/>
                <w:szCs w:val="24"/>
              </w:rPr>
              <w:t>Liczba projektów, w których sfinansowano koszty racjonalnych usprawnień dla osób z niepełnosprawnościami (sztuki)</w:t>
            </w:r>
          </w:p>
        </w:tc>
        <w:tc>
          <w:tcPr>
            <w:tcW w:w="6202" w:type="dxa"/>
          </w:tcPr>
          <w:p w14:paraId="3ABDCBBE" w14:textId="77777777" w:rsidR="00BD0662" w:rsidRPr="00552C3A" w:rsidRDefault="00BD0662" w:rsidP="00BD0662">
            <w:pPr>
              <w:spacing w:before="120" w:line="360" w:lineRule="auto"/>
              <w:rPr>
                <w:rFonts w:ascii="Arial" w:hAnsi="Arial" w:cs="Arial"/>
                <w:sz w:val="24"/>
                <w:szCs w:val="24"/>
              </w:rPr>
            </w:pPr>
            <w:r w:rsidRPr="00552C3A">
              <w:rPr>
                <w:rFonts w:ascii="Arial" w:hAnsi="Arial" w:cs="Arial"/>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E3E00DB" w14:textId="77777777" w:rsidR="00BD0662" w:rsidRPr="00552C3A" w:rsidRDefault="00BD0662" w:rsidP="00BD0662">
            <w:pPr>
              <w:spacing w:before="120" w:line="360" w:lineRule="auto"/>
              <w:rPr>
                <w:rFonts w:ascii="Arial" w:hAnsi="Arial" w:cs="Arial"/>
                <w:sz w:val="24"/>
                <w:szCs w:val="24"/>
              </w:rPr>
            </w:pPr>
            <w:r w:rsidRPr="00552C3A">
              <w:rPr>
                <w:rFonts w:ascii="Arial" w:hAnsi="Arial" w:cs="Arial"/>
                <w:sz w:val="24"/>
                <w:szCs w:val="24"/>
              </w:rPr>
              <w:t>Wskaźnik mierzony w momencie rozliczenia wydatku związanego z racjonalnymi usprawnieniami w ramach danego projektu.</w:t>
            </w:r>
          </w:p>
          <w:p w14:paraId="4BB39A50" w14:textId="77777777" w:rsidR="00BD0662" w:rsidRPr="00552C3A" w:rsidRDefault="00BD0662" w:rsidP="00BD0662">
            <w:pPr>
              <w:spacing w:before="120" w:line="360" w:lineRule="auto"/>
              <w:rPr>
                <w:rFonts w:ascii="Arial" w:hAnsi="Arial" w:cs="Arial"/>
                <w:sz w:val="24"/>
                <w:szCs w:val="24"/>
              </w:rPr>
            </w:pPr>
            <w:r w:rsidRPr="00552C3A">
              <w:rPr>
                <w:rFonts w:ascii="Arial" w:hAnsi="Arial" w:cs="Arial"/>
                <w:sz w:val="24"/>
                <w:szCs w:val="24"/>
              </w:rPr>
              <w:lastRenderedPageBreak/>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4433D737" w14:textId="77777777" w:rsidR="00BD0662" w:rsidRPr="00552C3A" w:rsidRDefault="00BD0662" w:rsidP="00BD0662">
            <w:pPr>
              <w:spacing w:before="120" w:line="360" w:lineRule="auto"/>
              <w:rPr>
                <w:rFonts w:ascii="Arial" w:hAnsi="Arial" w:cs="Arial"/>
                <w:sz w:val="24"/>
                <w:szCs w:val="24"/>
              </w:rPr>
            </w:pPr>
            <w:r w:rsidRPr="00552C3A">
              <w:rPr>
                <w:rFonts w:ascii="Arial" w:hAnsi="Arial" w:cs="Arial"/>
                <w:sz w:val="24"/>
                <w:szCs w:val="24"/>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13D41EE4" w14:textId="77777777" w:rsidR="00BD0662" w:rsidRPr="00552C3A" w:rsidRDefault="00BD0662" w:rsidP="00BD0662">
            <w:pPr>
              <w:spacing w:before="120" w:line="360" w:lineRule="auto"/>
              <w:rPr>
                <w:rFonts w:ascii="Arial" w:hAnsi="Arial" w:cs="Arial"/>
                <w:sz w:val="24"/>
                <w:szCs w:val="24"/>
              </w:rPr>
            </w:pPr>
            <w:r w:rsidRPr="00552C3A">
              <w:rPr>
                <w:rFonts w:ascii="Arial" w:hAnsi="Arial" w:cs="Arial"/>
                <w:sz w:val="24"/>
                <w:szCs w:val="24"/>
              </w:rPr>
              <w:t xml:space="preserve">Na poziomie projektu wskaźnik może przyjmować maksymalną wartość 1 - co oznacza jeden projekt, w którym sfinansowano koszty racjonalnych usprawnień dla osób z niepełnosprawnościami. Liczba sfinansowanych racjonalnych usprawnień, w ramach </w:t>
            </w:r>
            <w:r w:rsidRPr="00552C3A">
              <w:rPr>
                <w:rFonts w:ascii="Arial" w:hAnsi="Arial" w:cs="Arial"/>
                <w:sz w:val="24"/>
                <w:szCs w:val="24"/>
              </w:rPr>
              <w:lastRenderedPageBreak/>
              <w:t>projektu, nie ma znaczenia dla wartości wykazywanej we wskaźniku.</w:t>
            </w:r>
          </w:p>
          <w:p w14:paraId="53840703" w14:textId="17D1A2F3" w:rsidR="00BD0662" w:rsidRPr="00552C3A" w:rsidRDefault="00BD0662" w:rsidP="00BD0662">
            <w:pPr>
              <w:spacing w:line="360" w:lineRule="auto"/>
              <w:rPr>
                <w:rFonts w:ascii="Arial" w:hAnsi="Arial" w:cs="Arial"/>
                <w:sz w:val="24"/>
                <w:szCs w:val="24"/>
              </w:rPr>
            </w:pPr>
            <w:r w:rsidRPr="00552C3A">
              <w:rPr>
                <w:rFonts w:ascii="Arial" w:hAnsi="Arial" w:cs="Arial"/>
                <w:sz w:val="24"/>
                <w:szCs w:val="24"/>
              </w:rPr>
              <w:t>Definicja na podstawie: Wytyczne w zakresie realizacji zasad równościowych w ramach funduszy unijnych na lata 2021-2027.</w:t>
            </w:r>
          </w:p>
        </w:tc>
      </w:tr>
      <w:tr w:rsidR="00BD0662" w:rsidRPr="00552C3A" w14:paraId="19F0D5ED" w14:textId="77777777" w:rsidTr="00BD0662">
        <w:tc>
          <w:tcPr>
            <w:tcW w:w="1413" w:type="dxa"/>
          </w:tcPr>
          <w:p w14:paraId="2C94BD79" w14:textId="60650B75" w:rsidR="00BD0662" w:rsidRPr="00552C3A" w:rsidRDefault="00BD0662" w:rsidP="00D70895">
            <w:pPr>
              <w:spacing w:line="360" w:lineRule="auto"/>
              <w:rPr>
                <w:rFonts w:ascii="Arial" w:hAnsi="Arial" w:cs="Arial"/>
                <w:b/>
                <w:sz w:val="24"/>
                <w:szCs w:val="24"/>
              </w:rPr>
            </w:pPr>
            <w:r w:rsidRPr="00552C3A">
              <w:rPr>
                <w:rFonts w:ascii="Arial" w:hAnsi="Arial" w:cs="Arial"/>
                <w:b/>
                <w:sz w:val="24"/>
                <w:szCs w:val="24"/>
              </w:rPr>
              <w:lastRenderedPageBreak/>
              <w:t>PL0CO02</w:t>
            </w:r>
          </w:p>
        </w:tc>
        <w:tc>
          <w:tcPr>
            <w:tcW w:w="2268" w:type="dxa"/>
          </w:tcPr>
          <w:p w14:paraId="61358819" w14:textId="5A44E3F2" w:rsidR="00BD0662" w:rsidRPr="00552C3A" w:rsidRDefault="00BD0662" w:rsidP="00D70895">
            <w:pPr>
              <w:spacing w:line="360" w:lineRule="auto"/>
              <w:rPr>
                <w:rFonts w:ascii="Arial" w:hAnsi="Arial" w:cs="Arial"/>
                <w:sz w:val="24"/>
                <w:szCs w:val="24"/>
              </w:rPr>
            </w:pPr>
            <w:r w:rsidRPr="00552C3A">
              <w:rPr>
                <w:rFonts w:ascii="Arial" w:hAnsi="Arial" w:cs="Arial"/>
                <w:sz w:val="24"/>
                <w:szCs w:val="24"/>
              </w:rPr>
              <w:t>Wskaźnik produktu</w:t>
            </w:r>
          </w:p>
        </w:tc>
        <w:tc>
          <w:tcPr>
            <w:tcW w:w="4111" w:type="dxa"/>
          </w:tcPr>
          <w:p w14:paraId="5DB30950" w14:textId="76DF0851" w:rsidR="00BD0662" w:rsidRPr="00552C3A" w:rsidRDefault="00BD0662" w:rsidP="00D70895">
            <w:pPr>
              <w:spacing w:line="360" w:lineRule="auto"/>
              <w:rPr>
                <w:rFonts w:ascii="Arial" w:hAnsi="Arial" w:cs="Arial"/>
                <w:sz w:val="24"/>
                <w:szCs w:val="24"/>
              </w:rPr>
            </w:pPr>
            <w:r w:rsidRPr="00552C3A">
              <w:rPr>
                <w:rFonts w:ascii="Arial" w:hAnsi="Arial" w:cs="Arial"/>
                <w:sz w:val="24"/>
                <w:szCs w:val="24"/>
              </w:rPr>
              <w:t>Liczba obiektów dostosowanych do potrzeb osób z niepełnosprawnościami (sztuki)</w:t>
            </w:r>
          </w:p>
        </w:tc>
        <w:tc>
          <w:tcPr>
            <w:tcW w:w="6202" w:type="dxa"/>
          </w:tcPr>
          <w:p w14:paraId="6BEAEB61" w14:textId="352CE8D8" w:rsidR="00BD0662" w:rsidRPr="00552C3A" w:rsidRDefault="00BD0662" w:rsidP="00D70895">
            <w:pPr>
              <w:spacing w:line="360" w:lineRule="auto"/>
              <w:rPr>
                <w:rFonts w:ascii="Arial" w:hAnsi="Arial" w:cs="Arial"/>
                <w:sz w:val="24"/>
                <w:szCs w:val="24"/>
              </w:rPr>
            </w:pPr>
            <w:r w:rsidRPr="00552C3A">
              <w:rPr>
                <w:rFonts w:ascii="Arial" w:hAnsi="Arial" w:cs="Arial"/>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16ED8482" w14:textId="77777777" w:rsidR="00C95A8A" w:rsidRPr="00552C3A" w:rsidRDefault="00C95A8A" w:rsidP="00D70895">
            <w:pPr>
              <w:spacing w:line="360" w:lineRule="auto"/>
              <w:rPr>
                <w:rFonts w:ascii="Arial" w:hAnsi="Arial" w:cs="Arial"/>
                <w:sz w:val="24"/>
                <w:szCs w:val="24"/>
              </w:rPr>
            </w:pPr>
          </w:p>
          <w:p w14:paraId="5461D68C" w14:textId="77777777" w:rsidR="00BD0662" w:rsidRPr="00552C3A" w:rsidRDefault="00BD0662" w:rsidP="00BD0662">
            <w:pPr>
              <w:spacing w:line="360" w:lineRule="auto"/>
              <w:rPr>
                <w:rFonts w:ascii="Arial" w:hAnsi="Arial" w:cs="Arial"/>
                <w:sz w:val="24"/>
                <w:szCs w:val="24"/>
              </w:rPr>
            </w:pPr>
            <w:r w:rsidRPr="00552C3A">
              <w:rPr>
                <w:rFonts w:ascii="Arial" w:hAnsi="Arial" w:cs="Arial"/>
                <w:sz w:val="24"/>
                <w:szCs w:val="24"/>
              </w:rPr>
              <w:t>Jako obiekty należy rozumieć konstrukcje połączone z gruntem w sposób trwały, wykonane z materiałów budowlanych i elementów składowych, będące wynikiem prac budowlanych (wg. def. PKOB).</w:t>
            </w:r>
          </w:p>
          <w:p w14:paraId="48708B5B" w14:textId="31012121" w:rsidR="00BD0662" w:rsidRPr="00552C3A" w:rsidRDefault="00BD0662" w:rsidP="00BD0662">
            <w:pPr>
              <w:spacing w:line="360" w:lineRule="auto"/>
              <w:rPr>
                <w:rFonts w:ascii="Arial" w:hAnsi="Arial" w:cs="Arial"/>
                <w:sz w:val="24"/>
                <w:szCs w:val="24"/>
              </w:rPr>
            </w:pPr>
            <w:r w:rsidRPr="00552C3A">
              <w:rPr>
                <w:rFonts w:ascii="Arial" w:hAnsi="Arial" w:cs="Arial"/>
                <w:sz w:val="24"/>
                <w:szCs w:val="24"/>
              </w:rPr>
              <w:t xml:space="preserve">Należy podać liczbę obiektów, a nie sprzętów, urządzeń itp., w które obiekty zaopatrzono. Jeśli instytucja, zakład </w:t>
            </w:r>
            <w:r w:rsidRPr="00552C3A">
              <w:rPr>
                <w:rFonts w:ascii="Arial" w:hAnsi="Arial" w:cs="Arial"/>
                <w:sz w:val="24"/>
                <w:szCs w:val="24"/>
              </w:rPr>
              <w:lastRenderedPageBreak/>
              <w:t xml:space="preserve">itp. składa się z kilku obiektów, należy zliczyć wszystkie, które dostosowano do potrzeb osób z niepełnosprawnościami. </w:t>
            </w:r>
          </w:p>
          <w:p w14:paraId="1360C7C8" w14:textId="77777777" w:rsidR="00C95A8A" w:rsidRPr="00552C3A" w:rsidRDefault="00C95A8A" w:rsidP="00BD0662">
            <w:pPr>
              <w:spacing w:line="360" w:lineRule="auto"/>
              <w:rPr>
                <w:rFonts w:ascii="Arial" w:hAnsi="Arial" w:cs="Arial"/>
                <w:sz w:val="24"/>
                <w:szCs w:val="24"/>
              </w:rPr>
            </w:pPr>
          </w:p>
          <w:p w14:paraId="387920EC" w14:textId="0E1E5923" w:rsidR="00BD0662" w:rsidRPr="00552C3A" w:rsidRDefault="00BD0662" w:rsidP="00D70895">
            <w:pPr>
              <w:spacing w:line="360" w:lineRule="auto"/>
              <w:rPr>
                <w:rFonts w:ascii="Arial" w:hAnsi="Arial" w:cs="Arial"/>
                <w:b/>
                <w:sz w:val="24"/>
                <w:szCs w:val="24"/>
              </w:rPr>
            </w:pPr>
            <w:r w:rsidRPr="00552C3A">
              <w:rPr>
                <w:rFonts w:ascii="Arial" w:hAnsi="Arial" w:cs="Arial"/>
                <w:sz w:val="24"/>
                <w:szCs w:val="24"/>
              </w:rPr>
              <w:t>Wskaźnik mierzony w momencie rozliczenia wydatku związanego z wyposażeniem obiektów w rozwiązania służące osobom z niepełnosprawnościami w ramach danego projektu.</w:t>
            </w:r>
          </w:p>
        </w:tc>
      </w:tr>
    </w:tbl>
    <w:p w14:paraId="02E438DC" w14:textId="77777777" w:rsidR="00972855" w:rsidRPr="00552C3A" w:rsidRDefault="00972855" w:rsidP="00972855">
      <w:pPr>
        <w:pStyle w:val="Akapitzlist"/>
        <w:spacing w:after="0" w:line="360" w:lineRule="auto"/>
        <w:rPr>
          <w:rFonts w:ascii="Arial" w:hAnsi="Arial" w:cs="Arial"/>
          <w:b/>
          <w:sz w:val="24"/>
          <w:szCs w:val="24"/>
        </w:rPr>
      </w:pPr>
    </w:p>
    <w:p w14:paraId="0D20BFA5" w14:textId="1EADC63D" w:rsidR="000C13A5" w:rsidRPr="00552C3A" w:rsidRDefault="000C13A5" w:rsidP="00377F0A">
      <w:pPr>
        <w:pStyle w:val="Akapitzlist"/>
        <w:numPr>
          <w:ilvl w:val="0"/>
          <w:numId w:val="6"/>
        </w:numPr>
        <w:spacing w:after="0" w:line="360" w:lineRule="auto"/>
        <w:rPr>
          <w:rFonts w:ascii="Arial" w:hAnsi="Arial" w:cs="Arial"/>
          <w:b/>
          <w:sz w:val="24"/>
          <w:szCs w:val="24"/>
        </w:rPr>
      </w:pPr>
      <w:r w:rsidRPr="00552C3A">
        <w:rPr>
          <w:rFonts w:ascii="Arial" w:hAnsi="Arial" w:cs="Arial"/>
          <w:b/>
          <w:sz w:val="24"/>
          <w:szCs w:val="24"/>
        </w:rPr>
        <w:t xml:space="preserve">Wskaźniki </w:t>
      </w:r>
      <w:r w:rsidR="00FB7E7B" w:rsidRPr="00552C3A">
        <w:rPr>
          <w:rFonts w:ascii="Arial" w:hAnsi="Arial" w:cs="Arial"/>
          <w:b/>
          <w:sz w:val="24"/>
          <w:szCs w:val="24"/>
        </w:rPr>
        <w:t>produktu i rezultatu</w:t>
      </w:r>
    </w:p>
    <w:tbl>
      <w:tblPr>
        <w:tblStyle w:val="Tabela-Siatka"/>
        <w:tblW w:w="0" w:type="auto"/>
        <w:tblLook w:val="04A0" w:firstRow="1" w:lastRow="0" w:firstColumn="1" w:lastColumn="0" w:noHBand="0" w:noVBand="1"/>
      </w:tblPr>
      <w:tblGrid>
        <w:gridCol w:w="1564"/>
        <w:gridCol w:w="2260"/>
        <w:gridCol w:w="3982"/>
        <w:gridCol w:w="6188"/>
      </w:tblGrid>
      <w:tr w:rsidR="00BA051D" w:rsidRPr="00552C3A" w14:paraId="6D46AEED" w14:textId="77777777" w:rsidTr="0012055F">
        <w:tc>
          <w:tcPr>
            <w:tcW w:w="13994" w:type="dxa"/>
            <w:gridSpan w:val="4"/>
          </w:tcPr>
          <w:p w14:paraId="3AFBE9D7" w14:textId="4BF610C2" w:rsidR="00BA051D" w:rsidRPr="00552C3A" w:rsidRDefault="00BA051D" w:rsidP="00D70895">
            <w:pPr>
              <w:spacing w:line="360" w:lineRule="auto"/>
              <w:rPr>
                <w:rFonts w:ascii="Arial" w:hAnsi="Arial" w:cs="Arial"/>
                <w:b/>
                <w:sz w:val="24"/>
                <w:szCs w:val="24"/>
              </w:rPr>
            </w:pPr>
            <w:r w:rsidRPr="00552C3A">
              <w:rPr>
                <w:rFonts w:ascii="Arial" w:hAnsi="Arial" w:cs="Arial"/>
                <w:b/>
                <w:sz w:val="24"/>
                <w:szCs w:val="24"/>
              </w:rPr>
              <w:t>2.1 Wskaźniki produktu</w:t>
            </w:r>
          </w:p>
        </w:tc>
      </w:tr>
      <w:tr w:rsidR="00BA051D" w:rsidRPr="00552C3A" w14:paraId="67384740" w14:textId="77777777" w:rsidTr="00811621">
        <w:tc>
          <w:tcPr>
            <w:tcW w:w="1564" w:type="dxa"/>
          </w:tcPr>
          <w:p w14:paraId="13CF3405" w14:textId="41CFAFD4" w:rsidR="00BA051D" w:rsidRPr="00552C3A" w:rsidRDefault="00BA051D" w:rsidP="00D70895">
            <w:pPr>
              <w:spacing w:line="360" w:lineRule="auto"/>
              <w:rPr>
                <w:rFonts w:ascii="Arial" w:hAnsi="Arial" w:cs="Arial"/>
                <w:b/>
                <w:sz w:val="24"/>
                <w:szCs w:val="24"/>
              </w:rPr>
            </w:pPr>
            <w:r w:rsidRPr="00552C3A">
              <w:rPr>
                <w:rFonts w:ascii="Arial" w:hAnsi="Arial" w:cs="Arial"/>
                <w:b/>
                <w:sz w:val="24"/>
                <w:szCs w:val="24"/>
              </w:rPr>
              <w:t>Kod wskaźnika</w:t>
            </w:r>
          </w:p>
        </w:tc>
        <w:tc>
          <w:tcPr>
            <w:tcW w:w="2260" w:type="dxa"/>
          </w:tcPr>
          <w:p w14:paraId="0F0B56FF" w14:textId="6AF3C9AB" w:rsidR="00BA051D" w:rsidRPr="00552C3A" w:rsidRDefault="00BA051D" w:rsidP="00D70895">
            <w:pPr>
              <w:spacing w:line="360" w:lineRule="auto"/>
              <w:rPr>
                <w:rFonts w:ascii="Arial" w:hAnsi="Arial" w:cs="Arial"/>
                <w:b/>
                <w:sz w:val="24"/>
                <w:szCs w:val="24"/>
              </w:rPr>
            </w:pPr>
            <w:r w:rsidRPr="00552C3A">
              <w:rPr>
                <w:rFonts w:ascii="Arial" w:hAnsi="Arial" w:cs="Arial"/>
                <w:b/>
                <w:sz w:val="24"/>
                <w:szCs w:val="24"/>
              </w:rPr>
              <w:t>Rodzaj wskaźnika</w:t>
            </w:r>
          </w:p>
        </w:tc>
        <w:tc>
          <w:tcPr>
            <w:tcW w:w="3982" w:type="dxa"/>
          </w:tcPr>
          <w:p w14:paraId="41152A6F" w14:textId="615C2E57" w:rsidR="00BA051D" w:rsidRPr="00552C3A" w:rsidRDefault="00BA051D" w:rsidP="00D70895">
            <w:pPr>
              <w:spacing w:line="360" w:lineRule="auto"/>
              <w:rPr>
                <w:rFonts w:ascii="Arial" w:hAnsi="Arial" w:cs="Arial"/>
                <w:b/>
                <w:sz w:val="24"/>
                <w:szCs w:val="24"/>
              </w:rPr>
            </w:pPr>
            <w:r w:rsidRPr="00552C3A">
              <w:rPr>
                <w:rFonts w:ascii="Arial" w:hAnsi="Arial" w:cs="Arial"/>
                <w:b/>
                <w:sz w:val="24"/>
                <w:szCs w:val="24"/>
              </w:rPr>
              <w:t>Nazwa wskaźnika (jednostka miary)</w:t>
            </w:r>
          </w:p>
        </w:tc>
        <w:tc>
          <w:tcPr>
            <w:tcW w:w="6188" w:type="dxa"/>
          </w:tcPr>
          <w:p w14:paraId="6409CE32" w14:textId="5E75F435" w:rsidR="00BA051D" w:rsidRPr="00552C3A" w:rsidRDefault="00BA051D" w:rsidP="00D70895">
            <w:pPr>
              <w:spacing w:line="360" w:lineRule="auto"/>
              <w:rPr>
                <w:rFonts w:ascii="Arial" w:hAnsi="Arial" w:cs="Arial"/>
                <w:b/>
                <w:sz w:val="24"/>
                <w:szCs w:val="24"/>
              </w:rPr>
            </w:pPr>
            <w:r w:rsidRPr="00552C3A">
              <w:rPr>
                <w:rFonts w:ascii="Arial" w:hAnsi="Arial" w:cs="Arial"/>
                <w:b/>
                <w:sz w:val="24"/>
                <w:szCs w:val="24"/>
              </w:rPr>
              <w:t>Definicja operacyjna/kontekst prawny</w:t>
            </w:r>
          </w:p>
        </w:tc>
      </w:tr>
      <w:tr w:rsidR="000C13A5" w:rsidRPr="00552C3A" w14:paraId="2BE3CDFE" w14:textId="77777777" w:rsidTr="00811621">
        <w:tc>
          <w:tcPr>
            <w:tcW w:w="1564" w:type="dxa"/>
          </w:tcPr>
          <w:p w14:paraId="41718315" w14:textId="7E7EC63B" w:rsidR="000C13A5" w:rsidRPr="00552C3A" w:rsidRDefault="00F364AF" w:rsidP="00F364AF">
            <w:pPr>
              <w:spacing w:line="360" w:lineRule="auto"/>
              <w:rPr>
                <w:rFonts w:ascii="Arial" w:hAnsi="Arial" w:cs="Arial"/>
                <w:b/>
                <w:sz w:val="24"/>
                <w:szCs w:val="24"/>
              </w:rPr>
            </w:pPr>
            <w:r w:rsidRPr="00552C3A">
              <w:rPr>
                <w:rFonts w:ascii="Arial" w:hAnsi="Arial" w:cs="Arial"/>
                <w:b/>
                <w:sz w:val="24"/>
                <w:szCs w:val="24"/>
              </w:rPr>
              <w:t>EECO02</w:t>
            </w:r>
          </w:p>
        </w:tc>
        <w:tc>
          <w:tcPr>
            <w:tcW w:w="2260" w:type="dxa"/>
          </w:tcPr>
          <w:p w14:paraId="3ABE9D23" w14:textId="62ED01F0" w:rsidR="000C13A5" w:rsidRPr="00552C3A" w:rsidRDefault="00916E36"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3D9F1FC2" w14:textId="0AAE5822" w:rsidR="000C13A5" w:rsidRPr="00552C3A" w:rsidRDefault="00F364AF" w:rsidP="006050B3">
            <w:pPr>
              <w:spacing w:line="360" w:lineRule="auto"/>
              <w:rPr>
                <w:rFonts w:ascii="Arial" w:hAnsi="Arial" w:cs="Arial"/>
                <w:sz w:val="24"/>
                <w:szCs w:val="24"/>
              </w:rPr>
            </w:pPr>
            <w:r w:rsidRPr="00552C3A">
              <w:rPr>
                <w:rFonts w:ascii="Arial" w:hAnsi="Arial" w:cs="Arial"/>
                <w:sz w:val="24"/>
                <w:szCs w:val="24"/>
              </w:rPr>
              <w:t>Liczba osób bezrobotnych, w tym długotrwale bezrobotnych, objętych wsparciem w programie (osoby)</w:t>
            </w:r>
          </w:p>
        </w:tc>
        <w:tc>
          <w:tcPr>
            <w:tcW w:w="6188" w:type="dxa"/>
          </w:tcPr>
          <w:p w14:paraId="1895FC50" w14:textId="77777777" w:rsidR="00F364AF" w:rsidRPr="00552C3A" w:rsidRDefault="00F364AF" w:rsidP="00F364AF">
            <w:pPr>
              <w:spacing w:line="360" w:lineRule="auto"/>
              <w:rPr>
                <w:rFonts w:ascii="Arial" w:hAnsi="Arial" w:cs="Arial"/>
                <w:sz w:val="24"/>
                <w:szCs w:val="24"/>
              </w:rPr>
            </w:pPr>
            <w:r w:rsidRPr="00552C3A">
              <w:rPr>
                <w:rFonts w:ascii="Arial" w:hAnsi="Arial" w:cs="Arial"/>
                <w:sz w:val="24"/>
                <w:szCs w:val="24"/>
              </w:rPr>
              <w:t>Osoby pozostające bez pracy, gotowe do podjęcia pracy i aktywnie poszukujące zatrudnienia. Definicja ta uwzględnia wszystkie osoby zarejestrowane jako bezrobotne zgodnie z krajową definicją, nawet jeżeli nie spełniają one wszystkich trzech kryteriów wskazanych wyżej.</w:t>
            </w:r>
          </w:p>
          <w:p w14:paraId="2C80AF5B" w14:textId="7A271318" w:rsidR="00F364AF" w:rsidRPr="00552C3A" w:rsidRDefault="00F364AF" w:rsidP="00F364AF">
            <w:pPr>
              <w:spacing w:after="120" w:line="360" w:lineRule="auto"/>
              <w:rPr>
                <w:rFonts w:ascii="Arial" w:hAnsi="Arial" w:cs="Arial"/>
                <w:sz w:val="24"/>
                <w:szCs w:val="24"/>
              </w:rPr>
            </w:pPr>
            <w:r w:rsidRPr="00552C3A">
              <w:rPr>
                <w:rFonts w:ascii="Arial" w:hAnsi="Arial" w:cs="Arial"/>
                <w:sz w:val="24"/>
                <w:szCs w:val="24"/>
              </w:rPr>
              <w:lastRenderedPageBreak/>
              <w:t>Osoby kwalifikujące się do urlopu macierzyńskiego lub rodzicielskiego, które są bezrobotne w rozumieniu niniejszej definicji (nie pobierają świadczeń z tytułu urlopu), należy wykazywać również jako osoby bezrobotne.</w:t>
            </w:r>
          </w:p>
          <w:p w14:paraId="5FD3F72B" w14:textId="77777777" w:rsidR="00F364AF" w:rsidRPr="00552C3A" w:rsidRDefault="00F364AF" w:rsidP="00F364AF">
            <w:pPr>
              <w:spacing w:after="120" w:line="360" w:lineRule="auto"/>
              <w:rPr>
                <w:rFonts w:ascii="Arial" w:hAnsi="Arial" w:cs="Arial"/>
                <w:sz w:val="24"/>
                <w:szCs w:val="24"/>
              </w:rPr>
            </w:pPr>
            <w:r w:rsidRPr="00552C3A">
              <w:rPr>
                <w:rFonts w:ascii="Arial" w:hAnsi="Arial" w:cs="Arial"/>
                <w:sz w:val="24"/>
                <w:szCs w:val="24"/>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03EFD82F" w14:textId="39A15026" w:rsidR="00F364AF" w:rsidRPr="00552C3A" w:rsidRDefault="00F364AF" w:rsidP="00F364AF">
            <w:pPr>
              <w:spacing w:after="120" w:line="360" w:lineRule="auto"/>
              <w:rPr>
                <w:rFonts w:ascii="Arial" w:hAnsi="Arial" w:cs="Arial"/>
                <w:sz w:val="24"/>
                <w:szCs w:val="24"/>
              </w:rPr>
            </w:pPr>
            <w:r w:rsidRPr="00552C3A">
              <w:rPr>
                <w:rFonts w:ascii="Arial" w:hAnsi="Arial" w:cs="Arial"/>
                <w:sz w:val="24"/>
                <w:szCs w:val="24"/>
              </w:rPr>
              <w:t xml:space="preserve">Status na rynku pracy określany jest w dniu rozpoczęcia uczestnictwa w projekcie, tj. w momencie rozpoczęcia udziału w pierwszej formie wsparcia w projekcie. </w:t>
            </w:r>
          </w:p>
          <w:p w14:paraId="234533B4" w14:textId="77777777" w:rsidR="00F364AF" w:rsidRPr="00552C3A" w:rsidRDefault="00F364AF" w:rsidP="00F364AF">
            <w:pPr>
              <w:spacing w:line="360" w:lineRule="auto"/>
              <w:rPr>
                <w:rFonts w:ascii="Arial" w:hAnsi="Arial" w:cs="Arial"/>
                <w:sz w:val="24"/>
                <w:szCs w:val="24"/>
              </w:rPr>
            </w:pPr>
            <w:r w:rsidRPr="00552C3A">
              <w:rPr>
                <w:rFonts w:ascii="Arial" w:hAnsi="Arial" w:cs="Arial"/>
                <w:sz w:val="24"/>
                <w:szCs w:val="24"/>
              </w:rPr>
              <w:t>Informacje dodatkowe:</w:t>
            </w:r>
          </w:p>
          <w:p w14:paraId="3631C2BD" w14:textId="3A4C633D" w:rsidR="00F364AF" w:rsidRPr="00552C3A" w:rsidRDefault="00F364AF" w:rsidP="00F364AF">
            <w:pPr>
              <w:spacing w:after="120" w:line="360" w:lineRule="auto"/>
              <w:rPr>
                <w:rFonts w:ascii="Arial" w:hAnsi="Arial" w:cs="Arial"/>
                <w:sz w:val="24"/>
                <w:szCs w:val="24"/>
              </w:rPr>
            </w:pPr>
            <w:r w:rsidRPr="00552C3A">
              <w:rPr>
                <w:rFonts w:ascii="Arial" w:hAnsi="Arial" w:cs="Arial"/>
                <w:sz w:val="24"/>
                <w:szCs w:val="24"/>
              </w:rPr>
              <w:t xml:space="preserve">Osobę w wieku emerytalnym (w tym osobę, która osiągnęła wiek emerytalny, ale nie pobiera świadczeń emerytalnych) oraz osobę pobierającą emeryturę lub </w:t>
            </w:r>
            <w:r w:rsidRPr="00552C3A">
              <w:rPr>
                <w:rFonts w:ascii="Arial" w:hAnsi="Arial" w:cs="Arial"/>
                <w:sz w:val="24"/>
                <w:szCs w:val="24"/>
              </w:rPr>
              <w:lastRenderedPageBreak/>
              <w:t xml:space="preserve">rentę, która pozostaje bez pracy, jest gotowa do podjęcia pracy i aktywnie poszukuje zatrudnienia należy traktować jako bezrobotną. </w:t>
            </w:r>
          </w:p>
          <w:p w14:paraId="1C92195D" w14:textId="2D3C9082" w:rsidR="000C13A5" w:rsidRPr="00552C3A" w:rsidRDefault="00F364AF" w:rsidP="00F364AF">
            <w:pPr>
              <w:spacing w:line="360" w:lineRule="auto"/>
              <w:rPr>
                <w:rFonts w:ascii="Arial" w:hAnsi="Arial" w:cs="Arial"/>
                <w:sz w:val="24"/>
                <w:szCs w:val="24"/>
              </w:rPr>
            </w:pPr>
            <w:r w:rsidRPr="00552C3A">
              <w:rPr>
                <w:rFonts w:ascii="Arial" w:hAnsi="Arial" w:cs="Arial"/>
                <w:sz w:val="24"/>
                <w:szCs w:val="24"/>
              </w:rPr>
              <w:t xml:space="preserve">Definicja opracowana na podstawie: (§18) Statystyki polityki rynku pracy – metodologia 2018, Komisja Europejska, Dyrekcja Generalna ds. Zatrudnienia, Spraw Społecznych i Włączenia Społecznego.  </w:t>
            </w:r>
          </w:p>
        </w:tc>
      </w:tr>
      <w:tr w:rsidR="005011EE" w:rsidRPr="00552C3A" w14:paraId="4D8D0773" w14:textId="77777777" w:rsidTr="00811621">
        <w:tc>
          <w:tcPr>
            <w:tcW w:w="1564" w:type="dxa"/>
          </w:tcPr>
          <w:p w14:paraId="0F6C934D" w14:textId="50A88F72" w:rsidR="005011EE" w:rsidRPr="00552C3A" w:rsidRDefault="00F364AF" w:rsidP="00D70895">
            <w:pPr>
              <w:spacing w:line="360" w:lineRule="auto"/>
              <w:rPr>
                <w:rFonts w:ascii="Arial" w:hAnsi="Arial" w:cs="Arial"/>
                <w:b/>
                <w:sz w:val="24"/>
                <w:szCs w:val="24"/>
              </w:rPr>
            </w:pPr>
            <w:r w:rsidRPr="00552C3A">
              <w:rPr>
                <w:rFonts w:ascii="Arial" w:hAnsi="Arial" w:cs="Arial"/>
                <w:b/>
                <w:sz w:val="24"/>
                <w:szCs w:val="24"/>
              </w:rPr>
              <w:lastRenderedPageBreak/>
              <w:t>EECO03</w:t>
            </w:r>
          </w:p>
        </w:tc>
        <w:tc>
          <w:tcPr>
            <w:tcW w:w="2260" w:type="dxa"/>
          </w:tcPr>
          <w:p w14:paraId="535B97B6" w14:textId="57DB8604" w:rsidR="005011EE" w:rsidRPr="00552C3A" w:rsidRDefault="00F364AF"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7BD7F76E" w14:textId="45EF6DB2" w:rsidR="005011EE" w:rsidRPr="00552C3A" w:rsidRDefault="00F364AF" w:rsidP="006050B3">
            <w:pPr>
              <w:spacing w:line="360" w:lineRule="auto"/>
              <w:rPr>
                <w:rFonts w:ascii="Arial" w:hAnsi="Arial" w:cs="Arial"/>
                <w:sz w:val="24"/>
                <w:szCs w:val="24"/>
              </w:rPr>
            </w:pPr>
            <w:r w:rsidRPr="00552C3A">
              <w:rPr>
                <w:rFonts w:ascii="Arial" w:hAnsi="Arial" w:cs="Arial"/>
                <w:sz w:val="24"/>
                <w:szCs w:val="24"/>
              </w:rPr>
              <w:t>Liczba osób długotrwale bezrobotnych objętych wsparciem w programie (osoby)</w:t>
            </w:r>
          </w:p>
        </w:tc>
        <w:tc>
          <w:tcPr>
            <w:tcW w:w="6188" w:type="dxa"/>
          </w:tcPr>
          <w:p w14:paraId="34A28C19" w14:textId="68726696" w:rsidR="00F364AF" w:rsidRPr="00552C3A" w:rsidRDefault="00F364AF" w:rsidP="00F364AF">
            <w:pPr>
              <w:spacing w:after="120" w:line="360" w:lineRule="auto"/>
              <w:rPr>
                <w:rFonts w:ascii="Arial" w:eastAsia="Times New Roman" w:hAnsi="Arial" w:cs="Arial"/>
                <w:iCs/>
                <w:sz w:val="24"/>
                <w:szCs w:val="24"/>
                <w:lang w:eastAsia="pl-PL"/>
              </w:rPr>
            </w:pPr>
            <w:r w:rsidRPr="00552C3A">
              <w:rPr>
                <w:rFonts w:ascii="Arial" w:eastAsia="Times New Roman" w:hAnsi="Arial" w:cs="Arial"/>
                <w:iCs/>
                <w:sz w:val="24"/>
                <w:szCs w:val="24"/>
                <w:lang w:eastAsia="pl-PL"/>
              </w:rPr>
              <w:t xml:space="preserve">Osoby długotrwale bezrobotne to osoby bezrobotne pozostające w rejestrze powiatowego urzędu pracy przez okres ponad 12 miesięcy w okresie ostatnich 2 lat, z wyłączeniem okresów odbywania stażu i przygotowania zawodowego dorosłych. Status na rynku pracy jest określany w dniu rozpoczęcia uczestnictwa w projekcie, tj. w momencie rozpoczęcia udziału w pierwszej formie wsparcia w projekcie. </w:t>
            </w:r>
          </w:p>
          <w:p w14:paraId="273C40C2" w14:textId="03667457" w:rsidR="005011EE" w:rsidRPr="00552C3A" w:rsidRDefault="00F364AF" w:rsidP="00F364AF">
            <w:pPr>
              <w:spacing w:line="360" w:lineRule="auto"/>
              <w:rPr>
                <w:rFonts w:ascii="Arial" w:eastAsia="Times New Roman" w:hAnsi="Arial" w:cs="Arial"/>
                <w:iCs/>
                <w:sz w:val="24"/>
                <w:szCs w:val="24"/>
                <w:lang w:eastAsia="pl-PL"/>
              </w:rPr>
            </w:pPr>
            <w:r w:rsidRPr="00552C3A">
              <w:rPr>
                <w:rFonts w:ascii="Arial" w:eastAsia="Times New Roman" w:hAnsi="Arial" w:cs="Arial"/>
                <w:iCs/>
                <w:sz w:val="24"/>
                <w:szCs w:val="24"/>
                <w:lang w:eastAsia="pl-PL"/>
              </w:rPr>
              <w:t>Definicja opracowana na podstawie: ustawa z dnia 20 kwietnia 2004 r. o promocji zatrudnienia i instytucjach rynku pracy.</w:t>
            </w:r>
          </w:p>
        </w:tc>
      </w:tr>
      <w:tr w:rsidR="006A3CD1" w:rsidRPr="00552C3A" w14:paraId="37EB7CCE" w14:textId="77777777" w:rsidTr="00811621">
        <w:tc>
          <w:tcPr>
            <w:tcW w:w="1564" w:type="dxa"/>
          </w:tcPr>
          <w:p w14:paraId="7E70530E" w14:textId="51D545F4" w:rsidR="006A3CD1" w:rsidRPr="00552C3A" w:rsidRDefault="00C1242A" w:rsidP="00D70895">
            <w:pPr>
              <w:spacing w:line="360" w:lineRule="auto"/>
              <w:rPr>
                <w:rFonts w:ascii="Arial" w:hAnsi="Arial" w:cs="Arial"/>
                <w:b/>
                <w:sz w:val="24"/>
                <w:szCs w:val="24"/>
              </w:rPr>
            </w:pPr>
            <w:r w:rsidRPr="00552C3A">
              <w:rPr>
                <w:rFonts w:ascii="Arial" w:hAnsi="Arial" w:cs="Arial"/>
                <w:b/>
                <w:sz w:val="24"/>
                <w:szCs w:val="24"/>
              </w:rPr>
              <w:lastRenderedPageBreak/>
              <w:t>EECO04</w:t>
            </w:r>
          </w:p>
        </w:tc>
        <w:tc>
          <w:tcPr>
            <w:tcW w:w="2260" w:type="dxa"/>
          </w:tcPr>
          <w:p w14:paraId="362F3460" w14:textId="1A9D545B" w:rsidR="006A3CD1" w:rsidRPr="00552C3A" w:rsidRDefault="00C1242A"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4BF91D1E" w14:textId="545AFDDE" w:rsidR="006A3CD1" w:rsidRPr="00552C3A" w:rsidRDefault="00C1242A" w:rsidP="006050B3">
            <w:pPr>
              <w:spacing w:line="360" w:lineRule="auto"/>
              <w:rPr>
                <w:rFonts w:ascii="Arial" w:hAnsi="Arial" w:cs="Arial"/>
                <w:sz w:val="24"/>
                <w:szCs w:val="24"/>
              </w:rPr>
            </w:pPr>
            <w:r w:rsidRPr="00552C3A">
              <w:rPr>
                <w:rFonts w:ascii="Arial" w:hAnsi="Arial" w:cs="Arial"/>
                <w:sz w:val="24"/>
                <w:szCs w:val="24"/>
              </w:rPr>
              <w:t>Liczba osób biernych zawodowo objętych wsparciem w programie (osoby)</w:t>
            </w:r>
          </w:p>
        </w:tc>
        <w:tc>
          <w:tcPr>
            <w:tcW w:w="6188" w:type="dxa"/>
          </w:tcPr>
          <w:p w14:paraId="4D1CD8B4" w14:textId="77777777" w:rsidR="00C1242A" w:rsidRPr="00552C3A" w:rsidRDefault="00C1242A" w:rsidP="00C1242A">
            <w:pPr>
              <w:spacing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Osoby bierne zawodowo to osoby, które w danej chwili nie tworzą zasobów siły roboczej (tzn. nie są osobami pracującymi ani bezrobotnymi).</w:t>
            </w:r>
          </w:p>
          <w:p w14:paraId="66B24E13" w14:textId="77777777" w:rsidR="00C1242A" w:rsidRPr="00552C3A" w:rsidRDefault="00C1242A" w:rsidP="00C1242A">
            <w:pPr>
              <w:spacing w:line="360" w:lineRule="auto"/>
              <w:rPr>
                <w:rFonts w:ascii="Arial" w:eastAsia="Times New Roman" w:hAnsi="Arial" w:cs="Arial"/>
                <w:sz w:val="24"/>
                <w:szCs w:val="24"/>
                <w:lang w:eastAsia="pl-PL"/>
              </w:rPr>
            </w:pPr>
          </w:p>
          <w:p w14:paraId="616A2330" w14:textId="77777777" w:rsidR="00C1242A" w:rsidRPr="00552C3A" w:rsidRDefault="00C1242A" w:rsidP="00C1242A">
            <w:pPr>
              <w:spacing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Osoby pracujące definiowane są jak we wskaźniku: </w:t>
            </w:r>
            <w:r w:rsidRPr="00552C3A">
              <w:rPr>
                <w:rFonts w:ascii="Arial" w:eastAsia="Times New Roman" w:hAnsi="Arial" w:cs="Arial"/>
                <w:i/>
                <w:sz w:val="24"/>
                <w:szCs w:val="24"/>
                <w:lang w:eastAsia="pl-PL"/>
              </w:rPr>
              <w:t>liczba osób pracujących, łącznie z prowadzącymi działalność na własny rachunek, objętych wsparciem w programie (osoby).</w:t>
            </w:r>
          </w:p>
          <w:p w14:paraId="3FD4E50B" w14:textId="77777777" w:rsidR="00C1242A" w:rsidRPr="00552C3A" w:rsidRDefault="00C1242A" w:rsidP="00C1242A">
            <w:pPr>
              <w:spacing w:line="360" w:lineRule="auto"/>
              <w:rPr>
                <w:rFonts w:ascii="Arial" w:eastAsia="Times New Roman" w:hAnsi="Arial" w:cs="Arial"/>
                <w:sz w:val="24"/>
                <w:szCs w:val="24"/>
                <w:lang w:eastAsia="pl-PL"/>
              </w:rPr>
            </w:pPr>
          </w:p>
          <w:p w14:paraId="6563B375" w14:textId="77777777" w:rsidR="00C1242A" w:rsidRPr="00552C3A" w:rsidRDefault="00C1242A" w:rsidP="00C1242A">
            <w:pPr>
              <w:spacing w:line="360" w:lineRule="auto"/>
              <w:rPr>
                <w:rFonts w:ascii="Arial" w:eastAsia="Times New Roman" w:hAnsi="Arial" w:cs="Arial"/>
                <w:i/>
                <w:sz w:val="24"/>
                <w:szCs w:val="24"/>
                <w:lang w:eastAsia="pl-PL"/>
              </w:rPr>
            </w:pPr>
            <w:r w:rsidRPr="00552C3A">
              <w:rPr>
                <w:rFonts w:ascii="Arial" w:eastAsia="Times New Roman" w:hAnsi="Arial" w:cs="Arial"/>
                <w:sz w:val="24"/>
                <w:szCs w:val="24"/>
                <w:lang w:eastAsia="pl-PL"/>
              </w:rPr>
              <w:t xml:space="preserve">Osoby bezrobotne definiowane jak we wskaźniku: </w:t>
            </w:r>
            <w:r w:rsidRPr="00552C3A">
              <w:rPr>
                <w:rFonts w:ascii="Arial" w:eastAsia="Times New Roman" w:hAnsi="Arial" w:cs="Arial"/>
                <w:i/>
                <w:sz w:val="24"/>
                <w:szCs w:val="24"/>
                <w:lang w:eastAsia="pl-PL"/>
              </w:rPr>
              <w:t>liczba osób bezrobotnych, w tym długotrwale bezrobotnych, objętych wsparciem w programie (osoby).</w:t>
            </w:r>
          </w:p>
          <w:p w14:paraId="3CE86EE3" w14:textId="77777777" w:rsidR="00C1242A" w:rsidRPr="00552C3A" w:rsidRDefault="00C1242A" w:rsidP="00C1242A">
            <w:pPr>
              <w:spacing w:line="360" w:lineRule="auto"/>
              <w:rPr>
                <w:rFonts w:ascii="Arial" w:eastAsia="Times New Roman" w:hAnsi="Arial" w:cs="Arial"/>
                <w:sz w:val="24"/>
                <w:szCs w:val="24"/>
                <w:lang w:eastAsia="pl-PL"/>
              </w:rPr>
            </w:pPr>
          </w:p>
          <w:p w14:paraId="3BF2DD12" w14:textId="77777777" w:rsidR="00C1242A" w:rsidRPr="00552C3A" w:rsidRDefault="00C1242A" w:rsidP="00C1242A">
            <w:pPr>
              <w:spacing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Za osoby bierne zawodowo uznawani są m.in.:</w:t>
            </w:r>
          </w:p>
          <w:p w14:paraId="6F17D6E0" w14:textId="1AD0EDAF" w:rsidR="00C1242A" w:rsidRPr="00552C3A" w:rsidRDefault="00C1242A" w:rsidP="00C1242A">
            <w:pPr>
              <w:spacing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studenci studiów stacjonarnych, chyba że są już zatrudnieni (również na część etatu) to wówczas powinni być wykazywani jako osoby pracujące</w:t>
            </w:r>
          </w:p>
          <w:p w14:paraId="009B3954" w14:textId="546D46F2" w:rsidR="00C1242A" w:rsidRPr="00552C3A" w:rsidRDefault="00C1242A" w:rsidP="00C1242A">
            <w:pPr>
              <w:spacing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lastRenderedPageBreak/>
              <w:t>- dzieci i młodzież do 18 r. ż. pobierające naukę, o ile nie spełniają przesłanek, na podstawie których można je zaliczyć do osób bezrobotnych lub pracujących.</w:t>
            </w:r>
          </w:p>
          <w:p w14:paraId="4D47324B" w14:textId="0B8BF9E1" w:rsidR="00C1242A" w:rsidRPr="00552C3A" w:rsidRDefault="00C1242A" w:rsidP="00C124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105B628E" w14:textId="520C205B" w:rsidR="00C1242A" w:rsidRPr="00552C3A" w:rsidRDefault="00C1242A" w:rsidP="00C124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Status na rynku pracy jest określany w dniu rozpoczęcia uczestnictwa w projekcie, tj. w momencie rozpoczęcia udziału w pierwszej formie wsparcia w projekcie.</w:t>
            </w:r>
          </w:p>
          <w:p w14:paraId="2EDEE45C" w14:textId="2CFED6C2" w:rsidR="006A3CD1" w:rsidRPr="00552C3A" w:rsidRDefault="00C1242A" w:rsidP="00C1242A">
            <w:pPr>
              <w:spacing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Definicja opracowana na podstawie: (§20) Statystyki polityki rynku prac – metodologia 2018, Komisja Europejska, Dyrekcja Generalna ds. Zatrudnienia, Spraw Społecznych i Włączenia Społecznego.</w:t>
            </w:r>
          </w:p>
        </w:tc>
      </w:tr>
      <w:tr w:rsidR="003F7A74" w:rsidRPr="00552C3A" w14:paraId="6AD22E0F" w14:textId="77777777" w:rsidTr="00811621">
        <w:tc>
          <w:tcPr>
            <w:tcW w:w="1564" w:type="dxa"/>
          </w:tcPr>
          <w:p w14:paraId="22FD41FE" w14:textId="3DC2E74F" w:rsidR="003F7A74" w:rsidRPr="00552C3A" w:rsidRDefault="0044341A" w:rsidP="00D70895">
            <w:pPr>
              <w:spacing w:line="360" w:lineRule="auto"/>
              <w:rPr>
                <w:rFonts w:ascii="Arial" w:hAnsi="Arial" w:cs="Arial"/>
                <w:b/>
                <w:sz w:val="24"/>
                <w:szCs w:val="24"/>
              </w:rPr>
            </w:pPr>
            <w:r w:rsidRPr="00552C3A">
              <w:rPr>
                <w:rFonts w:ascii="Arial" w:hAnsi="Arial" w:cs="Arial"/>
                <w:b/>
                <w:sz w:val="24"/>
                <w:szCs w:val="24"/>
              </w:rPr>
              <w:lastRenderedPageBreak/>
              <w:t>EECO06</w:t>
            </w:r>
          </w:p>
        </w:tc>
        <w:tc>
          <w:tcPr>
            <w:tcW w:w="2260" w:type="dxa"/>
          </w:tcPr>
          <w:p w14:paraId="68D971FB" w14:textId="503B1D88" w:rsidR="003F7A74" w:rsidRPr="00552C3A" w:rsidRDefault="0044341A"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78F699AC" w14:textId="0E342224" w:rsidR="003F7A74" w:rsidRPr="00552C3A" w:rsidRDefault="0044341A" w:rsidP="006050B3">
            <w:pPr>
              <w:spacing w:line="360" w:lineRule="auto"/>
              <w:rPr>
                <w:rFonts w:ascii="Arial" w:hAnsi="Arial" w:cs="Arial"/>
                <w:sz w:val="24"/>
                <w:szCs w:val="24"/>
              </w:rPr>
            </w:pPr>
            <w:r w:rsidRPr="00552C3A">
              <w:rPr>
                <w:rFonts w:ascii="Arial" w:hAnsi="Arial" w:cs="Arial"/>
                <w:sz w:val="24"/>
                <w:szCs w:val="24"/>
              </w:rPr>
              <w:t>Liczba osób w wieku poniżej 18 lat objętych wsparciem w programie (osoby)</w:t>
            </w:r>
          </w:p>
        </w:tc>
        <w:tc>
          <w:tcPr>
            <w:tcW w:w="6188" w:type="dxa"/>
          </w:tcPr>
          <w:p w14:paraId="4BA385B3" w14:textId="77777777" w:rsidR="0044341A" w:rsidRPr="00552C3A" w:rsidRDefault="0044341A" w:rsidP="0044341A">
            <w:pPr>
              <w:spacing w:after="120" w:line="360" w:lineRule="auto"/>
              <w:rPr>
                <w:rFonts w:ascii="Arial" w:hAnsi="Arial" w:cs="Arial"/>
                <w:sz w:val="24"/>
                <w:szCs w:val="24"/>
              </w:rPr>
            </w:pPr>
            <w:r w:rsidRPr="00552C3A">
              <w:rPr>
                <w:rFonts w:ascii="Arial" w:hAnsi="Arial" w:cs="Arial"/>
                <w:sz w:val="24"/>
                <w:szCs w:val="24"/>
              </w:rPr>
              <w:t>Osoby w wieku poniżej 18 lat, tj. do dnia poprzedzającego dzień 18 urodzin, objęte wsparciem EFS+.</w:t>
            </w:r>
          </w:p>
          <w:p w14:paraId="2772667A" w14:textId="5B4CF805" w:rsidR="003F7A74" w:rsidRPr="00552C3A" w:rsidRDefault="0044341A" w:rsidP="0044341A">
            <w:pPr>
              <w:pStyle w:val="Akapitzlist"/>
              <w:spacing w:after="120" w:line="360" w:lineRule="auto"/>
              <w:ind w:left="0"/>
              <w:contextualSpacing w:val="0"/>
              <w:rPr>
                <w:rFonts w:ascii="Arial" w:hAnsi="Arial" w:cs="Arial"/>
                <w:sz w:val="24"/>
                <w:szCs w:val="24"/>
              </w:rPr>
            </w:pPr>
            <w:r w:rsidRPr="00552C3A">
              <w:rPr>
                <w:rFonts w:ascii="Arial" w:hAnsi="Arial" w:cs="Arial"/>
                <w:sz w:val="24"/>
                <w:szCs w:val="24"/>
              </w:rPr>
              <w:t>Wiek uczestników określany jest na podstawie daty urodzenia (dzień, miesiąc, rok) i ustalany w dniu rozpoczęcia udziału w projekcie, tj. w momencie rozpoczęcia udziału w pierwszej formie wsparcia w projekcie.</w:t>
            </w:r>
          </w:p>
        </w:tc>
      </w:tr>
      <w:tr w:rsidR="00B50608" w:rsidRPr="00552C3A" w14:paraId="03914A30" w14:textId="77777777" w:rsidTr="00811621">
        <w:tc>
          <w:tcPr>
            <w:tcW w:w="1564" w:type="dxa"/>
          </w:tcPr>
          <w:p w14:paraId="1A3CC898" w14:textId="50E6E112" w:rsidR="00B50608" w:rsidRPr="00552C3A" w:rsidRDefault="0044341A" w:rsidP="00D70895">
            <w:pPr>
              <w:spacing w:line="360" w:lineRule="auto"/>
              <w:rPr>
                <w:rFonts w:ascii="Arial" w:hAnsi="Arial" w:cs="Arial"/>
                <w:b/>
                <w:sz w:val="24"/>
                <w:szCs w:val="24"/>
              </w:rPr>
            </w:pPr>
            <w:r w:rsidRPr="00552C3A">
              <w:rPr>
                <w:rFonts w:ascii="Arial" w:hAnsi="Arial" w:cs="Arial"/>
                <w:b/>
                <w:sz w:val="24"/>
                <w:szCs w:val="24"/>
              </w:rPr>
              <w:t>EECO07</w:t>
            </w:r>
          </w:p>
        </w:tc>
        <w:tc>
          <w:tcPr>
            <w:tcW w:w="2260" w:type="dxa"/>
          </w:tcPr>
          <w:p w14:paraId="28E828FD" w14:textId="64287ECD" w:rsidR="00B50608" w:rsidRPr="00552C3A" w:rsidRDefault="0044341A"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6D794D78" w14:textId="13F35659" w:rsidR="00B50608" w:rsidRPr="00552C3A" w:rsidRDefault="0044341A" w:rsidP="006050B3">
            <w:pPr>
              <w:spacing w:line="360" w:lineRule="auto"/>
              <w:rPr>
                <w:rFonts w:ascii="Arial" w:hAnsi="Arial" w:cs="Arial"/>
                <w:sz w:val="24"/>
                <w:szCs w:val="24"/>
              </w:rPr>
            </w:pPr>
            <w:r w:rsidRPr="00552C3A">
              <w:rPr>
                <w:rFonts w:ascii="Arial" w:hAnsi="Arial" w:cs="Arial"/>
                <w:sz w:val="24"/>
                <w:szCs w:val="24"/>
              </w:rPr>
              <w:t>Liczba osób w wieku 18-29 lat objętych wsparciem w programie (osoby)</w:t>
            </w:r>
          </w:p>
        </w:tc>
        <w:tc>
          <w:tcPr>
            <w:tcW w:w="6188" w:type="dxa"/>
          </w:tcPr>
          <w:p w14:paraId="25762643" w14:textId="77777777" w:rsidR="0044341A" w:rsidRPr="00552C3A" w:rsidRDefault="0044341A" w:rsidP="0044341A">
            <w:pPr>
              <w:spacing w:after="120" w:line="360" w:lineRule="auto"/>
              <w:rPr>
                <w:rFonts w:ascii="Arial" w:hAnsi="Arial" w:cs="Arial"/>
                <w:sz w:val="24"/>
                <w:szCs w:val="24"/>
              </w:rPr>
            </w:pPr>
            <w:r w:rsidRPr="00552C3A">
              <w:rPr>
                <w:rFonts w:ascii="Arial" w:hAnsi="Arial" w:cs="Arial"/>
                <w:sz w:val="24"/>
                <w:szCs w:val="24"/>
              </w:rPr>
              <w:t>Osoby w wieku między 18 a 29 rokiem życia, tj. od dnia, w którym przypadają 18 urodziny do dnia poprzedzającego 30 urodziny, objęte wsparciem EFS+.</w:t>
            </w:r>
          </w:p>
          <w:p w14:paraId="619DF372" w14:textId="40A693FC" w:rsidR="00B50608" w:rsidRPr="00552C3A" w:rsidRDefault="0044341A" w:rsidP="0044341A">
            <w:pPr>
              <w:pStyle w:val="Akapitzlist"/>
              <w:spacing w:after="120" w:line="360" w:lineRule="auto"/>
              <w:ind w:left="0"/>
              <w:contextualSpacing w:val="0"/>
              <w:rPr>
                <w:rFonts w:ascii="Arial" w:hAnsi="Arial" w:cs="Arial"/>
                <w:sz w:val="24"/>
                <w:szCs w:val="24"/>
              </w:rPr>
            </w:pPr>
            <w:r w:rsidRPr="00552C3A">
              <w:rPr>
                <w:rFonts w:ascii="Arial" w:hAnsi="Arial" w:cs="Arial"/>
                <w:sz w:val="24"/>
                <w:szCs w:val="24"/>
              </w:rPr>
              <w:t>Wiek uczestników określany jest na podstawie daty urodzenia (dzień, miesiąc, rok) i ustalany w dniu rozpoczęcia udziału w projekcie, tj. w momencie rozpoczęcia udziału w pierwszej formie wsparcia w projekcie.</w:t>
            </w:r>
          </w:p>
        </w:tc>
      </w:tr>
      <w:tr w:rsidR="00972855" w:rsidRPr="00552C3A" w14:paraId="699210BF" w14:textId="77777777" w:rsidTr="00811621">
        <w:tc>
          <w:tcPr>
            <w:tcW w:w="1564" w:type="dxa"/>
          </w:tcPr>
          <w:p w14:paraId="1CD352F6" w14:textId="38AE6FEC" w:rsidR="00972855" w:rsidRPr="00552C3A" w:rsidRDefault="00C35F2A" w:rsidP="00D70895">
            <w:pPr>
              <w:spacing w:line="360" w:lineRule="auto"/>
              <w:rPr>
                <w:rFonts w:ascii="Arial" w:hAnsi="Arial" w:cs="Arial"/>
                <w:b/>
                <w:sz w:val="24"/>
                <w:szCs w:val="24"/>
              </w:rPr>
            </w:pPr>
            <w:r w:rsidRPr="00552C3A">
              <w:rPr>
                <w:rFonts w:ascii="Arial" w:hAnsi="Arial" w:cs="Arial"/>
                <w:b/>
                <w:sz w:val="24"/>
                <w:szCs w:val="24"/>
              </w:rPr>
              <w:t>EECO12</w:t>
            </w:r>
          </w:p>
        </w:tc>
        <w:tc>
          <w:tcPr>
            <w:tcW w:w="2260" w:type="dxa"/>
          </w:tcPr>
          <w:p w14:paraId="72227225" w14:textId="59B5CF53" w:rsidR="00972855" w:rsidRPr="00552C3A" w:rsidRDefault="00C35F2A"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2E81D9EC" w14:textId="050A77F7" w:rsidR="00972855" w:rsidRPr="00552C3A" w:rsidRDefault="00C35F2A" w:rsidP="006050B3">
            <w:pPr>
              <w:spacing w:line="360" w:lineRule="auto"/>
              <w:rPr>
                <w:rFonts w:ascii="Arial" w:hAnsi="Arial" w:cs="Arial"/>
                <w:sz w:val="24"/>
                <w:szCs w:val="24"/>
              </w:rPr>
            </w:pPr>
            <w:r w:rsidRPr="00552C3A">
              <w:rPr>
                <w:rFonts w:ascii="Arial" w:hAnsi="Arial" w:cs="Arial"/>
                <w:sz w:val="24"/>
                <w:szCs w:val="24"/>
              </w:rPr>
              <w:t>Liczba osób z niepełnosprawnościami objętych wsparciem w programie (osoby)</w:t>
            </w:r>
          </w:p>
        </w:tc>
        <w:tc>
          <w:tcPr>
            <w:tcW w:w="6188" w:type="dxa"/>
          </w:tcPr>
          <w:p w14:paraId="74B49479" w14:textId="348659F2"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Za osoby z niepełnosprawnościami uznaje się osoby niepełnosprawne w świetle przepisów ustawy z dnia 27 sierpnia 1997 r. o rehabilitacji zawodowej i społecznej </w:t>
            </w:r>
            <w:r w:rsidRPr="00552C3A">
              <w:rPr>
                <w:rFonts w:ascii="Arial" w:eastAsia="Times New Roman" w:hAnsi="Arial" w:cs="Arial"/>
                <w:sz w:val="24"/>
                <w:szCs w:val="24"/>
                <w:lang w:eastAsia="pl-PL"/>
              </w:rPr>
              <w:lastRenderedPageBreak/>
              <w:t xml:space="preserve">oraz zatrudnianiu osób niepełnosprawnych, a także osoby z zaburzeniami psychicznymi, o których mowa w ustawie z dnia 19 sierpnia 1994 r. o ochronie zdrowia psychicznego tj. osoby z odpowiednim orzeczeniem lub innym dokumentem poświadczającym stan zdrowia. </w:t>
            </w:r>
          </w:p>
          <w:p w14:paraId="4EB0C916"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Przynależność do grupy osób z niepełnosprawnościami określana jest w momencie rozpoczęcia udziału w projekcie, tj. w chwili rozpoczęcia udziału w pierwszej formie wsparcia w projekcie.</w:t>
            </w:r>
          </w:p>
          <w:p w14:paraId="6F1F36D1"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w:t>
            </w:r>
            <w:r w:rsidRPr="00552C3A">
              <w:rPr>
                <w:rFonts w:ascii="Arial" w:eastAsia="Times New Roman" w:hAnsi="Arial" w:cs="Arial"/>
                <w:sz w:val="24"/>
                <w:szCs w:val="24"/>
                <w:lang w:eastAsia="pl-PL"/>
              </w:rPr>
              <w:lastRenderedPageBreak/>
              <w:t xml:space="preserve">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 </w:t>
            </w:r>
          </w:p>
          <w:p w14:paraId="4691FC8A" w14:textId="1B86EA5C" w:rsidR="00972855"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Zasady dotyczące możliwości wykorzystania wiarygodnych szacunków przez beneficjentów w danym naborze określane są przez właściwą dla programu Instytucję Zarządzającą.</w:t>
            </w:r>
          </w:p>
        </w:tc>
      </w:tr>
      <w:tr w:rsidR="00C35F2A" w:rsidRPr="00552C3A" w14:paraId="1157D2D9" w14:textId="77777777" w:rsidTr="00811621">
        <w:tc>
          <w:tcPr>
            <w:tcW w:w="1564" w:type="dxa"/>
          </w:tcPr>
          <w:p w14:paraId="0B7FE7B5" w14:textId="074A8C4E" w:rsidR="00C35F2A" w:rsidRPr="00552C3A" w:rsidRDefault="00C35F2A" w:rsidP="00D70895">
            <w:pPr>
              <w:spacing w:line="360" w:lineRule="auto"/>
              <w:rPr>
                <w:rFonts w:ascii="Arial" w:hAnsi="Arial" w:cs="Arial"/>
                <w:b/>
                <w:sz w:val="24"/>
                <w:szCs w:val="24"/>
              </w:rPr>
            </w:pPr>
            <w:r w:rsidRPr="00552C3A">
              <w:rPr>
                <w:rFonts w:ascii="Arial" w:hAnsi="Arial" w:cs="Arial"/>
                <w:b/>
                <w:sz w:val="24"/>
                <w:szCs w:val="24"/>
              </w:rPr>
              <w:lastRenderedPageBreak/>
              <w:t>EECO13</w:t>
            </w:r>
          </w:p>
        </w:tc>
        <w:tc>
          <w:tcPr>
            <w:tcW w:w="2260" w:type="dxa"/>
          </w:tcPr>
          <w:p w14:paraId="44E8BB4F" w14:textId="0746F54C" w:rsidR="00C35F2A" w:rsidRPr="00552C3A" w:rsidRDefault="00C35F2A"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2F669427" w14:textId="795D6C4A" w:rsidR="00C35F2A" w:rsidRPr="00552C3A" w:rsidRDefault="00C35F2A" w:rsidP="006050B3">
            <w:pPr>
              <w:spacing w:line="360" w:lineRule="auto"/>
              <w:rPr>
                <w:rFonts w:ascii="Arial" w:hAnsi="Arial" w:cs="Arial"/>
                <w:sz w:val="24"/>
                <w:szCs w:val="24"/>
              </w:rPr>
            </w:pPr>
            <w:r w:rsidRPr="00552C3A">
              <w:rPr>
                <w:rFonts w:ascii="Arial" w:hAnsi="Arial" w:cs="Arial"/>
                <w:sz w:val="24"/>
                <w:szCs w:val="24"/>
              </w:rPr>
              <w:t>Liczba osób z krajów trzecich objętych wsparciem w programie (osoby)</w:t>
            </w:r>
          </w:p>
        </w:tc>
        <w:tc>
          <w:tcPr>
            <w:tcW w:w="6188" w:type="dxa"/>
          </w:tcPr>
          <w:p w14:paraId="6FC0D5B5"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Osoby, które są obywatelami krajów spoza UE. Do wskaźnika wlicza się też bezpaństwowców zgodnie z Konwencją o statusie bezpaństwowców z 1954 r. i osoby bez ustalonego obywatelstwa. </w:t>
            </w:r>
          </w:p>
          <w:p w14:paraId="53D36934"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Przynależność do grupy osób z krajów trzecich określana jest w momencie rozpoczęcia udziału w projekcie, tj. w chwili rozpoczęcia udziału w pierwszej formie wsparcia w projekcie.</w:t>
            </w:r>
          </w:p>
          <w:p w14:paraId="7077D1D2"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w:t>
            </w:r>
            <w:r w:rsidRPr="00552C3A">
              <w:rPr>
                <w:rFonts w:ascii="Arial" w:eastAsia="Times New Roman" w:hAnsi="Arial" w:cs="Arial"/>
                <w:sz w:val="24"/>
                <w:szCs w:val="24"/>
                <w:lang w:eastAsia="pl-PL"/>
              </w:rPr>
              <w:lastRenderedPageBreak/>
              <w:t xml:space="preserve">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 </w:t>
            </w:r>
          </w:p>
          <w:p w14:paraId="0D4E5677" w14:textId="3FB94EA3"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Zasady dotyczące możliwości wykorzystania wiarygodnych szacunków przez beneficjentów w danym naborze określane są przez właściwą dla programu Instytucję Zarządzającą.</w:t>
            </w:r>
          </w:p>
        </w:tc>
      </w:tr>
      <w:tr w:rsidR="00C35F2A" w:rsidRPr="00552C3A" w14:paraId="60ACE1CB" w14:textId="77777777" w:rsidTr="00811621">
        <w:tc>
          <w:tcPr>
            <w:tcW w:w="1564" w:type="dxa"/>
          </w:tcPr>
          <w:p w14:paraId="47976AED" w14:textId="2CD8D5A3" w:rsidR="00C35F2A" w:rsidRPr="00552C3A" w:rsidRDefault="00C35F2A" w:rsidP="00D70895">
            <w:pPr>
              <w:spacing w:line="360" w:lineRule="auto"/>
              <w:rPr>
                <w:rFonts w:ascii="Arial" w:hAnsi="Arial" w:cs="Arial"/>
                <w:b/>
                <w:sz w:val="24"/>
                <w:szCs w:val="24"/>
              </w:rPr>
            </w:pPr>
            <w:r w:rsidRPr="00552C3A">
              <w:rPr>
                <w:rFonts w:ascii="Arial" w:hAnsi="Arial" w:cs="Arial"/>
                <w:b/>
                <w:sz w:val="24"/>
                <w:szCs w:val="24"/>
              </w:rPr>
              <w:lastRenderedPageBreak/>
              <w:t>EECO14</w:t>
            </w:r>
          </w:p>
        </w:tc>
        <w:tc>
          <w:tcPr>
            <w:tcW w:w="2260" w:type="dxa"/>
          </w:tcPr>
          <w:p w14:paraId="16EDE842" w14:textId="5B683E4C" w:rsidR="00C35F2A" w:rsidRPr="00552C3A" w:rsidRDefault="00C35F2A"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3FF3DD81" w14:textId="3ADCDB49" w:rsidR="00C35F2A" w:rsidRPr="00552C3A" w:rsidRDefault="00C35F2A" w:rsidP="006050B3">
            <w:pPr>
              <w:spacing w:line="360" w:lineRule="auto"/>
              <w:rPr>
                <w:rFonts w:ascii="Arial" w:hAnsi="Arial" w:cs="Arial"/>
                <w:sz w:val="24"/>
                <w:szCs w:val="24"/>
              </w:rPr>
            </w:pPr>
            <w:r w:rsidRPr="00552C3A">
              <w:rPr>
                <w:rFonts w:ascii="Arial" w:hAnsi="Arial" w:cs="Arial"/>
                <w:sz w:val="24"/>
                <w:szCs w:val="24"/>
              </w:rPr>
              <w:t>Liczba osób obcego pochodzenia objętych wsparciem w programie (osoby)</w:t>
            </w:r>
          </w:p>
        </w:tc>
        <w:tc>
          <w:tcPr>
            <w:tcW w:w="6188" w:type="dxa"/>
          </w:tcPr>
          <w:p w14:paraId="45BF0C95"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Osoby obcego pochodzenia to cudzoziemcy - każda osoba, która nie posiada polskiego obywatelstwa, bez </w:t>
            </w:r>
            <w:r w:rsidRPr="00552C3A">
              <w:rPr>
                <w:rFonts w:ascii="Arial" w:eastAsia="Times New Roman" w:hAnsi="Arial" w:cs="Arial"/>
                <w:sz w:val="24"/>
                <w:szCs w:val="24"/>
                <w:lang w:eastAsia="pl-PL"/>
              </w:rPr>
              <w:lastRenderedPageBreak/>
              <w:t xml:space="preserve">względu na fakt posiadania lub nie obywatelstwa (obywatelstw) innych krajów. </w:t>
            </w:r>
          </w:p>
          <w:p w14:paraId="4D529AFA"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Wskaźnik nie obejmuje osób należących do mniejszości, których udział w projektach monitorowany jest wskaźnikiem </w:t>
            </w:r>
            <w:r w:rsidRPr="00552C3A">
              <w:rPr>
                <w:rFonts w:ascii="Arial" w:eastAsia="Times New Roman" w:hAnsi="Arial" w:cs="Arial"/>
                <w:i/>
                <w:sz w:val="24"/>
                <w:szCs w:val="24"/>
                <w:lang w:eastAsia="pl-PL"/>
              </w:rPr>
              <w:t>liczba osób należących do mniejszości, w tym społeczności marginalizowanych takich jak Romowie, objętych wsparciem w programie</w:t>
            </w:r>
            <w:r w:rsidRPr="00552C3A">
              <w:rPr>
                <w:rFonts w:ascii="Arial" w:eastAsia="Times New Roman" w:hAnsi="Arial" w:cs="Arial"/>
                <w:sz w:val="24"/>
                <w:szCs w:val="24"/>
                <w:lang w:eastAsia="pl-PL"/>
              </w:rPr>
              <w:t>.</w:t>
            </w:r>
          </w:p>
          <w:p w14:paraId="75104368"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Przynależność do grupy osób obcego pochodzenia określana jest w momencie rozpoczęcia udziału w projekcie, tj. w chwili rozpoczęcia udziału w pierwszej formie wsparcia w projekcie.</w:t>
            </w:r>
          </w:p>
          <w:p w14:paraId="0BF6DDC7"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w:t>
            </w:r>
            <w:r w:rsidRPr="00552C3A">
              <w:rPr>
                <w:rFonts w:ascii="Arial" w:eastAsia="Times New Roman" w:hAnsi="Arial" w:cs="Arial"/>
                <w:sz w:val="24"/>
                <w:szCs w:val="24"/>
                <w:lang w:eastAsia="pl-PL"/>
              </w:rPr>
              <w:lastRenderedPageBreak/>
              <w:t xml:space="preserve">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 </w:t>
            </w:r>
          </w:p>
          <w:p w14:paraId="18A6CB79"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Informacje dodatkowe: Wskaźnik będzie obejmował zawsze osoby z krajów trzecich, zliczane we wskaźniku </w:t>
            </w:r>
            <w:r w:rsidRPr="00552C3A">
              <w:rPr>
                <w:rFonts w:ascii="Arial" w:eastAsia="Times New Roman" w:hAnsi="Arial" w:cs="Arial"/>
                <w:i/>
                <w:sz w:val="24"/>
                <w:szCs w:val="24"/>
                <w:lang w:eastAsia="pl-PL"/>
              </w:rPr>
              <w:t>liczba osób z krajów trzecich objętych wsparciem w programie</w:t>
            </w:r>
            <w:r w:rsidRPr="00552C3A">
              <w:rPr>
                <w:rFonts w:ascii="Arial" w:eastAsia="Times New Roman" w:hAnsi="Arial" w:cs="Arial"/>
                <w:sz w:val="24"/>
                <w:szCs w:val="24"/>
                <w:lang w:eastAsia="pl-PL"/>
              </w:rPr>
              <w:t>.</w:t>
            </w:r>
          </w:p>
          <w:p w14:paraId="09857A2E" w14:textId="51D8B2EE"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lastRenderedPageBreak/>
              <w:t>Zasady dotyczące możliwości wykorzystania wiarygodnych szacunków przez beneficjentów w danym naborze określane są przez właściwą dla programu Instytucję Zarządzającą.</w:t>
            </w:r>
          </w:p>
        </w:tc>
      </w:tr>
      <w:tr w:rsidR="00C35F2A" w:rsidRPr="00552C3A" w14:paraId="796561AF" w14:textId="77777777" w:rsidTr="00811621">
        <w:tc>
          <w:tcPr>
            <w:tcW w:w="1564" w:type="dxa"/>
          </w:tcPr>
          <w:p w14:paraId="24E5B274" w14:textId="465F1264" w:rsidR="00C35F2A" w:rsidRPr="00552C3A" w:rsidRDefault="00C35F2A" w:rsidP="00D70895">
            <w:pPr>
              <w:spacing w:line="360" w:lineRule="auto"/>
              <w:rPr>
                <w:rFonts w:ascii="Arial" w:hAnsi="Arial" w:cs="Arial"/>
                <w:b/>
                <w:sz w:val="24"/>
                <w:szCs w:val="24"/>
              </w:rPr>
            </w:pPr>
            <w:r w:rsidRPr="00552C3A">
              <w:rPr>
                <w:rFonts w:ascii="Arial" w:hAnsi="Arial" w:cs="Arial"/>
                <w:b/>
                <w:sz w:val="24"/>
                <w:szCs w:val="24"/>
              </w:rPr>
              <w:lastRenderedPageBreak/>
              <w:t>EECO15</w:t>
            </w:r>
          </w:p>
        </w:tc>
        <w:tc>
          <w:tcPr>
            <w:tcW w:w="2260" w:type="dxa"/>
          </w:tcPr>
          <w:p w14:paraId="1AFBE023" w14:textId="4103CE39" w:rsidR="00C35F2A" w:rsidRPr="00552C3A" w:rsidRDefault="00C35F2A"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4BD269F1" w14:textId="025C236B" w:rsidR="00C35F2A" w:rsidRPr="00552C3A" w:rsidRDefault="00C35F2A" w:rsidP="006050B3">
            <w:pPr>
              <w:spacing w:line="360" w:lineRule="auto"/>
              <w:rPr>
                <w:rFonts w:ascii="Arial" w:hAnsi="Arial" w:cs="Arial"/>
                <w:sz w:val="24"/>
                <w:szCs w:val="24"/>
              </w:rPr>
            </w:pPr>
            <w:r w:rsidRPr="00552C3A">
              <w:rPr>
                <w:rFonts w:ascii="Arial" w:hAnsi="Arial" w:cs="Arial"/>
                <w:sz w:val="24"/>
                <w:szCs w:val="24"/>
              </w:rPr>
              <w:t>Liczba osób należących do mniejszości, w tym społeczności marginalizowanych takich jak Romowie, objętych wsparciem w programie (osoby)</w:t>
            </w:r>
          </w:p>
        </w:tc>
        <w:tc>
          <w:tcPr>
            <w:tcW w:w="6188" w:type="dxa"/>
          </w:tcPr>
          <w:p w14:paraId="4AFD538D"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Wskaźnik obejmuje osoby należące do mniejszości narodowych i etnicznych biorące udział w projektach EFS+.</w:t>
            </w:r>
          </w:p>
          <w:p w14:paraId="737B1D90"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Zgodnie z prawem krajowym mniejszości narodowe to mniejszość: białoruska, czeska, litewska, niemiecka, ormiańska, rosyjska, słowacka, ukraińska, żydowska. Mniejszości etniczne: karaimska, łemkowska, romska, tatarska.</w:t>
            </w:r>
          </w:p>
          <w:p w14:paraId="552A193E"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Definicja opracowana na podstawie ustawy z dnia 6 stycznia 2005 r. o mniejszościach narodowych i etnicznych oraz o języku regionalnym.</w:t>
            </w:r>
          </w:p>
          <w:p w14:paraId="4B174A25"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Przynależność do grupy osób należących do mniejszości określana jest w momencie rozpoczęcia </w:t>
            </w:r>
            <w:r w:rsidRPr="00552C3A">
              <w:rPr>
                <w:rFonts w:ascii="Arial" w:eastAsia="Times New Roman" w:hAnsi="Arial" w:cs="Arial"/>
                <w:sz w:val="24"/>
                <w:szCs w:val="24"/>
                <w:lang w:eastAsia="pl-PL"/>
              </w:rPr>
              <w:lastRenderedPageBreak/>
              <w:t>udziału w projekcie, tj. w chwili rozpoczęcia udziału w pierwszej formie wsparcia w projekcie.</w:t>
            </w:r>
          </w:p>
          <w:p w14:paraId="5784597D" w14:textId="77777777"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t>
            </w:r>
            <w:r w:rsidRPr="00552C3A">
              <w:rPr>
                <w:rFonts w:ascii="Arial" w:eastAsia="Times New Roman" w:hAnsi="Arial" w:cs="Arial"/>
                <w:sz w:val="24"/>
                <w:szCs w:val="24"/>
                <w:lang w:eastAsia="pl-PL"/>
              </w:rPr>
              <w:lastRenderedPageBreak/>
              <w:t>Wytycznych). Wybraną metodę szacowania należy udokumentować. Uwaga: w danym projekcie może być stosowana wyłącznie jedna metoda monitorowania tego wskaźnika tj. szacowanie lub zbieranie danych osobowych dot. tego wskaźnika od uczestników.</w:t>
            </w:r>
          </w:p>
          <w:p w14:paraId="62372A79" w14:textId="78DF2FD5" w:rsidR="00C35F2A" w:rsidRPr="00552C3A" w:rsidRDefault="00C35F2A" w:rsidP="00C35F2A">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Zasady dotyczące możliwości wykorzystania wiarygodnych szacunków przez beneficjentów w danym naborze określane są przez właściwą dla programu Instytucję Zarządzającą.</w:t>
            </w:r>
          </w:p>
        </w:tc>
      </w:tr>
      <w:tr w:rsidR="00B33DE0" w:rsidRPr="00552C3A" w14:paraId="6F5BB886" w14:textId="77777777" w:rsidTr="00811621">
        <w:tc>
          <w:tcPr>
            <w:tcW w:w="1564" w:type="dxa"/>
          </w:tcPr>
          <w:p w14:paraId="1FE7C0E3" w14:textId="1146CA1C" w:rsidR="00B33DE0" w:rsidRPr="00552C3A" w:rsidRDefault="00B33DE0" w:rsidP="00D70895">
            <w:pPr>
              <w:spacing w:line="360" w:lineRule="auto"/>
              <w:rPr>
                <w:rFonts w:ascii="Arial" w:hAnsi="Arial" w:cs="Arial"/>
                <w:b/>
                <w:sz w:val="24"/>
                <w:szCs w:val="24"/>
              </w:rPr>
            </w:pPr>
            <w:r w:rsidRPr="00552C3A">
              <w:rPr>
                <w:rFonts w:ascii="Arial" w:hAnsi="Arial" w:cs="Arial"/>
                <w:b/>
                <w:sz w:val="24"/>
                <w:szCs w:val="24"/>
              </w:rPr>
              <w:lastRenderedPageBreak/>
              <w:t>EECO16</w:t>
            </w:r>
          </w:p>
        </w:tc>
        <w:tc>
          <w:tcPr>
            <w:tcW w:w="2260" w:type="dxa"/>
          </w:tcPr>
          <w:p w14:paraId="18DF88A7" w14:textId="220785FB" w:rsidR="00B33DE0" w:rsidRPr="00552C3A" w:rsidRDefault="00B33DE0" w:rsidP="00D70895">
            <w:pPr>
              <w:spacing w:line="360" w:lineRule="auto"/>
              <w:rPr>
                <w:rFonts w:ascii="Arial" w:hAnsi="Arial" w:cs="Arial"/>
                <w:sz w:val="24"/>
                <w:szCs w:val="24"/>
              </w:rPr>
            </w:pPr>
            <w:r w:rsidRPr="00552C3A">
              <w:rPr>
                <w:rFonts w:ascii="Arial" w:hAnsi="Arial" w:cs="Arial"/>
                <w:sz w:val="24"/>
                <w:szCs w:val="24"/>
              </w:rPr>
              <w:t>Wskaźnik produktu</w:t>
            </w:r>
          </w:p>
        </w:tc>
        <w:tc>
          <w:tcPr>
            <w:tcW w:w="3982" w:type="dxa"/>
          </w:tcPr>
          <w:p w14:paraId="528A2D62" w14:textId="4D690D0F" w:rsidR="00B33DE0" w:rsidRPr="00552C3A" w:rsidRDefault="00B33DE0" w:rsidP="006050B3">
            <w:pPr>
              <w:spacing w:line="360" w:lineRule="auto"/>
              <w:rPr>
                <w:rFonts w:ascii="Arial" w:hAnsi="Arial" w:cs="Arial"/>
                <w:sz w:val="24"/>
                <w:szCs w:val="24"/>
              </w:rPr>
            </w:pPr>
            <w:r w:rsidRPr="00552C3A">
              <w:rPr>
                <w:rFonts w:ascii="Arial" w:hAnsi="Arial" w:cs="Arial"/>
                <w:sz w:val="24"/>
                <w:szCs w:val="24"/>
              </w:rPr>
              <w:t>Liczba osób w kryzysie bezdomności lub dotkniętych wykluczeniem z dostępu do mieszkań, objętych wsparciem w programie (osoby)</w:t>
            </w:r>
          </w:p>
        </w:tc>
        <w:tc>
          <w:tcPr>
            <w:tcW w:w="6188" w:type="dxa"/>
          </w:tcPr>
          <w:p w14:paraId="24F0A845"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We wskaźniku wykazywane są osoby w kryzysie bezdomności lub dotknięte wykluczeniem z dostępu do mieszkań.</w:t>
            </w:r>
          </w:p>
          <w:p w14:paraId="3F7413D1"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 </w:t>
            </w:r>
          </w:p>
          <w:p w14:paraId="63290DF8"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lastRenderedPageBreak/>
              <w:t>1.</w:t>
            </w:r>
            <w:r w:rsidRPr="00552C3A">
              <w:rPr>
                <w:rFonts w:ascii="Arial" w:eastAsia="Times New Roman" w:hAnsi="Arial" w:cs="Arial"/>
                <w:sz w:val="24"/>
                <w:szCs w:val="24"/>
                <w:lang w:eastAsia="pl-PL"/>
              </w:rPr>
              <w:tab/>
              <w:t>Bez dachu nad głową, w tym osoby żyjące w przestrzeni publicznej lub zakwaterowane interwencyjnie;</w:t>
            </w:r>
          </w:p>
          <w:p w14:paraId="3909C327"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2.</w:t>
            </w:r>
            <w:r w:rsidRPr="00552C3A">
              <w:rPr>
                <w:rFonts w:ascii="Arial" w:eastAsia="Times New Roman" w:hAnsi="Arial" w:cs="Arial"/>
                <w:sz w:val="24"/>
                <w:szCs w:val="24"/>
                <w:lang w:eastAsia="pl-PL"/>
              </w:rPr>
              <w:tab/>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469083C3"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3.</w:t>
            </w:r>
            <w:r w:rsidRPr="00552C3A">
              <w:rPr>
                <w:rFonts w:ascii="Arial" w:eastAsia="Times New Roman" w:hAnsi="Arial" w:cs="Arial"/>
                <w:sz w:val="24"/>
                <w:szCs w:val="24"/>
                <w:lang w:eastAsia="pl-PL"/>
              </w:rPr>
              <w:tab/>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311BAC74"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lastRenderedPageBreak/>
              <w:t>4.</w:t>
            </w:r>
            <w:r w:rsidRPr="00552C3A">
              <w:rPr>
                <w:rFonts w:ascii="Arial" w:eastAsia="Times New Roman" w:hAnsi="Arial" w:cs="Arial"/>
                <w:sz w:val="24"/>
                <w:szCs w:val="24"/>
                <w:lang w:eastAsia="pl-PL"/>
              </w:rPr>
              <w:tab/>
              <w:t xml:space="preserve">Nieodpowiednie warunki mieszkaniowe, w tym osoby zamieszkujące konstrukcje tymczasowe/nietrwałe, mieszkania </w:t>
            </w:r>
            <w:proofErr w:type="spellStart"/>
            <w:r w:rsidRPr="00552C3A">
              <w:rPr>
                <w:rFonts w:ascii="Arial" w:eastAsia="Times New Roman" w:hAnsi="Arial" w:cs="Arial"/>
                <w:sz w:val="24"/>
                <w:szCs w:val="24"/>
                <w:lang w:eastAsia="pl-PL"/>
              </w:rPr>
              <w:t>substandardowe</w:t>
            </w:r>
            <w:proofErr w:type="spellEnd"/>
            <w:r w:rsidRPr="00552C3A">
              <w:rPr>
                <w:rFonts w:ascii="Arial" w:eastAsia="Times New Roman" w:hAnsi="Arial" w:cs="Arial"/>
                <w:sz w:val="24"/>
                <w:szCs w:val="24"/>
                <w:lang w:eastAsia="pl-PL"/>
              </w:rPr>
              <w:t xml:space="preserve"> - lokale nienadające się do zamieszkania wg standardu krajowego, w warunkach skrajnego przeludnienia;</w:t>
            </w:r>
          </w:p>
          <w:p w14:paraId="0DB3A51A"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5.</w:t>
            </w:r>
            <w:r w:rsidRPr="00552C3A">
              <w:rPr>
                <w:rFonts w:ascii="Arial" w:eastAsia="Times New Roman" w:hAnsi="Arial" w:cs="Arial"/>
                <w:sz w:val="24"/>
                <w:szCs w:val="24"/>
                <w:lang w:eastAsia="pl-PL"/>
              </w:rPr>
              <w:tab/>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4825BD06"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Osoby dorosłe mieszkające z rodzicami nie powinny być wykazywane we wskaźniku, chyba że wszystkie te osoby są w kryzysie bezdomności lub mieszkają w nieodpowiednich i niebezpiecznych warunkach.</w:t>
            </w:r>
          </w:p>
          <w:p w14:paraId="67BDE2DD"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W przypadku, gdy bezdomność / wykluczenie z dostępu do mieszkań jest kryterium umożliwiającym udział w danej interwencji (np. grupa docelowa wskazana </w:t>
            </w:r>
            <w:r w:rsidRPr="00552C3A">
              <w:rPr>
                <w:rFonts w:ascii="Arial" w:eastAsia="Times New Roman" w:hAnsi="Arial" w:cs="Arial"/>
                <w:sz w:val="24"/>
                <w:szCs w:val="24"/>
                <w:lang w:eastAsia="pl-PL"/>
              </w:rPr>
              <w:lastRenderedPageBreak/>
              <w:t xml:space="preserve">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w:t>
            </w:r>
            <w:r w:rsidRPr="00552C3A">
              <w:rPr>
                <w:rFonts w:ascii="Arial" w:eastAsia="Times New Roman" w:hAnsi="Arial" w:cs="Arial"/>
                <w:sz w:val="24"/>
                <w:szCs w:val="24"/>
                <w:lang w:eastAsia="pl-PL"/>
              </w:rPr>
              <w:lastRenderedPageBreak/>
              <w:t xml:space="preserve">lub zbieranie danych osobowych dot. tego wskaźnika od uczestników. </w:t>
            </w:r>
          </w:p>
          <w:p w14:paraId="7AB5394F" w14:textId="77777777"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19FBE3B8" w14:textId="4C1BBCE4" w:rsidR="00B33DE0" w:rsidRPr="00552C3A" w:rsidRDefault="00B33DE0" w:rsidP="00B33DE0">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Zasady dotyczące możliwości wykorzystania wiarygodnych szacunków przez beneficjentów w danym naborze określane są przez właściwą dla programu Instytucję Zarządzającą.</w:t>
            </w:r>
          </w:p>
        </w:tc>
      </w:tr>
      <w:tr w:rsidR="000507B9" w:rsidRPr="00552C3A" w14:paraId="2E741A15" w14:textId="77777777" w:rsidTr="00E62347">
        <w:tc>
          <w:tcPr>
            <w:tcW w:w="13994" w:type="dxa"/>
            <w:gridSpan w:val="4"/>
          </w:tcPr>
          <w:p w14:paraId="1C456D05" w14:textId="3A32612D" w:rsidR="000507B9" w:rsidRPr="00552C3A" w:rsidRDefault="000507B9" w:rsidP="000507B9">
            <w:pPr>
              <w:pStyle w:val="Akapitzlist"/>
              <w:spacing w:after="120" w:line="360" w:lineRule="auto"/>
              <w:ind w:left="164"/>
              <w:rPr>
                <w:rFonts w:ascii="Arial" w:eastAsia="Times New Roman" w:hAnsi="Arial" w:cs="Arial"/>
                <w:b/>
                <w:sz w:val="24"/>
                <w:szCs w:val="24"/>
              </w:rPr>
            </w:pPr>
            <w:bookmarkStart w:id="0" w:name="_GoBack"/>
            <w:bookmarkEnd w:id="0"/>
            <w:r w:rsidRPr="00552C3A">
              <w:rPr>
                <w:rFonts w:ascii="Arial" w:eastAsia="Times New Roman" w:hAnsi="Arial" w:cs="Arial"/>
                <w:b/>
                <w:sz w:val="24"/>
                <w:szCs w:val="24"/>
              </w:rPr>
              <w:lastRenderedPageBreak/>
              <w:t>2.2</w:t>
            </w:r>
            <w:r w:rsidRPr="00552C3A">
              <w:rPr>
                <w:rFonts w:ascii="Arial" w:eastAsia="Times New Roman" w:hAnsi="Arial" w:cs="Arial"/>
                <w:b/>
                <w:sz w:val="24"/>
                <w:szCs w:val="24"/>
              </w:rPr>
              <w:tab/>
              <w:t>Wspólne wskaźniki rezultatu bezpośredniego</w:t>
            </w:r>
          </w:p>
        </w:tc>
      </w:tr>
      <w:tr w:rsidR="000507B9" w:rsidRPr="00552C3A" w14:paraId="0329AC26" w14:textId="77777777" w:rsidTr="00811621">
        <w:tc>
          <w:tcPr>
            <w:tcW w:w="1564" w:type="dxa"/>
          </w:tcPr>
          <w:p w14:paraId="074C814D" w14:textId="76AB67D2" w:rsidR="000507B9" w:rsidRPr="00552C3A" w:rsidRDefault="000507B9" w:rsidP="00D70895">
            <w:pPr>
              <w:spacing w:line="360" w:lineRule="auto"/>
              <w:rPr>
                <w:rFonts w:ascii="Arial" w:hAnsi="Arial" w:cs="Arial"/>
                <w:b/>
                <w:sz w:val="24"/>
                <w:szCs w:val="24"/>
              </w:rPr>
            </w:pPr>
            <w:r w:rsidRPr="00552C3A">
              <w:rPr>
                <w:rFonts w:ascii="Arial" w:hAnsi="Arial" w:cs="Arial"/>
                <w:b/>
                <w:sz w:val="24"/>
                <w:szCs w:val="24"/>
              </w:rPr>
              <w:t>EECR01</w:t>
            </w:r>
          </w:p>
        </w:tc>
        <w:tc>
          <w:tcPr>
            <w:tcW w:w="2260" w:type="dxa"/>
          </w:tcPr>
          <w:p w14:paraId="1D0927DD" w14:textId="574A3E78" w:rsidR="000507B9" w:rsidRPr="00552C3A" w:rsidRDefault="000507B9" w:rsidP="00D70895">
            <w:pPr>
              <w:spacing w:line="360" w:lineRule="auto"/>
              <w:rPr>
                <w:rFonts w:ascii="Arial" w:hAnsi="Arial" w:cs="Arial"/>
                <w:sz w:val="24"/>
                <w:szCs w:val="24"/>
              </w:rPr>
            </w:pPr>
            <w:r w:rsidRPr="00552C3A">
              <w:rPr>
                <w:rFonts w:ascii="Arial" w:hAnsi="Arial" w:cs="Arial"/>
                <w:sz w:val="24"/>
                <w:szCs w:val="24"/>
              </w:rPr>
              <w:t>Wskaźnik rezultatu bezpośredniego</w:t>
            </w:r>
          </w:p>
        </w:tc>
        <w:tc>
          <w:tcPr>
            <w:tcW w:w="3982" w:type="dxa"/>
          </w:tcPr>
          <w:p w14:paraId="034B084E" w14:textId="3A0E1571" w:rsidR="000507B9" w:rsidRPr="00552C3A" w:rsidRDefault="000507B9" w:rsidP="006050B3">
            <w:pPr>
              <w:spacing w:line="360" w:lineRule="auto"/>
              <w:rPr>
                <w:rFonts w:ascii="Arial" w:hAnsi="Arial" w:cs="Arial"/>
                <w:sz w:val="24"/>
                <w:szCs w:val="24"/>
              </w:rPr>
            </w:pPr>
            <w:r w:rsidRPr="00552C3A">
              <w:rPr>
                <w:rFonts w:ascii="Arial" w:hAnsi="Arial" w:cs="Arial"/>
                <w:sz w:val="24"/>
                <w:szCs w:val="24"/>
              </w:rPr>
              <w:t>Liczba osób poszukujących pracy po opuszczeniu programu (osoby)</w:t>
            </w:r>
          </w:p>
        </w:tc>
        <w:tc>
          <w:tcPr>
            <w:tcW w:w="6188" w:type="dxa"/>
          </w:tcPr>
          <w:p w14:paraId="3E32C221" w14:textId="77777777" w:rsidR="000507B9" w:rsidRPr="00552C3A" w:rsidRDefault="000507B9" w:rsidP="000507B9">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Do wskaźnika wlicza się osoby bierne zawodowo w momencie rozpoczęcia udziału w projekcie, które otrzymały wsparcie z EFS+ i które poszukują pracy po opuszczeniu projektu. </w:t>
            </w:r>
          </w:p>
          <w:p w14:paraId="3C4E4E25" w14:textId="77777777" w:rsidR="000507B9" w:rsidRPr="00552C3A" w:rsidRDefault="000507B9" w:rsidP="000507B9">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Wskaźnik ten należy rozumieć jako zmianę statusu na rynku pracy po opuszczeniu programu w stosunku do </w:t>
            </w:r>
            <w:r w:rsidRPr="00552C3A">
              <w:rPr>
                <w:rFonts w:ascii="Arial" w:eastAsia="Times New Roman" w:hAnsi="Arial" w:cs="Arial"/>
                <w:sz w:val="24"/>
                <w:szCs w:val="24"/>
                <w:lang w:eastAsia="pl-PL"/>
              </w:rPr>
              <w:lastRenderedPageBreak/>
              <w:t>sytuacji w momencie przystąpienia do interwencji EFS+: w chwili wejścia do projektu EFS+ – uczestnik bierny zawodowo, a w ciągu czterech tygodni po opuszczeniu projektu – osoba poszukująca pracy.</w:t>
            </w:r>
          </w:p>
          <w:p w14:paraId="2318B956" w14:textId="77777777" w:rsidR="000507B9" w:rsidRPr="00552C3A" w:rsidRDefault="000507B9" w:rsidP="000507B9">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Osoby bierne zawodowo definiowane są jak we wskaźniku: liczba osób biernych zawodowo objętych wsparciem w programie.</w:t>
            </w:r>
          </w:p>
          <w:p w14:paraId="068ACE32" w14:textId="77777777" w:rsidR="000507B9" w:rsidRPr="00552C3A" w:rsidRDefault="000507B9" w:rsidP="000507B9">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Osoby poszukujące pracy definiowane są jak we wskaźniku liczba osób bezrobotnych, w tym długotrwale bezrobotnych, objętych wsparciem w programie.</w:t>
            </w:r>
          </w:p>
          <w:p w14:paraId="1614FF40" w14:textId="77777777" w:rsidR="000507B9" w:rsidRPr="00552C3A" w:rsidRDefault="000507B9" w:rsidP="000507B9">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708A4298" w14:textId="3E90FEBC" w:rsidR="000507B9" w:rsidRPr="00552C3A" w:rsidRDefault="000507B9" w:rsidP="000507B9">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lastRenderedPageBreak/>
              <w:t>Wskaźnik pokazuje efekt wsparcia po zakończeniu udziału w projekcie i mierzony jest do 4 tygodni od zakończenia udziału w projekcie.</w:t>
            </w:r>
          </w:p>
        </w:tc>
      </w:tr>
      <w:tr w:rsidR="00CB7B93" w:rsidRPr="00552C3A" w14:paraId="373206F3" w14:textId="77777777" w:rsidTr="00811621">
        <w:tc>
          <w:tcPr>
            <w:tcW w:w="1564" w:type="dxa"/>
          </w:tcPr>
          <w:p w14:paraId="109C3537" w14:textId="5F2EA0AD" w:rsidR="00CB7B93" w:rsidRPr="00552C3A" w:rsidRDefault="00A928EA" w:rsidP="00D70895">
            <w:pPr>
              <w:spacing w:line="360" w:lineRule="auto"/>
              <w:rPr>
                <w:rFonts w:ascii="Arial" w:hAnsi="Arial" w:cs="Arial"/>
                <w:b/>
                <w:sz w:val="24"/>
                <w:szCs w:val="24"/>
              </w:rPr>
            </w:pPr>
            <w:r w:rsidRPr="00552C3A">
              <w:rPr>
                <w:rFonts w:ascii="Arial" w:hAnsi="Arial" w:cs="Arial"/>
                <w:b/>
                <w:sz w:val="24"/>
                <w:szCs w:val="24"/>
              </w:rPr>
              <w:lastRenderedPageBreak/>
              <w:t>EECR02</w:t>
            </w:r>
          </w:p>
        </w:tc>
        <w:tc>
          <w:tcPr>
            <w:tcW w:w="2260" w:type="dxa"/>
          </w:tcPr>
          <w:p w14:paraId="53B23AEC" w14:textId="79C3AF01" w:rsidR="00CB7B93" w:rsidRPr="00552C3A" w:rsidRDefault="00B575C4" w:rsidP="00D70895">
            <w:pPr>
              <w:spacing w:line="360" w:lineRule="auto"/>
              <w:rPr>
                <w:rFonts w:ascii="Arial" w:hAnsi="Arial" w:cs="Arial"/>
                <w:sz w:val="24"/>
                <w:szCs w:val="24"/>
              </w:rPr>
            </w:pPr>
            <w:r w:rsidRPr="00552C3A">
              <w:rPr>
                <w:rFonts w:ascii="Arial" w:hAnsi="Arial" w:cs="Arial"/>
                <w:sz w:val="24"/>
                <w:szCs w:val="24"/>
              </w:rPr>
              <w:t>Wskaźnik rezultatu bezpośredniego</w:t>
            </w:r>
          </w:p>
        </w:tc>
        <w:tc>
          <w:tcPr>
            <w:tcW w:w="3982" w:type="dxa"/>
          </w:tcPr>
          <w:p w14:paraId="778B558F" w14:textId="40B2AFEF" w:rsidR="00CB7B93" w:rsidRPr="00552C3A" w:rsidRDefault="00B575C4" w:rsidP="006050B3">
            <w:pPr>
              <w:spacing w:line="360" w:lineRule="auto"/>
              <w:rPr>
                <w:rFonts w:ascii="Arial" w:hAnsi="Arial" w:cs="Arial"/>
                <w:sz w:val="24"/>
                <w:szCs w:val="24"/>
              </w:rPr>
            </w:pPr>
            <w:r w:rsidRPr="00552C3A">
              <w:rPr>
                <w:rFonts w:ascii="Arial" w:hAnsi="Arial" w:cs="Arial"/>
                <w:sz w:val="24"/>
                <w:szCs w:val="24"/>
              </w:rPr>
              <w:t>Liczba osób, które podjęły kształcenie lub szkolenie po opuszczeniu programu (osoby)</w:t>
            </w:r>
          </w:p>
        </w:tc>
        <w:tc>
          <w:tcPr>
            <w:tcW w:w="6188" w:type="dxa"/>
          </w:tcPr>
          <w:p w14:paraId="5CAD0224" w14:textId="77777777" w:rsidR="00B575C4" w:rsidRPr="00552C3A" w:rsidRDefault="00B575C4" w:rsidP="00B575C4">
            <w:pPr>
              <w:spacing w:after="120" w:line="360" w:lineRule="auto"/>
              <w:rPr>
                <w:rFonts w:ascii="Arial" w:eastAsia="Times New Roman" w:hAnsi="Arial" w:cs="Arial"/>
                <w:sz w:val="24"/>
                <w:szCs w:val="24"/>
              </w:rPr>
            </w:pPr>
            <w:r w:rsidRPr="00552C3A">
              <w:rPr>
                <w:rFonts w:ascii="Arial" w:eastAsia="Times New Roman" w:hAnsi="Arial" w:cs="Arial"/>
                <w:sz w:val="24"/>
                <w:szCs w:val="24"/>
              </w:rPr>
              <w:t>Do wskaźnika wlicza się osoby, które otrzymały wsparcie EFS+, i które podjęły kształcenie (uczenie się przez całe życie, kształcenie formalne) lub szkolenie poza miejscem pracy/ w miejscu pracy, szkolenia zawodowe etc., bezpośrednio po opuszczeniu projektu. Wskaźnik mierzony do czterech tygodni od zakończenia przez uczestnika udziału w projekcie.</w:t>
            </w:r>
          </w:p>
          <w:p w14:paraId="7437F7CA" w14:textId="77777777" w:rsidR="00B575C4" w:rsidRPr="00552C3A" w:rsidRDefault="00B575C4" w:rsidP="00B575C4">
            <w:pPr>
              <w:spacing w:after="120" w:line="360" w:lineRule="auto"/>
              <w:rPr>
                <w:rFonts w:ascii="Arial" w:eastAsia="Times New Roman" w:hAnsi="Arial" w:cs="Arial"/>
                <w:sz w:val="24"/>
                <w:szCs w:val="24"/>
              </w:rPr>
            </w:pPr>
            <w:r w:rsidRPr="00552C3A">
              <w:rPr>
                <w:rFonts w:ascii="Arial" w:eastAsia="Times New Roman" w:hAnsi="Arial" w:cs="Arial"/>
                <w:sz w:val="24"/>
                <w:szCs w:val="24"/>
              </w:rPr>
              <w:t>Wskaźnik ten należy rozumieć jako zmianę sytuacji po opuszczeniu programu w stosunku do stanu w momencie przystąpienia do interwencji EFS+ (osoba nieuczestnicząca w kształceniu/szkoleniu w chwili wejścia do programu EFS+, a w ciągu czterech tygodni po opuszczeniu projektu – osoba uczestnicząca w kształceniu lub szkoleniu). Źródło finansowania szkolenia/kształcenia jest nieistotne.</w:t>
            </w:r>
          </w:p>
          <w:p w14:paraId="222A02FC" w14:textId="77777777" w:rsidR="00B575C4" w:rsidRPr="00552C3A" w:rsidRDefault="00B575C4" w:rsidP="00B575C4">
            <w:pPr>
              <w:spacing w:after="120" w:line="360" w:lineRule="auto"/>
              <w:rPr>
                <w:rFonts w:ascii="Arial" w:eastAsia="Times New Roman" w:hAnsi="Arial" w:cs="Arial"/>
                <w:sz w:val="24"/>
                <w:szCs w:val="24"/>
              </w:rPr>
            </w:pPr>
            <w:r w:rsidRPr="00552C3A">
              <w:rPr>
                <w:rFonts w:ascii="Arial" w:eastAsia="Times New Roman" w:hAnsi="Arial" w:cs="Arial"/>
                <w:sz w:val="24"/>
                <w:szCs w:val="24"/>
              </w:rPr>
              <w:t>Informacje dodatkowe:</w:t>
            </w:r>
          </w:p>
          <w:p w14:paraId="40C1481A" w14:textId="77777777" w:rsidR="00B575C4" w:rsidRPr="00552C3A" w:rsidRDefault="00B575C4" w:rsidP="00B575C4">
            <w:pPr>
              <w:spacing w:after="120" w:line="360" w:lineRule="auto"/>
              <w:rPr>
                <w:rFonts w:ascii="Arial" w:eastAsia="Times New Roman" w:hAnsi="Arial" w:cs="Arial"/>
                <w:sz w:val="24"/>
                <w:szCs w:val="24"/>
              </w:rPr>
            </w:pPr>
            <w:r w:rsidRPr="00552C3A">
              <w:rPr>
                <w:rFonts w:ascii="Arial" w:eastAsia="Times New Roman" w:hAnsi="Arial" w:cs="Arial"/>
                <w:sz w:val="24"/>
                <w:szCs w:val="24"/>
              </w:rPr>
              <w:lastRenderedPageBreak/>
              <w:t>Wskaźnik nie obejmuje uczniów, tj. dzieci i młodzieży uczącej się oraz osób dorosłych, jeśli w dniu przystąpienia do projektu osoby te kształciły się lub szkoliły.</w:t>
            </w:r>
          </w:p>
          <w:p w14:paraId="375E4962" w14:textId="51F7DD05" w:rsidR="00182020" w:rsidRPr="00552C3A" w:rsidRDefault="00B575C4" w:rsidP="00B575C4">
            <w:pPr>
              <w:spacing w:after="120" w:line="360" w:lineRule="auto"/>
              <w:rPr>
                <w:rFonts w:ascii="Arial" w:eastAsia="Times New Roman" w:hAnsi="Arial" w:cs="Arial"/>
                <w:sz w:val="24"/>
                <w:szCs w:val="24"/>
              </w:rPr>
            </w:pPr>
            <w:r w:rsidRPr="00552C3A">
              <w:rPr>
                <w:rFonts w:ascii="Arial" w:eastAsia="Times New Roman" w:hAnsi="Arial" w:cs="Arial"/>
                <w:sz w:val="24"/>
                <w:szCs w:val="24"/>
              </w:rPr>
              <w:t>Wskaźnik pokazuje efekt wsparcia po zakończeniu udziału w projekcie i mierzony jest do 4 tygodni od zakończenia udziału w projekcie.</w:t>
            </w:r>
          </w:p>
        </w:tc>
      </w:tr>
      <w:tr w:rsidR="00A928EA" w:rsidRPr="00552C3A" w14:paraId="67313C02" w14:textId="77777777" w:rsidTr="00811621">
        <w:tc>
          <w:tcPr>
            <w:tcW w:w="1564" w:type="dxa"/>
          </w:tcPr>
          <w:p w14:paraId="1828D243" w14:textId="746D51BA" w:rsidR="00A928EA" w:rsidRPr="00552C3A" w:rsidRDefault="00A21102" w:rsidP="00D70895">
            <w:pPr>
              <w:spacing w:line="360" w:lineRule="auto"/>
              <w:rPr>
                <w:rFonts w:ascii="Arial" w:hAnsi="Arial" w:cs="Arial"/>
                <w:b/>
                <w:sz w:val="24"/>
                <w:szCs w:val="24"/>
              </w:rPr>
            </w:pPr>
            <w:r w:rsidRPr="00552C3A">
              <w:rPr>
                <w:rFonts w:ascii="Arial" w:hAnsi="Arial" w:cs="Arial"/>
                <w:b/>
                <w:sz w:val="24"/>
                <w:szCs w:val="24"/>
              </w:rPr>
              <w:t>EECR03</w:t>
            </w:r>
          </w:p>
        </w:tc>
        <w:tc>
          <w:tcPr>
            <w:tcW w:w="2260" w:type="dxa"/>
          </w:tcPr>
          <w:p w14:paraId="7117142D" w14:textId="152861C5" w:rsidR="00A928EA" w:rsidRPr="00552C3A" w:rsidRDefault="00A21102" w:rsidP="00D70895">
            <w:pPr>
              <w:spacing w:line="360" w:lineRule="auto"/>
              <w:rPr>
                <w:rFonts w:ascii="Arial" w:hAnsi="Arial" w:cs="Arial"/>
                <w:sz w:val="24"/>
                <w:szCs w:val="24"/>
              </w:rPr>
            </w:pPr>
            <w:r w:rsidRPr="00552C3A">
              <w:rPr>
                <w:rFonts w:ascii="Arial" w:hAnsi="Arial" w:cs="Arial"/>
                <w:sz w:val="24"/>
                <w:szCs w:val="24"/>
              </w:rPr>
              <w:t>Wskaźnik rezultatu bezpośredniego</w:t>
            </w:r>
          </w:p>
        </w:tc>
        <w:tc>
          <w:tcPr>
            <w:tcW w:w="3982" w:type="dxa"/>
          </w:tcPr>
          <w:p w14:paraId="1D6DF943" w14:textId="4BD9E1CB" w:rsidR="00A928EA" w:rsidRPr="00552C3A" w:rsidRDefault="00A21102" w:rsidP="006050B3">
            <w:pPr>
              <w:spacing w:line="360" w:lineRule="auto"/>
              <w:rPr>
                <w:rFonts w:ascii="Arial" w:hAnsi="Arial" w:cs="Arial"/>
                <w:sz w:val="24"/>
                <w:szCs w:val="24"/>
              </w:rPr>
            </w:pPr>
            <w:r w:rsidRPr="00552C3A">
              <w:rPr>
                <w:rFonts w:ascii="Arial" w:hAnsi="Arial" w:cs="Arial"/>
                <w:sz w:val="24"/>
                <w:szCs w:val="24"/>
              </w:rPr>
              <w:t>Liczba osób, które uzyskały kwalifikacje po opuszczeniu programu (osoby)</w:t>
            </w:r>
          </w:p>
        </w:tc>
        <w:tc>
          <w:tcPr>
            <w:tcW w:w="6188" w:type="dxa"/>
          </w:tcPr>
          <w:p w14:paraId="411EA96F"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Do wskaźnika wlicza się osoby, które otrzymały wsparcie EFS+ i uzyskały kwalifikacje lub kompetencje po opuszczeniu projektu. </w:t>
            </w:r>
          </w:p>
          <w:p w14:paraId="5056EB6E" w14:textId="494449F5" w:rsidR="00A21102" w:rsidRPr="00552C3A" w:rsidRDefault="00A21102" w:rsidP="00A21102">
            <w:pPr>
              <w:spacing w:after="120" w:line="360" w:lineRule="auto"/>
              <w:rPr>
                <w:rFonts w:ascii="Arial" w:eastAsia="Times New Roman" w:hAnsi="Arial" w:cs="Arial"/>
                <w:i/>
                <w:sz w:val="24"/>
                <w:szCs w:val="24"/>
              </w:rPr>
            </w:pPr>
            <w:r w:rsidRPr="00552C3A">
              <w:rPr>
                <w:rFonts w:ascii="Arial" w:eastAsia="Times New Roman" w:hAnsi="Arial" w:cs="Arial"/>
                <w:i/>
                <w:sz w:val="24"/>
                <w:szCs w:val="24"/>
              </w:rPr>
              <w:t xml:space="preserve">Kwalifikacje to określony zestaw efektów uczenia się w zakresie wiedzy, umiejętności oraz kompetencji społecznych nabytych w drodze edukacji formalnej, edukacji </w:t>
            </w:r>
            <w:proofErr w:type="spellStart"/>
            <w:r w:rsidRPr="00552C3A">
              <w:rPr>
                <w:rFonts w:ascii="Arial" w:eastAsia="Times New Roman" w:hAnsi="Arial" w:cs="Arial"/>
                <w:i/>
                <w:sz w:val="24"/>
                <w:szCs w:val="24"/>
              </w:rPr>
              <w:t>pozaformalnej</w:t>
            </w:r>
            <w:proofErr w:type="spellEnd"/>
            <w:r w:rsidRPr="00552C3A">
              <w:rPr>
                <w:rFonts w:ascii="Arial" w:eastAsia="Times New Roman" w:hAnsi="Arial" w:cs="Arial"/>
                <w:i/>
                <w:sz w:val="24"/>
                <w:szCs w:val="24"/>
              </w:rPr>
              <w:t xml:space="preserve"> lub poprzez uczenie się nieformalne, zgodnych z ustalonymi dla danej kwalifikacji wymaganiami, których osiągnięcie zostało sprawdzone w walidacji oraz formalnie potwierdzone przez instytucję uprawnioną do certyfikowania.</w:t>
            </w:r>
          </w:p>
          <w:p w14:paraId="3192A837"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lastRenderedPageBreak/>
              <w:t xml:space="preserve">Kwalifikacje mogą być nadawane przez: </w:t>
            </w:r>
          </w:p>
          <w:p w14:paraId="624C03DF" w14:textId="6C603BCE"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podmioty uprawnione do realizacji procesów walidacji i certyfikowania zgodnie z ustawą z dnia 22 grudnia 2015 r. o Zintegrowanym Systemie Kwalifikacji,</w:t>
            </w:r>
          </w:p>
          <w:p w14:paraId="193D5D34" w14:textId="050C7B4D"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podmioty uprawnione do realizacji procesów walidacji i certyfikowania na mocy innych przepisów prawa,</w:t>
            </w:r>
          </w:p>
          <w:p w14:paraId="622D498A" w14:textId="5DE3485D"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podmioty uprawnione do wydawania dokumentów potwierdzających uzyskanie kwalifikacji, w tym w zawodzie,</w:t>
            </w:r>
          </w:p>
          <w:p w14:paraId="7E6B0F11" w14:textId="66C0546F"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organy władz publicznych lub samorządów zawodowych, uprawnione do wydawania dokumentów potwierdzających kwalifikację na podstawie ustawy lub rozporządzenia.</w:t>
            </w:r>
          </w:p>
          <w:p w14:paraId="6C2DFA81"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Poza kwalifikacjami włączonymi do Zintegrowanego Systemu Kwalifikacji, można wskazać przykłady innych kwalifikacji, które mają znaczenie w określonych środowiskach działalności społecznej lub zawodowej oraz mają stworzony własny system walidacji i </w:t>
            </w:r>
            <w:r w:rsidRPr="00552C3A">
              <w:rPr>
                <w:rFonts w:ascii="Arial" w:eastAsia="Times New Roman" w:hAnsi="Arial" w:cs="Arial"/>
                <w:sz w:val="24"/>
                <w:szCs w:val="24"/>
              </w:rPr>
              <w:lastRenderedPageBreak/>
              <w:t>certyfikowania. Ponadto, pomimo braku regulacji ze strony państwa polskiego, kwalifikacjami są również certyfikaty, dla których wypracowano już system walidacji i certyfikowania efektów uczenia się na poziomie międzynarodowym.</w:t>
            </w:r>
          </w:p>
          <w:p w14:paraId="5B9EC7C2" w14:textId="77777777" w:rsidR="00A928EA"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w:t>
            </w:r>
          </w:p>
          <w:p w14:paraId="0B143195"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Fakt nabycia kompetencji jest weryfikowany w ramach następujących etapów: </w:t>
            </w:r>
          </w:p>
          <w:p w14:paraId="20BED0A3"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a) ETAP I – Zakres – zdefiniowanie w ramach wniosku o dofinansowanie (w przypadku projektów) lub usługi (w przypadku Podmiotowego Systemu Finansowania) </w:t>
            </w:r>
            <w:r w:rsidRPr="00552C3A">
              <w:rPr>
                <w:rFonts w:ascii="Arial" w:eastAsia="Times New Roman" w:hAnsi="Arial" w:cs="Arial"/>
                <w:sz w:val="24"/>
                <w:szCs w:val="24"/>
              </w:rPr>
              <w:lastRenderedPageBreak/>
              <w:t>grupy docelowej do objęcia wsparciem oraz zakresu tematycznego wsparcia, który będzie poddany ocenie,</w:t>
            </w:r>
          </w:p>
          <w:p w14:paraId="5356B6D5"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40B0FD5E"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t>
            </w:r>
            <w:r w:rsidRPr="00552C3A">
              <w:rPr>
                <w:rFonts w:ascii="Arial" w:eastAsia="Times New Roman" w:hAnsi="Arial" w:cs="Arial"/>
                <w:sz w:val="24"/>
                <w:szCs w:val="24"/>
              </w:rPr>
              <w:lastRenderedPageBreak/>
              <w:t xml:space="preserve">walidacji jest prowadzony przez inną osobę aniżeli proces kształcenia), </w:t>
            </w:r>
          </w:p>
          <w:p w14:paraId="60F4DFE1"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2078CBC"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Przez efekty uczenia się należy rozumieć wiedzę, umiejętności oraz kompetencje społeczne nabyte w edukacji formalnej, edukacji </w:t>
            </w:r>
            <w:proofErr w:type="spellStart"/>
            <w:r w:rsidRPr="00552C3A">
              <w:rPr>
                <w:rFonts w:ascii="Arial" w:eastAsia="Times New Roman" w:hAnsi="Arial" w:cs="Arial"/>
                <w:sz w:val="24"/>
                <w:szCs w:val="24"/>
              </w:rPr>
              <w:t>pozaformalnej</w:t>
            </w:r>
            <w:proofErr w:type="spellEnd"/>
            <w:r w:rsidRPr="00552C3A">
              <w:rPr>
                <w:rFonts w:ascii="Arial" w:eastAsia="Times New Roman" w:hAnsi="Arial" w:cs="Arial"/>
                <w:sz w:val="24"/>
                <w:szCs w:val="24"/>
              </w:rPr>
              <w:t xml:space="preserve"> lub poprzez uczenie się nieformalne, zgodne z ustalonymi dla danej kwalifikacji lub kompetencji wymaganiami.</w:t>
            </w:r>
          </w:p>
          <w:p w14:paraId="41005C13"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 xml:space="preserve">Wykazywać należy wyłącznie kwalifikacje lub kompetencje osiągnięte w wyniku udziału w projekcie EFS+. Powinny one być wykazywane tylko raz dla uczestnika/projektu. </w:t>
            </w:r>
          </w:p>
          <w:p w14:paraId="45D91ED1"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lastRenderedPageBreak/>
              <w:t>Do wskaźnika należy wliczać jedynie osoby, które uzyskały kwalifikacje /kompetencje w trakcie lub bezpośrednio po zakończeniu udziału w projekcie, tj. w ciągu czterech tygodni, które minęły od momentu zakończenia udziału w projekcie.</w:t>
            </w:r>
          </w:p>
          <w:p w14:paraId="35801091" w14:textId="77777777"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1F003D02" w14:textId="0D085FF3" w:rsidR="00A21102" w:rsidRPr="00552C3A" w:rsidRDefault="00A21102" w:rsidP="00A21102">
            <w:pPr>
              <w:spacing w:after="120" w:line="360" w:lineRule="auto"/>
              <w:rPr>
                <w:rFonts w:ascii="Arial" w:eastAsia="Times New Roman" w:hAnsi="Arial" w:cs="Arial"/>
                <w:sz w:val="24"/>
                <w:szCs w:val="24"/>
              </w:rPr>
            </w:pPr>
            <w:r w:rsidRPr="00552C3A">
              <w:rPr>
                <w:rFonts w:ascii="Arial" w:eastAsia="Times New Roman" w:hAnsi="Arial" w:cs="Arial"/>
                <w:sz w:val="24"/>
                <w:szCs w:val="24"/>
              </w:rPr>
              <w:t>Dodatkowe informacje na temat monitorowania uzyskiwania kwalifikacji i kompetencji w ramach projektów współfinansowanych z EFS+ zawarte są w załączniku nr 2 do Wytycznych w zakresie monitorowania postępu rzeczowego realizacji programów operacyjnych na lata 2021-2027.</w:t>
            </w:r>
          </w:p>
        </w:tc>
      </w:tr>
      <w:tr w:rsidR="00312182" w:rsidRPr="00552C3A" w14:paraId="21DCD12A" w14:textId="77777777" w:rsidTr="00811621">
        <w:tc>
          <w:tcPr>
            <w:tcW w:w="1564" w:type="dxa"/>
          </w:tcPr>
          <w:p w14:paraId="56BC43C4" w14:textId="1B00F463" w:rsidR="00312182" w:rsidRPr="00552C3A" w:rsidRDefault="00A86B58" w:rsidP="00D70895">
            <w:pPr>
              <w:spacing w:line="360" w:lineRule="auto"/>
              <w:rPr>
                <w:rFonts w:ascii="Arial" w:hAnsi="Arial" w:cs="Arial"/>
                <w:b/>
                <w:sz w:val="24"/>
                <w:szCs w:val="24"/>
              </w:rPr>
            </w:pPr>
            <w:r w:rsidRPr="00552C3A">
              <w:rPr>
                <w:rFonts w:ascii="Arial" w:hAnsi="Arial" w:cs="Arial"/>
                <w:b/>
                <w:sz w:val="24"/>
                <w:szCs w:val="24"/>
              </w:rPr>
              <w:lastRenderedPageBreak/>
              <w:t>EECR04</w:t>
            </w:r>
          </w:p>
        </w:tc>
        <w:tc>
          <w:tcPr>
            <w:tcW w:w="2260" w:type="dxa"/>
          </w:tcPr>
          <w:p w14:paraId="0F808927" w14:textId="076C1D21" w:rsidR="00312182" w:rsidRPr="00552C3A" w:rsidRDefault="00A86B58" w:rsidP="00D70895">
            <w:pPr>
              <w:spacing w:line="360" w:lineRule="auto"/>
              <w:rPr>
                <w:rFonts w:ascii="Arial" w:hAnsi="Arial" w:cs="Arial"/>
                <w:sz w:val="24"/>
                <w:szCs w:val="24"/>
              </w:rPr>
            </w:pPr>
            <w:r w:rsidRPr="00552C3A">
              <w:rPr>
                <w:rFonts w:ascii="Arial" w:hAnsi="Arial" w:cs="Arial"/>
                <w:sz w:val="24"/>
                <w:szCs w:val="24"/>
              </w:rPr>
              <w:t>Wskaźnik rezultatu bezpośredniego</w:t>
            </w:r>
          </w:p>
        </w:tc>
        <w:tc>
          <w:tcPr>
            <w:tcW w:w="3982" w:type="dxa"/>
          </w:tcPr>
          <w:p w14:paraId="511A5391" w14:textId="04C97369" w:rsidR="00312182" w:rsidRPr="00552C3A" w:rsidRDefault="00A86B58" w:rsidP="006050B3">
            <w:pPr>
              <w:spacing w:line="360" w:lineRule="auto"/>
              <w:rPr>
                <w:rFonts w:ascii="Arial" w:hAnsi="Arial" w:cs="Arial"/>
                <w:sz w:val="24"/>
                <w:szCs w:val="24"/>
              </w:rPr>
            </w:pPr>
            <w:r w:rsidRPr="00552C3A">
              <w:rPr>
                <w:rFonts w:ascii="Arial" w:hAnsi="Arial" w:cs="Arial"/>
                <w:sz w:val="24"/>
                <w:szCs w:val="24"/>
              </w:rPr>
              <w:t>Liczba osób pracujących, łącznie z prowadzącymi działalność na własny rachunek, po opuszczeniu programu (osoby)</w:t>
            </w:r>
          </w:p>
        </w:tc>
        <w:tc>
          <w:tcPr>
            <w:tcW w:w="6188" w:type="dxa"/>
          </w:tcPr>
          <w:p w14:paraId="0591B7F4" w14:textId="77777777" w:rsidR="00A86B58" w:rsidRPr="00552C3A" w:rsidRDefault="00A86B58" w:rsidP="00A86B58">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Do wskaźnika wlicza się osoby bezrobotne lub bierne zawodowo w momencie przystępowania do projektu, które po uzyskaniu wsparcia EFS+ podjęły zatrudnienie (łącznie z prowadzącymi działalność na własny rachunek) i pozostają zatrudnione bezpośrednio po opuszczeniu projektu, tj. do czterech tygodni od zakończenia udziału w projekcie.</w:t>
            </w:r>
          </w:p>
          <w:p w14:paraId="424ACFFA" w14:textId="77777777" w:rsidR="00A86B58" w:rsidRPr="00552C3A" w:rsidRDefault="00A86B58" w:rsidP="00A86B58">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 xml:space="preserve">Osoby bezrobotne definiowane są jak we wskaźniku: </w:t>
            </w:r>
            <w:r w:rsidRPr="00552C3A">
              <w:rPr>
                <w:rFonts w:ascii="Arial" w:eastAsia="Times New Roman" w:hAnsi="Arial" w:cs="Arial"/>
                <w:i/>
                <w:sz w:val="24"/>
                <w:szCs w:val="24"/>
                <w:lang w:eastAsia="pl-PL"/>
              </w:rPr>
              <w:t>liczba osób bezrobotnych, w tym długotrwale bezrobotnych, objętych wsparciem w programie (osoby).</w:t>
            </w:r>
          </w:p>
          <w:p w14:paraId="4B197679" w14:textId="77777777" w:rsidR="00A86B58" w:rsidRPr="00552C3A" w:rsidRDefault="00A86B58" w:rsidP="00A86B58">
            <w:pPr>
              <w:spacing w:after="120" w:line="360" w:lineRule="auto"/>
              <w:rPr>
                <w:rFonts w:ascii="Arial" w:eastAsia="Times New Roman" w:hAnsi="Arial" w:cs="Arial"/>
                <w:i/>
                <w:sz w:val="24"/>
                <w:szCs w:val="24"/>
                <w:lang w:eastAsia="pl-PL"/>
              </w:rPr>
            </w:pPr>
            <w:r w:rsidRPr="00552C3A">
              <w:rPr>
                <w:rFonts w:ascii="Arial" w:eastAsia="Times New Roman" w:hAnsi="Arial" w:cs="Arial"/>
                <w:sz w:val="24"/>
                <w:szCs w:val="24"/>
                <w:lang w:eastAsia="pl-PL"/>
              </w:rPr>
              <w:t xml:space="preserve">Osoby bierne zawodowo definiowane są jak we wskaźniku: </w:t>
            </w:r>
            <w:r w:rsidRPr="00552C3A">
              <w:rPr>
                <w:rFonts w:ascii="Arial" w:eastAsia="Times New Roman" w:hAnsi="Arial" w:cs="Arial"/>
                <w:i/>
                <w:sz w:val="24"/>
                <w:szCs w:val="24"/>
                <w:lang w:eastAsia="pl-PL"/>
              </w:rPr>
              <w:t>liczba osób biernych zawodowo objętych wsparciem w programie (osoby).</w:t>
            </w:r>
          </w:p>
          <w:p w14:paraId="2AE2D2D4" w14:textId="77777777" w:rsidR="00A86B58" w:rsidRPr="00552C3A" w:rsidRDefault="00A86B58" w:rsidP="00A86B58">
            <w:pPr>
              <w:spacing w:after="120" w:line="360" w:lineRule="auto"/>
              <w:rPr>
                <w:rFonts w:ascii="Arial" w:eastAsia="Times New Roman" w:hAnsi="Arial" w:cs="Arial"/>
                <w:i/>
                <w:sz w:val="24"/>
                <w:szCs w:val="24"/>
                <w:lang w:eastAsia="pl-PL"/>
              </w:rPr>
            </w:pPr>
            <w:r w:rsidRPr="00552C3A">
              <w:rPr>
                <w:rFonts w:ascii="Arial" w:eastAsia="Times New Roman" w:hAnsi="Arial" w:cs="Arial"/>
                <w:sz w:val="24"/>
                <w:szCs w:val="24"/>
                <w:lang w:eastAsia="pl-PL"/>
              </w:rPr>
              <w:t xml:space="preserve">Definicja pracujących, łącznie z prowadzącymi działalność na własny rachunek, jak we wskaźniku: </w:t>
            </w:r>
            <w:r w:rsidRPr="00552C3A">
              <w:rPr>
                <w:rFonts w:ascii="Arial" w:eastAsia="Times New Roman" w:hAnsi="Arial" w:cs="Arial"/>
                <w:i/>
                <w:sz w:val="24"/>
                <w:szCs w:val="24"/>
                <w:lang w:eastAsia="pl-PL"/>
              </w:rPr>
              <w:t>liczba osób pracujących, łącznie z prowadzącymi działalność na własny rachunek, objętych wsparciem w programie (osoby).</w:t>
            </w:r>
          </w:p>
          <w:p w14:paraId="5ABEE4CF" w14:textId="77777777" w:rsidR="00A86B58" w:rsidRPr="00552C3A" w:rsidRDefault="00A86B58" w:rsidP="00A86B58">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lastRenderedPageBreak/>
              <w:t xml:space="preserve">Wskaźnik należy rozumieć jako zmianę statusu na rynku pracy po opuszczeniu programu, w stosunku do sytuacji w momencie przystąpienia do interwencji EFS+ (uczestnik bezrobotny lub bierny zawodowo w chwili wejścia do programu EFS+, a w ciągu czterech tygodni po opuszczeniu projektu – osoba pracująca). </w:t>
            </w:r>
          </w:p>
          <w:p w14:paraId="7A04B691" w14:textId="685CB236" w:rsidR="00312182" w:rsidRPr="00552C3A" w:rsidRDefault="00A86B58" w:rsidP="00A86B58">
            <w:pPr>
              <w:spacing w:after="120" w:line="360" w:lineRule="auto"/>
              <w:rPr>
                <w:rFonts w:ascii="Arial" w:eastAsia="Times New Roman" w:hAnsi="Arial" w:cs="Arial"/>
                <w:sz w:val="24"/>
                <w:szCs w:val="24"/>
                <w:lang w:eastAsia="pl-PL"/>
              </w:rPr>
            </w:pPr>
            <w:r w:rsidRPr="00552C3A">
              <w:rPr>
                <w:rFonts w:ascii="Arial" w:eastAsia="Times New Roman" w:hAnsi="Arial" w:cs="Arial"/>
                <w:sz w:val="24"/>
                <w:szCs w:val="24"/>
                <w:lang w:eastAsia="pl-PL"/>
              </w:rPr>
              <w:t>Wskaźnik mierzony do czterech tygodni od zakończenia przez uczestnika udziału w projekcie. Tym samym, we wskaźniku należy uwzględniać wszystkie osoby, które w okresie do czterech tygodni po zakończeniu udziału w projekcie podjęły zatrudnienie.</w:t>
            </w:r>
          </w:p>
        </w:tc>
      </w:tr>
    </w:tbl>
    <w:p w14:paraId="33EECBC0" w14:textId="191C3219" w:rsidR="001C28F2" w:rsidRPr="00552C3A" w:rsidRDefault="001C28F2" w:rsidP="00D70895">
      <w:pPr>
        <w:spacing w:after="0" w:line="360" w:lineRule="auto"/>
        <w:rPr>
          <w:rFonts w:ascii="Arial" w:hAnsi="Arial" w:cs="Arial"/>
          <w:sz w:val="24"/>
          <w:szCs w:val="24"/>
        </w:rPr>
      </w:pPr>
    </w:p>
    <w:p w14:paraId="69BAA685" w14:textId="3CD55C95" w:rsidR="00DB45A5" w:rsidRDefault="00DB45A5" w:rsidP="00D70895">
      <w:pPr>
        <w:spacing w:after="0" w:line="360" w:lineRule="auto"/>
        <w:rPr>
          <w:rFonts w:ascii="Arial" w:hAnsi="Arial" w:cs="Arial"/>
          <w:sz w:val="24"/>
          <w:szCs w:val="24"/>
        </w:rPr>
      </w:pPr>
    </w:p>
    <w:p w14:paraId="604D8E0D" w14:textId="1A4F8555" w:rsidR="00B0128F" w:rsidRDefault="00B0128F" w:rsidP="00D70895">
      <w:pPr>
        <w:spacing w:after="0" w:line="360" w:lineRule="auto"/>
        <w:rPr>
          <w:rFonts w:ascii="Arial" w:hAnsi="Arial" w:cs="Arial"/>
          <w:sz w:val="24"/>
          <w:szCs w:val="24"/>
        </w:rPr>
      </w:pPr>
    </w:p>
    <w:p w14:paraId="77BAC3F9" w14:textId="52FD2D34" w:rsidR="00B0128F" w:rsidRDefault="00B0128F" w:rsidP="00D70895">
      <w:pPr>
        <w:spacing w:after="0" w:line="360" w:lineRule="auto"/>
        <w:rPr>
          <w:rFonts w:ascii="Arial" w:hAnsi="Arial" w:cs="Arial"/>
          <w:sz w:val="24"/>
          <w:szCs w:val="24"/>
        </w:rPr>
      </w:pPr>
    </w:p>
    <w:p w14:paraId="55BC0692" w14:textId="2954F159" w:rsidR="00B0128F" w:rsidRDefault="00B0128F" w:rsidP="00D70895">
      <w:pPr>
        <w:spacing w:after="0" w:line="360" w:lineRule="auto"/>
        <w:rPr>
          <w:rFonts w:ascii="Arial" w:hAnsi="Arial" w:cs="Arial"/>
          <w:sz w:val="24"/>
          <w:szCs w:val="24"/>
        </w:rPr>
      </w:pPr>
    </w:p>
    <w:p w14:paraId="3ABBA2CC" w14:textId="4B61402E" w:rsidR="00B0128F" w:rsidRDefault="00B0128F" w:rsidP="00D70895">
      <w:pPr>
        <w:spacing w:after="0" w:line="360" w:lineRule="auto"/>
        <w:rPr>
          <w:rFonts w:ascii="Arial" w:hAnsi="Arial" w:cs="Arial"/>
          <w:sz w:val="24"/>
          <w:szCs w:val="24"/>
        </w:rPr>
      </w:pPr>
    </w:p>
    <w:p w14:paraId="6CE7F6E8" w14:textId="19F80617" w:rsidR="00B0128F" w:rsidRDefault="00B0128F" w:rsidP="00D70895">
      <w:pPr>
        <w:spacing w:after="0" w:line="360" w:lineRule="auto"/>
        <w:rPr>
          <w:rFonts w:ascii="Arial" w:hAnsi="Arial" w:cs="Arial"/>
          <w:sz w:val="24"/>
          <w:szCs w:val="24"/>
        </w:rPr>
      </w:pPr>
    </w:p>
    <w:p w14:paraId="5B0E51BB" w14:textId="4F6267AC" w:rsidR="00B0128F" w:rsidRDefault="00B0128F" w:rsidP="00D70895">
      <w:pPr>
        <w:spacing w:after="0" w:line="360" w:lineRule="auto"/>
        <w:rPr>
          <w:rFonts w:ascii="Arial" w:hAnsi="Arial" w:cs="Arial"/>
          <w:sz w:val="24"/>
          <w:szCs w:val="24"/>
        </w:rPr>
      </w:pPr>
    </w:p>
    <w:p w14:paraId="0D300B2D" w14:textId="77777777" w:rsidR="00B0128F" w:rsidRPr="00552C3A" w:rsidRDefault="00B0128F" w:rsidP="00D70895">
      <w:pPr>
        <w:spacing w:after="0" w:line="360" w:lineRule="auto"/>
        <w:rPr>
          <w:rFonts w:ascii="Arial" w:hAnsi="Arial" w:cs="Arial"/>
          <w:sz w:val="24"/>
          <w:szCs w:val="24"/>
        </w:rPr>
      </w:pPr>
    </w:p>
    <w:p w14:paraId="03350F9D" w14:textId="77777777" w:rsidR="00DB45A5" w:rsidRPr="00552C3A" w:rsidRDefault="00DB45A5" w:rsidP="00D70895">
      <w:pPr>
        <w:spacing w:after="0" w:line="360" w:lineRule="auto"/>
        <w:rPr>
          <w:rFonts w:ascii="Arial" w:hAnsi="Arial" w:cs="Arial"/>
          <w:sz w:val="24"/>
          <w:szCs w:val="24"/>
        </w:rPr>
      </w:pPr>
    </w:p>
    <w:tbl>
      <w:tblPr>
        <w:tblStyle w:val="Tabela-Siatka"/>
        <w:tblW w:w="0" w:type="auto"/>
        <w:jc w:val="center"/>
        <w:tblLook w:val="04A0" w:firstRow="1" w:lastRow="0" w:firstColumn="1" w:lastColumn="0" w:noHBand="0" w:noVBand="1"/>
      </w:tblPr>
      <w:tblGrid>
        <w:gridCol w:w="7225"/>
        <w:gridCol w:w="6769"/>
      </w:tblGrid>
      <w:tr w:rsidR="00A54EEE" w:rsidRPr="00552C3A" w14:paraId="27AD8914" w14:textId="77777777" w:rsidTr="00FD7129">
        <w:trPr>
          <w:jc w:val="center"/>
        </w:trPr>
        <w:tc>
          <w:tcPr>
            <w:tcW w:w="13994" w:type="dxa"/>
            <w:gridSpan w:val="2"/>
          </w:tcPr>
          <w:p w14:paraId="3EE9BABC" w14:textId="71BBA162" w:rsidR="00A54EEE" w:rsidRPr="00552C3A" w:rsidRDefault="00A54EEE" w:rsidP="00D70895">
            <w:pPr>
              <w:spacing w:line="360" w:lineRule="auto"/>
              <w:rPr>
                <w:rFonts w:ascii="Arial" w:hAnsi="Arial" w:cs="Arial"/>
                <w:b/>
                <w:sz w:val="24"/>
                <w:szCs w:val="24"/>
              </w:rPr>
            </w:pPr>
            <w:r w:rsidRPr="00552C3A">
              <w:rPr>
                <w:rFonts w:ascii="Arial" w:hAnsi="Arial" w:cs="Arial"/>
                <w:b/>
                <w:sz w:val="24"/>
                <w:szCs w:val="24"/>
              </w:rPr>
              <w:t>ZAKŁADANE EFEKTY PROJEKTU WYRAŻONE WSKAŹNIKAMI</w:t>
            </w:r>
          </w:p>
        </w:tc>
      </w:tr>
      <w:tr w:rsidR="00A54EEE" w:rsidRPr="00552C3A" w14:paraId="5ACF8D12" w14:textId="77777777" w:rsidTr="00FD7129">
        <w:trPr>
          <w:jc w:val="center"/>
        </w:trPr>
        <w:tc>
          <w:tcPr>
            <w:tcW w:w="13994" w:type="dxa"/>
            <w:gridSpan w:val="2"/>
          </w:tcPr>
          <w:p w14:paraId="6A51AFBB" w14:textId="7C71CFEF" w:rsidR="00A54EEE" w:rsidRPr="00552C3A" w:rsidRDefault="00A54EEE" w:rsidP="00A54EEE">
            <w:pPr>
              <w:pStyle w:val="Akapitzlist"/>
              <w:numPr>
                <w:ilvl w:val="0"/>
                <w:numId w:val="5"/>
              </w:numPr>
              <w:spacing w:after="0" w:line="360" w:lineRule="auto"/>
              <w:rPr>
                <w:rFonts w:ascii="Arial" w:hAnsi="Arial" w:cs="Arial"/>
                <w:b/>
                <w:sz w:val="24"/>
                <w:szCs w:val="24"/>
              </w:rPr>
            </w:pPr>
            <w:r w:rsidRPr="00552C3A">
              <w:rPr>
                <w:rFonts w:ascii="Arial" w:hAnsi="Arial" w:cs="Arial"/>
                <w:b/>
                <w:sz w:val="24"/>
                <w:szCs w:val="24"/>
              </w:rPr>
              <w:t>WSKAŹNIKI PRODUKTU WYNIKAJĄCE Z FEDS 2021-2027</w:t>
            </w:r>
          </w:p>
        </w:tc>
      </w:tr>
      <w:tr w:rsidR="00A54EEE" w:rsidRPr="00552C3A" w14:paraId="622EED5A" w14:textId="77777777" w:rsidTr="00FD7129">
        <w:trPr>
          <w:jc w:val="center"/>
        </w:trPr>
        <w:tc>
          <w:tcPr>
            <w:tcW w:w="7225" w:type="dxa"/>
            <w:vAlign w:val="center"/>
          </w:tcPr>
          <w:p w14:paraId="1D25F6F1" w14:textId="1156921A" w:rsidR="00A54EEE" w:rsidRPr="00552C3A" w:rsidRDefault="00A54EEE" w:rsidP="00A54EEE">
            <w:pPr>
              <w:spacing w:line="360" w:lineRule="auto"/>
              <w:jc w:val="center"/>
              <w:rPr>
                <w:rFonts w:ascii="Arial" w:hAnsi="Arial" w:cs="Arial"/>
                <w:b/>
                <w:sz w:val="24"/>
                <w:szCs w:val="24"/>
              </w:rPr>
            </w:pPr>
            <w:r w:rsidRPr="00552C3A">
              <w:rPr>
                <w:rFonts w:ascii="Arial" w:hAnsi="Arial" w:cs="Arial"/>
                <w:b/>
                <w:sz w:val="24"/>
                <w:szCs w:val="24"/>
              </w:rPr>
              <w:t>Nazwa wskaźnika</w:t>
            </w:r>
          </w:p>
        </w:tc>
        <w:tc>
          <w:tcPr>
            <w:tcW w:w="6769" w:type="dxa"/>
            <w:vAlign w:val="center"/>
          </w:tcPr>
          <w:p w14:paraId="42A235F9" w14:textId="7626126F" w:rsidR="00A54EEE" w:rsidRPr="00552C3A" w:rsidRDefault="00A54EEE" w:rsidP="00A54EEE">
            <w:pPr>
              <w:spacing w:line="360" w:lineRule="auto"/>
              <w:jc w:val="center"/>
              <w:rPr>
                <w:rFonts w:ascii="Arial" w:hAnsi="Arial" w:cs="Arial"/>
                <w:b/>
                <w:sz w:val="24"/>
                <w:szCs w:val="24"/>
              </w:rPr>
            </w:pPr>
            <w:r w:rsidRPr="00552C3A">
              <w:rPr>
                <w:rFonts w:ascii="Arial" w:hAnsi="Arial" w:cs="Arial"/>
                <w:b/>
                <w:sz w:val="24"/>
                <w:szCs w:val="24"/>
              </w:rPr>
              <w:t>Szacunkowa wartość docelowa wskaźnika</w:t>
            </w:r>
          </w:p>
          <w:p w14:paraId="582A19DC" w14:textId="4FBBE3FC" w:rsidR="00A54EEE" w:rsidRPr="00552C3A" w:rsidRDefault="00A54EEE" w:rsidP="00A54EEE">
            <w:pPr>
              <w:spacing w:line="360" w:lineRule="auto"/>
              <w:jc w:val="center"/>
              <w:rPr>
                <w:rFonts w:ascii="Arial" w:hAnsi="Arial" w:cs="Arial"/>
                <w:sz w:val="24"/>
                <w:szCs w:val="24"/>
              </w:rPr>
            </w:pPr>
            <w:r w:rsidRPr="00552C3A">
              <w:rPr>
                <w:rFonts w:ascii="Arial" w:hAnsi="Arial" w:cs="Arial"/>
                <w:b/>
                <w:sz w:val="24"/>
                <w:szCs w:val="24"/>
              </w:rPr>
              <w:t>(Ogółem)</w:t>
            </w:r>
          </w:p>
        </w:tc>
      </w:tr>
      <w:tr w:rsidR="00A54EEE" w:rsidRPr="00552C3A" w14:paraId="53881EFF" w14:textId="77777777" w:rsidTr="00FD7129">
        <w:trPr>
          <w:jc w:val="center"/>
        </w:trPr>
        <w:tc>
          <w:tcPr>
            <w:tcW w:w="7225" w:type="dxa"/>
          </w:tcPr>
          <w:p w14:paraId="70A1315E" w14:textId="53599628" w:rsidR="00A54EEE" w:rsidRPr="00552C3A" w:rsidRDefault="007F3314" w:rsidP="00D70895">
            <w:pPr>
              <w:spacing w:line="360" w:lineRule="auto"/>
              <w:rPr>
                <w:rFonts w:ascii="Arial" w:hAnsi="Arial" w:cs="Arial"/>
                <w:sz w:val="24"/>
                <w:szCs w:val="24"/>
              </w:rPr>
            </w:pPr>
            <w:r w:rsidRPr="00552C3A">
              <w:rPr>
                <w:rFonts w:ascii="Arial" w:hAnsi="Arial" w:cs="Arial"/>
                <w:sz w:val="24"/>
                <w:szCs w:val="24"/>
              </w:rPr>
              <w:t>Liczba osób bezrobotnych, w tym długotrwale bezrobotnych, objętych wsparciem w programie (osoby)</w:t>
            </w:r>
          </w:p>
        </w:tc>
        <w:tc>
          <w:tcPr>
            <w:tcW w:w="6769" w:type="dxa"/>
            <w:vAlign w:val="center"/>
          </w:tcPr>
          <w:p w14:paraId="4AE87973" w14:textId="06C10841" w:rsidR="00A54EEE" w:rsidRPr="00552C3A" w:rsidRDefault="008449BB" w:rsidP="00FD7129">
            <w:pPr>
              <w:spacing w:line="360" w:lineRule="auto"/>
              <w:jc w:val="center"/>
              <w:rPr>
                <w:rFonts w:ascii="Arial" w:hAnsi="Arial" w:cs="Arial"/>
                <w:sz w:val="24"/>
                <w:szCs w:val="24"/>
              </w:rPr>
            </w:pPr>
            <w:r w:rsidRPr="00552C3A">
              <w:rPr>
                <w:rFonts w:ascii="Arial" w:hAnsi="Arial" w:cs="Arial"/>
                <w:sz w:val="24"/>
                <w:szCs w:val="24"/>
              </w:rPr>
              <w:t>100</w:t>
            </w:r>
          </w:p>
        </w:tc>
      </w:tr>
      <w:tr w:rsidR="007F3314" w:rsidRPr="00552C3A" w14:paraId="3C1FCE40" w14:textId="77777777" w:rsidTr="00FD7129">
        <w:trPr>
          <w:jc w:val="center"/>
        </w:trPr>
        <w:tc>
          <w:tcPr>
            <w:tcW w:w="7225" w:type="dxa"/>
          </w:tcPr>
          <w:p w14:paraId="5DFA6154" w14:textId="12A0BA61" w:rsidR="007F3314" w:rsidRPr="00552C3A" w:rsidRDefault="007F3314" w:rsidP="00D70895">
            <w:pPr>
              <w:spacing w:line="360" w:lineRule="auto"/>
              <w:rPr>
                <w:rFonts w:ascii="Arial" w:hAnsi="Arial" w:cs="Arial"/>
                <w:sz w:val="24"/>
                <w:szCs w:val="24"/>
              </w:rPr>
            </w:pPr>
            <w:r w:rsidRPr="00552C3A">
              <w:rPr>
                <w:rFonts w:ascii="Arial" w:hAnsi="Arial" w:cs="Arial"/>
                <w:sz w:val="24"/>
                <w:szCs w:val="24"/>
              </w:rPr>
              <w:t>Liczba osób długotrwale bezrobotnych objętych wsparciem w programie (osoby)</w:t>
            </w:r>
          </w:p>
        </w:tc>
        <w:tc>
          <w:tcPr>
            <w:tcW w:w="6769" w:type="dxa"/>
            <w:vAlign w:val="center"/>
          </w:tcPr>
          <w:p w14:paraId="6974AD0D" w14:textId="3666550C" w:rsidR="007F3314" w:rsidRPr="00552C3A" w:rsidRDefault="007F3314" w:rsidP="00FD7129">
            <w:pPr>
              <w:spacing w:line="360" w:lineRule="auto"/>
              <w:jc w:val="center"/>
              <w:rPr>
                <w:rFonts w:ascii="Arial" w:hAnsi="Arial" w:cs="Arial"/>
                <w:sz w:val="24"/>
                <w:szCs w:val="24"/>
              </w:rPr>
            </w:pPr>
            <w:r w:rsidRPr="00552C3A">
              <w:rPr>
                <w:rFonts w:ascii="Arial" w:hAnsi="Arial" w:cs="Arial"/>
                <w:sz w:val="24"/>
                <w:szCs w:val="24"/>
              </w:rPr>
              <w:t>8</w:t>
            </w:r>
            <w:r w:rsidR="008449BB" w:rsidRPr="00552C3A">
              <w:rPr>
                <w:rFonts w:ascii="Arial" w:hAnsi="Arial" w:cs="Arial"/>
                <w:sz w:val="24"/>
                <w:szCs w:val="24"/>
              </w:rPr>
              <w:t>0</w:t>
            </w:r>
          </w:p>
        </w:tc>
      </w:tr>
      <w:tr w:rsidR="007F3314" w:rsidRPr="00552C3A" w14:paraId="29312CEA" w14:textId="77777777" w:rsidTr="00FD7129">
        <w:trPr>
          <w:jc w:val="center"/>
        </w:trPr>
        <w:tc>
          <w:tcPr>
            <w:tcW w:w="7225" w:type="dxa"/>
          </w:tcPr>
          <w:p w14:paraId="45B83371" w14:textId="31DEB083" w:rsidR="007F3314" w:rsidRPr="00552C3A" w:rsidRDefault="007F3314" w:rsidP="00D70895">
            <w:pPr>
              <w:spacing w:line="360" w:lineRule="auto"/>
              <w:rPr>
                <w:rFonts w:ascii="Arial" w:hAnsi="Arial" w:cs="Arial"/>
                <w:sz w:val="24"/>
                <w:szCs w:val="24"/>
              </w:rPr>
            </w:pPr>
            <w:r w:rsidRPr="00552C3A">
              <w:rPr>
                <w:rFonts w:ascii="Arial" w:hAnsi="Arial" w:cs="Arial"/>
                <w:sz w:val="24"/>
                <w:szCs w:val="24"/>
              </w:rPr>
              <w:t>Liczba osób w wieku 18-29 lat objętych wsparciem w programie (osoby)</w:t>
            </w:r>
          </w:p>
        </w:tc>
        <w:tc>
          <w:tcPr>
            <w:tcW w:w="6769" w:type="dxa"/>
            <w:vAlign w:val="center"/>
          </w:tcPr>
          <w:p w14:paraId="469A5163" w14:textId="51E0064D" w:rsidR="007F3314" w:rsidRPr="00552C3A" w:rsidRDefault="008449BB" w:rsidP="00FD7129">
            <w:pPr>
              <w:spacing w:line="360" w:lineRule="auto"/>
              <w:jc w:val="center"/>
              <w:rPr>
                <w:rFonts w:ascii="Arial" w:hAnsi="Arial" w:cs="Arial"/>
                <w:sz w:val="24"/>
                <w:szCs w:val="24"/>
              </w:rPr>
            </w:pPr>
            <w:r w:rsidRPr="00552C3A">
              <w:rPr>
                <w:rFonts w:ascii="Arial" w:hAnsi="Arial" w:cs="Arial"/>
                <w:sz w:val="24"/>
                <w:szCs w:val="24"/>
              </w:rPr>
              <w:t>200</w:t>
            </w:r>
          </w:p>
        </w:tc>
      </w:tr>
      <w:tr w:rsidR="007F3314" w:rsidRPr="00552C3A" w14:paraId="136408B1" w14:textId="77777777" w:rsidTr="00FD7129">
        <w:trPr>
          <w:jc w:val="center"/>
        </w:trPr>
        <w:tc>
          <w:tcPr>
            <w:tcW w:w="7225" w:type="dxa"/>
          </w:tcPr>
          <w:p w14:paraId="7578862E" w14:textId="5FDFC000" w:rsidR="007F3314" w:rsidRPr="00552C3A" w:rsidRDefault="007F3314" w:rsidP="00D70895">
            <w:pPr>
              <w:spacing w:line="360" w:lineRule="auto"/>
              <w:rPr>
                <w:rFonts w:ascii="Arial" w:hAnsi="Arial" w:cs="Arial"/>
                <w:sz w:val="24"/>
                <w:szCs w:val="24"/>
              </w:rPr>
            </w:pPr>
            <w:r w:rsidRPr="00552C3A">
              <w:rPr>
                <w:rFonts w:ascii="Arial" w:hAnsi="Arial" w:cs="Arial"/>
                <w:sz w:val="24"/>
                <w:szCs w:val="24"/>
              </w:rPr>
              <w:t>Liczba osób z niepełnosprawnościami objętych wsparciem w programie (osoby)</w:t>
            </w:r>
          </w:p>
        </w:tc>
        <w:tc>
          <w:tcPr>
            <w:tcW w:w="6769" w:type="dxa"/>
            <w:vAlign w:val="center"/>
          </w:tcPr>
          <w:p w14:paraId="2BC082BB" w14:textId="1FB566A7" w:rsidR="007F3314" w:rsidRPr="00552C3A" w:rsidRDefault="008449BB" w:rsidP="00FD7129">
            <w:pPr>
              <w:spacing w:line="360" w:lineRule="auto"/>
              <w:jc w:val="center"/>
              <w:rPr>
                <w:rFonts w:ascii="Arial" w:hAnsi="Arial" w:cs="Arial"/>
                <w:sz w:val="24"/>
                <w:szCs w:val="24"/>
              </w:rPr>
            </w:pPr>
            <w:r w:rsidRPr="00552C3A">
              <w:rPr>
                <w:rFonts w:ascii="Arial" w:hAnsi="Arial" w:cs="Arial"/>
                <w:sz w:val="24"/>
                <w:szCs w:val="24"/>
              </w:rPr>
              <w:t>10</w:t>
            </w:r>
          </w:p>
        </w:tc>
      </w:tr>
      <w:tr w:rsidR="00FD7129" w:rsidRPr="00552C3A" w14:paraId="49696F8C" w14:textId="77777777" w:rsidTr="00FD7129">
        <w:trPr>
          <w:jc w:val="center"/>
        </w:trPr>
        <w:tc>
          <w:tcPr>
            <w:tcW w:w="13994" w:type="dxa"/>
            <w:gridSpan w:val="2"/>
          </w:tcPr>
          <w:p w14:paraId="2EECB1B0" w14:textId="566B898D" w:rsidR="00FD7129" w:rsidRPr="00552C3A" w:rsidRDefault="00FD7129" w:rsidP="00FD7129">
            <w:pPr>
              <w:pStyle w:val="Akapitzlist"/>
              <w:numPr>
                <w:ilvl w:val="0"/>
                <w:numId w:val="5"/>
              </w:numPr>
              <w:spacing w:after="0" w:line="360" w:lineRule="auto"/>
              <w:rPr>
                <w:rFonts w:ascii="Arial" w:hAnsi="Arial" w:cs="Arial"/>
                <w:b/>
                <w:sz w:val="24"/>
                <w:szCs w:val="24"/>
              </w:rPr>
            </w:pPr>
            <w:r w:rsidRPr="00552C3A">
              <w:rPr>
                <w:rFonts w:ascii="Arial" w:hAnsi="Arial" w:cs="Arial"/>
                <w:b/>
                <w:sz w:val="24"/>
                <w:szCs w:val="24"/>
              </w:rPr>
              <w:t>WSKAŹNIKI REZULTATU WYNIKAJĄCE Z FEDS 2021-2027</w:t>
            </w:r>
          </w:p>
        </w:tc>
      </w:tr>
      <w:tr w:rsidR="00FD7129" w:rsidRPr="00552C3A" w14:paraId="37BB4421" w14:textId="77777777" w:rsidTr="00FD7129">
        <w:trPr>
          <w:jc w:val="center"/>
        </w:trPr>
        <w:tc>
          <w:tcPr>
            <w:tcW w:w="7225" w:type="dxa"/>
            <w:vAlign w:val="center"/>
          </w:tcPr>
          <w:p w14:paraId="222436B5" w14:textId="609811F2" w:rsidR="00FD7129" w:rsidRPr="00552C3A" w:rsidRDefault="00FD7129" w:rsidP="00FD7129">
            <w:pPr>
              <w:spacing w:line="360" w:lineRule="auto"/>
              <w:jc w:val="center"/>
              <w:rPr>
                <w:rFonts w:ascii="Arial" w:hAnsi="Arial" w:cs="Arial"/>
                <w:b/>
                <w:sz w:val="24"/>
                <w:szCs w:val="24"/>
              </w:rPr>
            </w:pPr>
            <w:r w:rsidRPr="00552C3A">
              <w:rPr>
                <w:rFonts w:ascii="Arial" w:hAnsi="Arial" w:cs="Arial"/>
                <w:b/>
                <w:sz w:val="24"/>
                <w:szCs w:val="24"/>
              </w:rPr>
              <w:t>Nazwa wskaźnika</w:t>
            </w:r>
          </w:p>
        </w:tc>
        <w:tc>
          <w:tcPr>
            <w:tcW w:w="6769" w:type="dxa"/>
            <w:vAlign w:val="center"/>
          </w:tcPr>
          <w:p w14:paraId="4929B59C" w14:textId="77777777" w:rsidR="00FD7129" w:rsidRPr="00552C3A" w:rsidRDefault="00FD7129" w:rsidP="00FD7129">
            <w:pPr>
              <w:spacing w:line="360" w:lineRule="auto"/>
              <w:jc w:val="center"/>
              <w:rPr>
                <w:rFonts w:ascii="Arial" w:hAnsi="Arial" w:cs="Arial"/>
                <w:b/>
                <w:sz w:val="24"/>
                <w:szCs w:val="24"/>
              </w:rPr>
            </w:pPr>
            <w:r w:rsidRPr="00552C3A">
              <w:rPr>
                <w:rFonts w:ascii="Arial" w:hAnsi="Arial" w:cs="Arial"/>
                <w:b/>
                <w:sz w:val="24"/>
                <w:szCs w:val="24"/>
              </w:rPr>
              <w:t>Szacunkowa wartość docelowa wskaźnika</w:t>
            </w:r>
          </w:p>
          <w:p w14:paraId="62537BA5" w14:textId="6029076C" w:rsidR="00FD7129" w:rsidRPr="00552C3A" w:rsidRDefault="00FD7129" w:rsidP="00FD7129">
            <w:pPr>
              <w:spacing w:line="360" w:lineRule="auto"/>
              <w:jc w:val="center"/>
              <w:rPr>
                <w:rFonts w:ascii="Arial" w:hAnsi="Arial" w:cs="Arial"/>
                <w:sz w:val="24"/>
                <w:szCs w:val="24"/>
              </w:rPr>
            </w:pPr>
            <w:r w:rsidRPr="00552C3A">
              <w:rPr>
                <w:rFonts w:ascii="Arial" w:hAnsi="Arial" w:cs="Arial"/>
                <w:b/>
                <w:sz w:val="24"/>
                <w:szCs w:val="24"/>
              </w:rPr>
              <w:t>(Ogółem)</w:t>
            </w:r>
          </w:p>
        </w:tc>
      </w:tr>
      <w:tr w:rsidR="00FD7129" w:rsidRPr="00552C3A" w14:paraId="3DE45C7A" w14:textId="77777777" w:rsidTr="00FD7129">
        <w:trPr>
          <w:jc w:val="center"/>
        </w:trPr>
        <w:tc>
          <w:tcPr>
            <w:tcW w:w="7225" w:type="dxa"/>
          </w:tcPr>
          <w:p w14:paraId="5F376D28" w14:textId="20F071F9" w:rsidR="00FD7129" w:rsidRPr="00552C3A" w:rsidRDefault="007F3314" w:rsidP="00D70895">
            <w:pPr>
              <w:spacing w:line="360" w:lineRule="auto"/>
              <w:rPr>
                <w:rFonts w:ascii="Arial" w:hAnsi="Arial" w:cs="Arial"/>
                <w:sz w:val="24"/>
                <w:szCs w:val="24"/>
              </w:rPr>
            </w:pPr>
            <w:r w:rsidRPr="00552C3A">
              <w:rPr>
                <w:rFonts w:ascii="Arial" w:hAnsi="Arial" w:cs="Arial"/>
                <w:sz w:val="24"/>
                <w:szCs w:val="24"/>
              </w:rPr>
              <w:t>Liczba osób, które uzyskały kwalifikacje po opuszczeniu programu (osoby)</w:t>
            </w:r>
          </w:p>
        </w:tc>
        <w:tc>
          <w:tcPr>
            <w:tcW w:w="6769" w:type="dxa"/>
            <w:vAlign w:val="center"/>
          </w:tcPr>
          <w:p w14:paraId="6C63709E" w14:textId="54F2590C" w:rsidR="00FD7129" w:rsidRPr="00552C3A" w:rsidRDefault="00E31245" w:rsidP="00FD7129">
            <w:pPr>
              <w:spacing w:line="360" w:lineRule="auto"/>
              <w:jc w:val="center"/>
              <w:rPr>
                <w:rFonts w:ascii="Arial" w:hAnsi="Arial" w:cs="Arial"/>
                <w:sz w:val="24"/>
                <w:szCs w:val="24"/>
              </w:rPr>
            </w:pPr>
            <w:r w:rsidRPr="00552C3A">
              <w:rPr>
                <w:rFonts w:ascii="Arial" w:hAnsi="Arial" w:cs="Arial"/>
                <w:sz w:val="24"/>
                <w:szCs w:val="24"/>
              </w:rPr>
              <w:t>110</w:t>
            </w:r>
          </w:p>
        </w:tc>
      </w:tr>
      <w:tr w:rsidR="007F3314" w:rsidRPr="00182020" w14:paraId="124C86A4" w14:textId="77777777" w:rsidTr="00FD7129">
        <w:trPr>
          <w:jc w:val="center"/>
        </w:trPr>
        <w:tc>
          <w:tcPr>
            <w:tcW w:w="7225" w:type="dxa"/>
          </w:tcPr>
          <w:p w14:paraId="3B7B3439" w14:textId="5C801BE9" w:rsidR="007F3314" w:rsidRPr="00552C3A" w:rsidRDefault="007F3314" w:rsidP="00D70895">
            <w:pPr>
              <w:spacing w:line="360" w:lineRule="auto"/>
              <w:rPr>
                <w:rFonts w:ascii="Arial" w:hAnsi="Arial" w:cs="Arial"/>
                <w:sz w:val="24"/>
                <w:szCs w:val="24"/>
              </w:rPr>
            </w:pPr>
            <w:r w:rsidRPr="00552C3A">
              <w:rPr>
                <w:rFonts w:ascii="Arial" w:hAnsi="Arial" w:cs="Arial"/>
                <w:sz w:val="24"/>
                <w:szCs w:val="24"/>
              </w:rPr>
              <w:t>Liczba osób pracujących, łącznie z prowadzącymi działalność na własny rachunek, po opuszczeniu programu (osoby)</w:t>
            </w:r>
          </w:p>
        </w:tc>
        <w:tc>
          <w:tcPr>
            <w:tcW w:w="6769" w:type="dxa"/>
            <w:vAlign w:val="center"/>
          </w:tcPr>
          <w:p w14:paraId="008F3E0F" w14:textId="4686195E" w:rsidR="007F3314" w:rsidRPr="00E31245" w:rsidRDefault="00E31245" w:rsidP="00FD7129">
            <w:pPr>
              <w:spacing w:line="360" w:lineRule="auto"/>
              <w:jc w:val="center"/>
              <w:rPr>
                <w:rFonts w:ascii="Arial" w:hAnsi="Arial" w:cs="Arial"/>
                <w:sz w:val="24"/>
                <w:szCs w:val="24"/>
              </w:rPr>
            </w:pPr>
            <w:r w:rsidRPr="00552C3A">
              <w:rPr>
                <w:rFonts w:ascii="Arial" w:hAnsi="Arial" w:cs="Arial"/>
                <w:sz w:val="24"/>
                <w:szCs w:val="24"/>
              </w:rPr>
              <w:t>50</w:t>
            </w:r>
          </w:p>
        </w:tc>
      </w:tr>
    </w:tbl>
    <w:p w14:paraId="5ADEA3CF" w14:textId="3A5D7CE5" w:rsidR="00F4491A" w:rsidRPr="00D70895" w:rsidRDefault="00F4491A" w:rsidP="00B0128F">
      <w:pPr>
        <w:spacing w:after="0" w:line="360" w:lineRule="auto"/>
        <w:rPr>
          <w:rFonts w:ascii="Arial" w:hAnsi="Arial" w:cs="Arial"/>
          <w:sz w:val="24"/>
          <w:szCs w:val="24"/>
        </w:rPr>
      </w:pPr>
    </w:p>
    <w:sectPr w:rsidR="00F4491A" w:rsidRPr="00D70895" w:rsidSect="004844D8">
      <w:headerReference w:type="default" r:id="rId8"/>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FB63" w16cex:dateUtc="2023-06-26T09: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1692F" w14:textId="77777777" w:rsidR="00DD104B" w:rsidRDefault="00DD104B" w:rsidP="00380DBB">
      <w:pPr>
        <w:spacing w:after="0" w:line="240" w:lineRule="auto"/>
      </w:pPr>
      <w:r>
        <w:separator/>
      </w:r>
    </w:p>
  </w:endnote>
  <w:endnote w:type="continuationSeparator" w:id="0">
    <w:p w14:paraId="006DB7B8" w14:textId="77777777" w:rsidR="00DD104B" w:rsidRDefault="00DD104B" w:rsidP="00380DBB">
      <w:pPr>
        <w:spacing w:after="0" w:line="240" w:lineRule="auto"/>
      </w:pPr>
      <w:r>
        <w:continuationSeparator/>
      </w:r>
    </w:p>
  </w:endnote>
  <w:endnote w:type="continuationNotice" w:id="1">
    <w:p w14:paraId="542A23C5" w14:textId="77777777" w:rsidR="00DD104B" w:rsidRDefault="00DD1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0DDED" w14:textId="77777777" w:rsidR="00DD104B" w:rsidRDefault="00DD104B" w:rsidP="00380DBB">
      <w:pPr>
        <w:spacing w:after="0" w:line="240" w:lineRule="auto"/>
      </w:pPr>
      <w:r>
        <w:separator/>
      </w:r>
    </w:p>
  </w:footnote>
  <w:footnote w:type="continuationSeparator" w:id="0">
    <w:p w14:paraId="430632E8" w14:textId="77777777" w:rsidR="00DD104B" w:rsidRDefault="00DD104B" w:rsidP="00380DBB">
      <w:pPr>
        <w:spacing w:after="0" w:line="240" w:lineRule="auto"/>
      </w:pPr>
      <w:r>
        <w:continuationSeparator/>
      </w:r>
    </w:p>
  </w:footnote>
  <w:footnote w:type="continuationNotice" w:id="1">
    <w:p w14:paraId="0E5116A9" w14:textId="77777777" w:rsidR="00DD104B" w:rsidRDefault="00DD10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A519" w14:textId="7E0FDC21" w:rsidR="00BD18A9" w:rsidRPr="002B0B75" w:rsidRDefault="00F4491A" w:rsidP="002B0B75">
    <w:pPr>
      <w:pStyle w:val="Nagwek"/>
      <w:jc w:val="center"/>
    </w:pPr>
    <w:r w:rsidRPr="005B070B">
      <w:rPr>
        <w:rFonts w:cs="Arial"/>
        <w:noProof/>
        <w:lang w:eastAsia="pl-PL"/>
      </w:rPr>
      <w:drawing>
        <wp:inline distT="0" distB="0" distL="0" distR="0" wp14:anchorId="16272F90" wp14:editId="674D4759">
          <wp:extent cx="6153150" cy="847725"/>
          <wp:effectExtent l="0" t="0" r="0" b="9525"/>
          <wp:docPr id="1" name="Obraz 1"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1DE43C9"/>
    <w:multiLevelType w:val="hybridMultilevel"/>
    <w:tmpl w:val="98882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1C04"/>
    <w:multiLevelType w:val="hybridMultilevel"/>
    <w:tmpl w:val="4DD0B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D5BEF"/>
    <w:multiLevelType w:val="multilevel"/>
    <w:tmpl w:val="6DACC4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FF52A31"/>
    <w:multiLevelType w:val="hybridMultilevel"/>
    <w:tmpl w:val="8F343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647482"/>
    <w:multiLevelType w:val="hybridMultilevel"/>
    <w:tmpl w:val="BDC6D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C846E4"/>
    <w:multiLevelType w:val="multilevel"/>
    <w:tmpl w:val="C4A8118A"/>
    <w:lvl w:ilvl="0">
      <w:start w:val="2"/>
      <w:numFmt w:val="decimal"/>
      <w:lvlText w:val="%1"/>
      <w:lvlJc w:val="left"/>
      <w:pPr>
        <w:ind w:left="360" w:hanging="360"/>
      </w:pPr>
      <w:rPr>
        <w:rFonts w:eastAsiaTheme="minorHAnsi" w:hint="default"/>
        <w:b/>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7" w15:restartNumberingAfterBreak="0">
    <w:nsid w:val="4B391EDB"/>
    <w:multiLevelType w:val="multilevel"/>
    <w:tmpl w:val="FF3645E0"/>
    <w:lvl w:ilvl="0">
      <w:start w:val="2"/>
      <w:numFmt w:val="decimal"/>
      <w:lvlText w:val="%1"/>
      <w:lvlJc w:val="left"/>
      <w:pPr>
        <w:ind w:left="360" w:hanging="360"/>
      </w:pPr>
      <w:rPr>
        <w:rFonts w:eastAsiaTheme="minorEastAsia" w:hint="default"/>
        <w:b/>
      </w:rPr>
    </w:lvl>
    <w:lvl w:ilvl="1">
      <w:start w:val="2"/>
      <w:numFmt w:val="decimal"/>
      <w:lvlText w:val="%1.%2"/>
      <w:lvlJc w:val="left"/>
      <w:pPr>
        <w:ind w:left="1091" w:hanging="360"/>
      </w:pPr>
      <w:rPr>
        <w:rFonts w:eastAsiaTheme="minorEastAsia" w:hint="default"/>
        <w:b/>
      </w:rPr>
    </w:lvl>
    <w:lvl w:ilvl="2">
      <w:start w:val="1"/>
      <w:numFmt w:val="decimal"/>
      <w:lvlText w:val="%1.%2.%3"/>
      <w:lvlJc w:val="left"/>
      <w:pPr>
        <w:ind w:left="2182" w:hanging="720"/>
      </w:pPr>
      <w:rPr>
        <w:rFonts w:eastAsiaTheme="minorEastAsia" w:hint="default"/>
        <w:b/>
      </w:rPr>
    </w:lvl>
    <w:lvl w:ilvl="3">
      <w:start w:val="1"/>
      <w:numFmt w:val="decimal"/>
      <w:lvlText w:val="%1.%2.%3.%4"/>
      <w:lvlJc w:val="left"/>
      <w:pPr>
        <w:ind w:left="3273" w:hanging="1080"/>
      </w:pPr>
      <w:rPr>
        <w:rFonts w:eastAsiaTheme="minorEastAsia" w:hint="default"/>
        <w:b/>
      </w:rPr>
    </w:lvl>
    <w:lvl w:ilvl="4">
      <w:start w:val="1"/>
      <w:numFmt w:val="decimal"/>
      <w:lvlText w:val="%1.%2.%3.%4.%5"/>
      <w:lvlJc w:val="left"/>
      <w:pPr>
        <w:ind w:left="4004" w:hanging="1080"/>
      </w:pPr>
      <w:rPr>
        <w:rFonts w:eastAsiaTheme="minorEastAsia" w:hint="default"/>
        <w:b/>
      </w:rPr>
    </w:lvl>
    <w:lvl w:ilvl="5">
      <w:start w:val="1"/>
      <w:numFmt w:val="decimal"/>
      <w:lvlText w:val="%1.%2.%3.%4.%5.%6"/>
      <w:lvlJc w:val="left"/>
      <w:pPr>
        <w:ind w:left="5095" w:hanging="1440"/>
      </w:pPr>
      <w:rPr>
        <w:rFonts w:eastAsiaTheme="minorEastAsia" w:hint="default"/>
        <w:b/>
      </w:rPr>
    </w:lvl>
    <w:lvl w:ilvl="6">
      <w:start w:val="1"/>
      <w:numFmt w:val="decimal"/>
      <w:lvlText w:val="%1.%2.%3.%4.%5.%6.%7"/>
      <w:lvlJc w:val="left"/>
      <w:pPr>
        <w:ind w:left="5826" w:hanging="1440"/>
      </w:pPr>
      <w:rPr>
        <w:rFonts w:eastAsiaTheme="minorEastAsia" w:hint="default"/>
        <w:b/>
      </w:rPr>
    </w:lvl>
    <w:lvl w:ilvl="7">
      <w:start w:val="1"/>
      <w:numFmt w:val="decimal"/>
      <w:lvlText w:val="%1.%2.%3.%4.%5.%6.%7.%8"/>
      <w:lvlJc w:val="left"/>
      <w:pPr>
        <w:ind w:left="6917" w:hanging="1800"/>
      </w:pPr>
      <w:rPr>
        <w:rFonts w:eastAsiaTheme="minorEastAsia" w:hint="default"/>
        <w:b/>
      </w:rPr>
    </w:lvl>
    <w:lvl w:ilvl="8">
      <w:start w:val="1"/>
      <w:numFmt w:val="decimal"/>
      <w:lvlText w:val="%1.%2.%3.%4.%5.%6.%7.%8.%9"/>
      <w:lvlJc w:val="left"/>
      <w:pPr>
        <w:ind w:left="7648" w:hanging="1800"/>
      </w:pPr>
      <w:rPr>
        <w:rFonts w:eastAsiaTheme="minorEastAsia" w:hint="default"/>
        <w:b/>
      </w:rPr>
    </w:lvl>
  </w:abstractNum>
  <w:abstractNum w:abstractNumId="8"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8B779B4"/>
    <w:multiLevelType w:val="multilevel"/>
    <w:tmpl w:val="6A8869BA"/>
    <w:lvl w:ilvl="0">
      <w:start w:val="2"/>
      <w:numFmt w:val="decimal"/>
      <w:lvlText w:val="%1"/>
      <w:lvlJc w:val="left"/>
      <w:pPr>
        <w:ind w:left="360" w:hanging="360"/>
      </w:pPr>
      <w:rPr>
        <w:rFonts w:eastAsiaTheme="minorHAnsi" w:hint="default"/>
        <w:b/>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1" w15:restartNumberingAfterBreak="0">
    <w:nsid w:val="6AAE5A1D"/>
    <w:multiLevelType w:val="hybridMultilevel"/>
    <w:tmpl w:val="8092D9AA"/>
    <w:lvl w:ilvl="0" w:tplc="78E20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tabel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933879"/>
    <w:multiLevelType w:val="multilevel"/>
    <w:tmpl w:val="317CEA96"/>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2"/>
  </w:num>
  <w:num w:numId="3">
    <w:abstractNumId w:val="5"/>
  </w:num>
  <w:num w:numId="4">
    <w:abstractNumId w:val="2"/>
  </w:num>
  <w:num w:numId="5">
    <w:abstractNumId w:val="1"/>
  </w:num>
  <w:num w:numId="6">
    <w:abstractNumId w:val="3"/>
  </w:num>
  <w:num w:numId="7">
    <w:abstractNumId w:val="8"/>
  </w:num>
  <w:num w:numId="8">
    <w:abstractNumId w:val="10"/>
  </w:num>
  <w:num w:numId="9">
    <w:abstractNumId w:val="6"/>
  </w:num>
  <w:num w:numId="10">
    <w:abstractNumId w:val="9"/>
  </w:num>
  <w:num w:numId="11">
    <w:abstractNumId w:val="7"/>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D8"/>
    <w:rsid w:val="00001630"/>
    <w:rsid w:val="00001ED7"/>
    <w:rsid w:val="00002B46"/>
    <w:rsid w:val="00002C9B"/>
    <w:rsid w:val="00010BB0"/>
    <w:rsid w:val="000110AD"/>
    <w:rsid w:val="00011D27"/>
    <w:rsid w:val="00011E50"/>
    <w:rsid w:val="00013043"/>
    <w:rsid w:val="0001399B"/>
    <w:rsid w:val="000150AE"/>
    <w:rsid w:val="00016BD1"/>
    <w:rsid w:val="0002081E"/>
    <w:rsid w:val="00020DC4"/>
    <w:rsid w:val="000210EC"/>
    <w:rsid w:val="000231BD"/>
    <w:rsid w:val="00025929"/>
    <w:rsid w:val="00034239"/>
    <w:rsid w:val="00034A80"/>
    <w:rsid w:val="00034FCA"/>
    <w:rsid w:val="00035D54"/>
    <w:rsid w:val="00036C66"/>
    <w:rsid w:val="000401B6"/>
    <w:rsid w:val="00041710"/>
    <w:rsid w:val="00043BB9"/>
    <w:rsid w:val="000454EF"/>
    <w:rsid w:val="000507B9"/>
    <w:rsid w:val="000513FF"/>
    <w:rsid w:val="0005142F"/>
    <w:rsid w:val="00051CF4"/>
    <w:rsid w:val="00052E17"/>
    <w:rsid w:val="00052FA0"/>
    <w:rsid w:val="000537AF"/>
    <w:rsid w:val="00053880"/>
    <w:rsid w:val="00053B5A"/>
    <w:rsid w:val="00054AA0"/>
    <w:rsid w:val="0005623F"/>
    <w:rsid w:val="00062D65"/>
    <w:rsid w:val="00063E72"/>
    <w:rsid w:val="00071E75"/>
    <w:rsid w:val="00072F6A"/>
    <w:rsid w:val="000762A8"/>
    <w:rsid w:val="000764C3"/>
    <w:rsid w:val="00077C81"/>
    <w:rsid w:val="000810A8"/>
    <w:rsid w:val="0008393A"/>
    <w:rsid w:val="00083D92"/>
    <w:rsid w:val="0008408E"/>
    <w:rsid w:val="000844CA"/>
    <w:rsid w:val="000857BB"/>
    <w:rsid w:val="00086399"/>
    <w:rsid w:val="00086BEB"/>
    <w:rsid w:val="00092766"/>
    <w:rsid w:val="000928B6"/>
    <w:rsid w:val="00093057"/>
    <w:rsid w:val="00097BEA"/>
    <w:rsid w:val="000A5CA9"/>
    <w:rsid w:val="000B0044"/>
    <w:rsid w:val="000B26F1"/>
    <w:rsid w:val="000B3813"/>
    <w:rsid w:val="000B414B"/>
    <w:rsid w:val="000B6F65"/>
    <w:rsid w:val="000B73BF"/>
    <w:rsid w:val="000C13A5"/>
    <w:rsid w:val="000C185B"/>
    <w:rsid w:val="000C4AFF"/>
    <w:rsid w:val="000D2BDB"/>
    <w:rsid w:val="000D3355"/>
    <w:rsid w:val="000D6BCB"/>
    <w:rsid w:val="000E0060"/>
    <w:rsid w:val="000E0F81"/>
    <w:rsid w:val="000E1754"/>
    <w:rsid w:val="000E1D37"/>
    <w:rsid w:val="000E28B4"/>
    <w:rsid w:val="000E7488"/>
    <w:rsid w:val="000E7A43"/>
    <w:rsid w:val="000E7A8E"/>
    <w:rsid w:val="000E7AA9"/>
    <w:rsid w:val="000F2AB1"/>
    <w:rsid w:val="000F2E9D"/>
    <w:rsid w:val="000F41DA"/>
    <w:rsid w:val="000F5E2E"/>
    <w:rsid w:val="00103588"/>
    <w:rsid w:val="001129A1"/>
    <w:rsid w:val="001132D3"/>
    <w:rsid w:val="00114073"/>
    <w:rsid w:val="00120726"/>
    <w:rsid w:val="00123591"/>
    <w:rsid w:val="00123773"/>
    <w:rsid w:val="00124288"/>
    <w:rsid w:val="00125682"/>
    <w:rsid w:val="00135568"/>
    <w:rsid w:val="00136AD4"/>
    <w:rsid w:val="00137128"/>
    <w:rsid w:val="00140A71"/>
    <w:rsid w:val="00140B90"/>
    <w:rsid w:val="00141C37"/>
    <w:rsid w:val="00144970"/>
    <w:rsid w:val="0015049B"/>
    <w:rsid w:val="001506C7"/>
    <w:rsid w:val="0015110F"/>
    <w:rsid w:val="00152798"/>
    <w:rsid w:val="001532DF"/>
    <w:rsid w:val="00154C82"/>
    <w:rsid w:val="0015589A"/>
    <w:rsid w:val="00157F83"/>
    <w:rsid w:val="001608AA"/>
    <w:rsid w:val="001649E4"/>
    <w:rsid w:val="00164B23"/>
    <w:rsid w:val="00165216"/>
    <w:rsid w:val="00165284"/>
    <w:rsid w:val="001653FF"/>
    <w:rsid w:val="00170745"/>
    <w:rsid w:val="001718D7"/>
    <w:rsid w:val="0017254B"/>
    <w:rsid w:val="00174417"/>
    <w:rsid w:val="00181192"/>
    <w:rsid w:val="00181D53"/>
    <w:rsid w:val="00182020"/>
    <w:rsid w:val="00185A64"/>
    <w:rsid w:val="0018646E"/>
    <w:rsid w:val="001872C3"/>
    <w:rsid w:val="00187D32"/>
    <w:rsid w:val="00192297"/>
    <w:rsid w:val="00192A24"/>
    <w:rsid w:val="001936CB"/>
    <w:rsid w:val="00194AED"/>
    <w:rsid w:val="00194C3D"/>
    <w:rsid w:val="001964A6"/>
    <w:rsid w:val="00196D7A"/>
    <w:rsid w:val="00197D85"/>
    <w:rsid w:val="001A0854"/>
    <w:rsid w:val="001A2189"/>
    <w:rsid w:val="001A29BB"/>
    <w:rsid w:val="001A519F"/>
    <w:rsid w:val="001A6105"/>
    <w:rsid w:val="001B06E8"/>
    <w:rsid w:val="001B1466"/>
    <w:rsid w:val="001B4702"/>
    <w:rsid w:val="001B5859"/>
    <w:rsid w:val="001B7453"/>
    <w:rsid w:val="001C0285"/>
    <w:rsid w:val="001C0C12"/>
    <w:rsid w:val="001C28F2"/>
    <w:rsid w:val="001C58C5"/>
    <w:rsid w:val="001C7CA0"/>
    <w:rsid w:val="001D044D"/>
    <w:rsid w:val="001D1C68"/>
    <w:rsid w:val="001D2DBD"/>
    <w:rsid w:val="001D46F2"/>
    <w:rsid w:val="001D5077"/>
    <w:rsid w:val="001E158A"/>
    <w:rsid w:val="001E1F96"/>
    <w:rsid w:val="001E2713"/>
    <w:rsid w:val="001E31EE"/>
    <w:rsid w:val="001E36CF"/>
    <w:rsid w:val="001E3FBF"/>
    <w:rsid w:val="001E4FCE"/>
    <w:rsid w:val="001E60D7"/>
    <w:rsid w:val="001E6298"/>
    <w:rsid w:val="001F1402"/>
    <w:rsid w:val="001F3479"/>
    <w:rsid w:val="002019F8"/>
    <w:rsid w:val="00202D0E"/>
    <w:rsid w:val="00205F8C"/>
    <w:rsid w:val="00210EDE"/>
    <w:rsid w:val="00211C88"/>
    <w:rsid w:val="002145B2"/>
    <w:rsid w:val="00214AD1"/>
    <w:rsid w:val="002162C3"/>
    <w:rsid w:val="00220058"/>
    <w:rsid w:val="002219FD"/>
    <w:rsid w:val="002227D3"/>
    <w:rsid w:val="0022499B"/>
    <w:rsid w:val="00227B24"/>
    <w:rsid w:val="00227F8B"/>
    <w:rsid w:val="00232205"/>
    <w:rsid w:val="00232748"/>
    <w:rsid w:val="00237707"/>
    <w:rsid w:val="00242C46"/>
    <w:rsid w:val="00243BFC"/>
    <w:rsid w:val="002450D8"/>
    <w:rsid w:val="00245400"/>
    <w:rsid w:val="00246947"/>
    <w:rsid w:val="00246E32"/>
    <w:rsid w:val="00247CC3"/>
    <w:rsid w:val="00247E3B"/>
    <w:rsid w:val="00250AC2"/>
    <w:rsid w:val="002518AB"/>
    <w:rsid w:val="002530F6"/>
    <w:rsid w:val="002555CF"/>
    <w:rsid w:val="00261A0A"/>
    <w:rsid w:val="00263C07"/>
    <w:rsid w:val="00266E6E"/>
    <w:rsid w:val="00271BAB"/>
    <w:rsid w:val="00271FF3"/>
    <w:rsid w:val="00272371"/>
    <w:rsid w:val="0027393D"/>
    <w:rsid w:val="00274BA9"/>
    <w:rsid w:val="002757F4"/>
    <w:rsid w:val="002759E1"/>
    <w:rsid w:val="00285973"/>
    <w:rsid w:val="0029416F"/>
    <w:rsid w:val="002951E1"/>
    <w:rsid w:val="00295831"/>
    <w:rsid w:val="00295DA0"/>
    <w:rsid w:val="002A1326"/>
    <w:rsid w:val="002A1794"/>
    <w:rsid w:val="002A517D"/>
    <w:rsid w:val="002A630F"/>
    <w:rsid w:val="002A6C49"/>
    <w:rsid w:val="002B0B75"/>
    <w:rsid w:val="002B79B6"/>
    <w:rsid w:val="002B7A60"/>
    <w:rsid w:val="002C1D75"/>
    <w:rsid w:val="002C1FE9"/>
    <w:rsid w:val="002C2E9D"/>
    <w:rsid w:val="002C317B"/>
    <w:rsid w:val="002C3939"/>
    <w:rsid w:val="002C430D"/>
    <w:rsid w:val="002C43FA"/>
    <w:rsid w:val="002D00CB"/>
    <w:rsid w:val="002D1C06"/>
    <w:rsid w:val="002D4E47"/>
    <w:rsid w:val="002D512D"/>
    <w:rsid w:val="002D5FFE"/>
    <w:rsid w:val="002D7A7C"/>
    <w:rsid w:val="002E0C96"/>
    <w:rsid w:val="002E0CAA"/>
    <w:rsid w:val="002E2496"/>
    <w:rsid w:val="002E5166"/>
    <w:rsid w:val="002E648E"/>
    <w:rsid w:val="002F0076"/>
    <w:rsid w:val="002F1D44"/>
    <w:rsid w:val="002F1F3E"/>
    <w:rsid w:val="002F38DC"/>
    <w:rsid w:val="00300A9D"/>
    <w:rsid w:val="00300C89"/>
    <w:rsid w:val="00302B9B"/>
    <w:rsid w:val="00303D8F"/>
    <w:rsid w:val="003046B0"/>
    <w:rsid w:val="0030625E"/>
    <w:rsid w:val="003100D2"/>
    <w:rsid w:val="00310D68"/>
    <w:rsid w:val="00312182"/>
    <w:rsid w:val="00312408"/>
    <w:rsid w:val="00314306"/>
    <w:rsid w:val="003157E1"/>
    <w:rsid w:val="00317C9A"/>
    <w:rsid w:val="003206B0"/>
    <w:rsid w:val="003209D2"/>
    <w:rsid w:val="003210DC"/>
    <w:rsid w:val="00321BA8"/>
    <w:rsid w:val="00322292"/>
    <w:rsid w:val="00326FE6"/>
    <w:rsid w:val="00330A04"/>
    <w:rsid w:val="00332B7B"/>
    <w:rsid w:val="003346AE"/>
    <w:rsid w:val="00340CB2"/>
    <w:rsid w:val="00343BC3"/>
    <w:rsid w:val="003440EC"/>
    <w:rsid w:val="0034609E"/>
    <w:rsid w:val="00350F73"/>
    <w:rsid w:val="00351F22"/>
    <w:rsid w:val="00354A7B"/>
    <w:rsid w:val="00355F56"/>
    <w:rsid w:val="00356D66"/>
    <w:rsid w:val="00357CB5"/>
    <w:rsid w:val="00357EB3"/>
    <w:rsid w:val="003653B5"/>
    <w:rsid w:val="00367330"/>
    <w:rsid w:val="00367B0E"/>
    <w:rsid w:val="00372C30"/>
    <w:rsid w:val="00373848"/>
    <w:rsid w:val="003749DD"/>
    <w:rsid w:val="003768FC"/>
    <w:rsid w:val="003771EF"/>
    <w:rsid w:val="00377F0A"/>
    <w:rsid w:val="00380955"/>
    <w:rsid w:val="00380DBB"/>
    <w:rsid w:val="003811A6"/>
    <w:rsid w:val="003824CE"/>
    <w:rsid w:val="0038271A"/>
    <w:rsid w:val="003870B1"/>
    <w:rsid w:val="003876DC"/>
    <w:rsid w:val="00387F56"/>
    <w:rsid w:val="00391885"/>
    <w:rsid w:val="00395A66"/>
    <w:rsid w:val="00396408"/>
    <w:rsid w:val="0039767A"/>
    <w:rsid w:val="003A08EC"/>
    <w:rsid w:val="003A284C"/>
    <w:rsid w:val="003A4620"/>
    <w:rsid w:val="003A5678"/>
    <w:rsid w:val="003B1395"/>
    <w:rsid w:val="003B38F1"/>
    <w:rsid w:val="003C50BF"/>
    <w:rsid w:val="003C5838"/>
    <w:rsid w:val="003C6844"/>
    <w:rsid w:val="003C7C9A"/>
    <w:rsid w:val="003D1871"/>
    <w:rsid w:val="003D2FA0"/>
    <w:rsid w:val="003D35C1"/>
    <w:rsid w:val="003E0081"/>
    <w:rsid w:val="003E33D5"/>
    <w:rsid w:val="003E36E0"/>
    <w:rsid w:val="003E3F96"/>
    <w:rsid w:val="003E4B12"/>
    <w:rsid w:val="003E6C6C"/>
    <w:rsid w:val="003F0C0D"/>
    <w:rsid w:val="003F3625"/>
    <w:rsid w:val="003F4CDD"/>
    <w:rsid w:val="003F6A15"/>
    <w:rsid w:val="003F6AAC"/>
    <w:rsid w:val="003F6DEC"/>
    <w:rsid w:val="003F7A74"/>
    <w:rsid w:val="004006C2"/>
    <w:rsid w:val="0040251D"/>
    <w:rsid w:val="00402A30"/>
    <w:rsid w:val="004043EA"/>
    <w:rsid w:val="00406F02"/>
    <w:rsid w:val="004077B8"/>
    <w:rsid w:val="00413A46"/>
    <w:rsid w:val="00414D4F"/>
    <w:rsid w:val="00415908"/>
    <w:rsid w:val="00424DE2"/>
    <w:rsid w:val="00425B56"/>
    <w:rsid w:val="004265AB"/>
    <w:rsid w:val="00431CCA"/>
    <w:rsid w:val="00433C13"/>
    <w:rsid w:val="004347E9"/>
    <w:rsid w:val="004362F2"/>
    <w:rsid w:val="004363DE"/>
    <w:rsid w:val="0043652C"/>
    <w:rsid w:val="00437F73"/>
    <w:rsid w:val="00441880"/>
    <w:rsid w:val="004427C4"/>
    <w:rsid w:val="0044341A"/>
    <w:rsid w:val="00444181"/>
    <w:rsid w:val="00445069"/>
    <w:rsid w:val="004501E4"/>
    <w:rsid w:val="00456121"/>
    <w:rsid w:val="00456AF9"/>
    <w:rsid w:val="0045755B"/>
    <w:rsid w:val="00460048"/>
    <w:rsid w:val="00461F75"/>
    <w:rsid w:val="00467CA5"/>
    <w:rsid w:val="00473002"/>
    <w:rsid w:val="00473B20"/>
    <w:rsid w:val="00474EA7"/>
    <w:rsid w:val="00476D4A"/>
    <w:rsid w:val="00477BD9"/>
    <w:rsid w:val="00481385"/>
    <w:rsid w:val="0048317E"/>
    <w:rsid w:val="00483752"/>
    <w:rsid w:val="00483B28"/>
    <w:rsid w:val="004844D8"/>
    <w:rsid w:val="004866D9"/>
    <w:rsid w:val="00487791"/>
    <w:rsid w:val="004879B8"/>
    <w:rsid w:val="004911A9"/>
    <w:rsid w:val="00493F68"/>
    <w:rsid w:val="004972A9"/>
    <w:rsid w:val="004A17D0"/>
    <w:rsid w:val="004A44B0"/>
    <w:rsid w:val="004A4EB2"/>
    <w:rsid w:val="004A5062"/>
    <w:rsid w:val="004A55B9"/>
    <w:rsid w:val="004A6BFE"/>
    <w:rsid w:val="004B0521"/>
    <w:rsid w:val="004B0F3D"/>
    <w:rsid w:val="004B1C5D"/>
    <w:rsid w:val="004B2431"/>
    <w:rsid w:val="004B34F0"/>
    <w:rsid w:val="004B4470"/>
    <w:rsid w:val="004B4A96"/>
    <w:rsid w:val="004B62F3"/>
    <w:rsid w:val="004B689C"/>
    <w:rsid w:val="004B6C82"/>
    <w:rsid w:val="004B725A"/>
    <w:rsid w:val="004B7860"/>
    <w:rsid w:val="004B7912"/>
    <w:rsid w:val="004C065A"/>
    <w:rsid w:val="004C1E4A"/>
    <w:rsid w:val="004C530A"/>
    <w:rsid w:val="004C553E"/>
    <w:rsid w:val="004C5BA1"/>
    <w:rsid w:val="004D1D37"/>
    <w:rsid w:val="004D3F42"/>
    <w:rsid w:val="004D450E"/>
    <w:rsid w:val="004D496B"/>
    <w:rsid w:val="004D5C86"/>
    <w:rsid w:val="004D70AE"/>
    <w:rsid w:val="004D76A2"/>
    <w:rsid w:val="004E438C"/>
    <w:rsid w:val="004F1755"/>
    <w:rsid w:val="004F5246"/>
    <w:rsid w:val="004F5EC8"/>
    <w:rsid w:val="004F7D76"/>
    <w:rsid w:val="005011EE"/>
    <w:rsid w:val="00502BEC"/>
    <w:rsid w:val="0050552C"/>
    <w:rsid w:val="00505EB9"/>
    <w:rsid w:val="005121EA"/>
    <w:rsid w:val="00523072"/>
    <w:rsid w:val="005251BA"/>
    <w:rsid w:val="00526781"/>
    <w:rsid w:val="00530C5D"/>
    <w:rsid w:val="005316D9"/>
    <w:rsid w:val="0053234C"/>
    <w:rsid w:val="00532D69"/>
    <w:rsid w:val="005356CF"/>
    <w:rsid w:val="00541098"/>
    <w:rsid w:val="00541481"/>
    <w:rsid w:val="00541CCD"/>
    <w:rsid w:val="005427D3"/>
    <w:rsid w:val="00547316"/>
    <w:rsid w:val="00551408"/>
    <w:rsid w:val="00552C3A"/>
    <w:rsid w:val="0055607C"/>
    <w:rsid w:val="00556F03"/>
    <w:rsid w:val="00561168"/>
    <w:rsid w:val="00561392"/>
    <w:rsid w:val="005622C9"/>
    <w:rsid w:val="005626A7"/>
    <w:rsid w:val="005629AC"/>
    <w:rsid w:val="00563689"/>
    <w:rsid w:val="00565539"/>
    <w:rsid w:val="00565E92"/>
    <w:rsid w:val="0057019F"/>
    <w:rsid w:val="0057067F"/>
    <w:rsid w:val="005736D7"/>
    <w:rsid w:val="005737D3"/>
    <w:rsid w:val="00575791"/>
    <w:rsid w:val="005768B2"/>
    <w:rsid w:val="00577044"/>
    <w:rsid w:val="00580D6D"/>
    <w:rsid w:val="0058175F"/>
    <w:rsid w:val="005844DE"/>
    <w:rsid w:val="00592401"/>
    <w:rsid w:val="00592A5C"/>
    <w:rsid w:val="005943ED"/>
    <w:rsid w:val="00595218"/>
    <w:rsid w:val="00595B7F"/>
    <w:rsid w:val="005965C7"/>
    <w:rsid w:val="0059662A"/>
    <w:rsid w:val="0059706A"/>
    <w:rsid w:val="00597989"/>
    <w:rsid w:val="00597AE4"/>
    <w:rsid w:val="005A47D2"/>
    <w:rsid w:val="005B28E9"/>
    <w:rsid w:val="005B38B4"/>
    <w:rsid w:val="005B3BF8"/>
    <w:rsid w:val="005B42D9"/>
    <w:rsid w:val="005B6FBA"/>
    <w:rsid w:val="005B789A"/>
    <w:rsid w:val="005C098B"/>
    <w:rsid w:val="005C4000"/>
    <w:rsid w:val="005C6C24"/>
    <w:rsid w:val="005C6FC6"/>
    <w:rsid w:val="005C7654"/>
    <w:rsid w:val="005D1B86"/>
    <w:rsid w:val="005D2088"/>
    <w:rsid w:val="005D61BF"/>
    <w:rsid w:val="005D73CE"/>
    <w:rsid w:val="005D73DD"/>
    <w:rsid w:val="005E233A"/>
    <w:rsid w:val="005E3452"/>
    <w:rsid w:val="005E36D2"/>
    <w:rsid w:val="005E7360"/>
    <w:rsid w:val="005F27BE"/>
    <w:rsid w:val="005F6283"/>
    <w:rsid w:val="005F7F97"/>
    <w:rsid w:val="006014C6"/>
    <w:rsid w:val="00602296"/>
    <w:rsid w:val="006034E2"/>
    <w:rsid w:val="00603FDA"/>
    <w:rsid w:val="006050B3"/>
    <w:rsid w:val="006058DA"/>
    <w:rsid w:val="0060728F"/>
    <w:rsid w:val="00607918"/>
    <w:rsid w:val="00607EAC"/>
    <w:rsid w:val="00611842"/>
    <w:rsid w:val="006123B0"/>
    <w:rsid w:val="00612671"/>
    <w:rsid w:val="0061391D"/>
    <w:rsid w:val="00613A3B"/>
    <w:rsid w:val="00615B45"/>
    <w:rsid w:val="00616EEF"/>
    <w:rsid w:val="006178BD"/>
    <w:rsid w:val="006218F3"/>
    <w:rsid w:val="006247F2"/>
    <w:rsid w:val="00624BB9"/>
    <w:rsid w:val="00632A37"/>
    <w:rsid w:val="00633BC7"/>
    <w:rsid w:val="00633F79"/>
    <w:rsid w:val="00635DC1"/>
    <w:rsid w:val="00640033"/>
    <w:rsid w:val="00641A8B"/>
    <w:rsid w:val="006443AB"/>
    <w:rsid w:val="006451EF"/>
    <w:rsid w:val="00646528"/>
    <w:rsid w:val="00646D2E"/>
    <w:rsid w:val="00646EDA"/>
    <w:rsid w:val="006516FF"/>
    <w:rsid w:val="0065374B"/>
    <w:rsid w:val="00654386"/>
    <w:rsid w:val="006552B0"/>
    <w:rsid w:val="00655770"/>
    <w:rsid w:val="006558FC"/>
    <w:rsid w:val="006602EE"/>
    <w:rsid w:val="006603BA"/>
    <w:rsid w:val="00661F71"/>
    <w:rsid w:val="00662BF1"/>
    <w:rsid w:val="0066401E"/>
    <w:rsid w:val="00665A61"/>
    <w:rsid w:val="00665A9A"/>
    <w:rsid w:val="00670931"/>
    <w:rsid w:val="00671422"/>
    <w:rsid w:val="00680A29"/>
    <w:rsid w:val="0068160E"/>
    <w:rsid w:val="006820D8"/>
    <w:rsid w:val="00682D63"/>
    <w:rsid w:val="00684E0D"/>
    <w:rsid w:val="0068701C"/>
    <w:rsid w:val="00692B10"/>
    <w:rsid w:val="00692FD1"/>
    <w:rsid w:val="0069391E"/>
    <w:rsid w:val="00693A8E"/>
    <w:rsid w:val="006A0545"/>
    <w:rsid w:val="006A35E2"/>
    <w:rsid w:val="006A3CD1"/>
    <w:rsid w:val="006A595F"/>
    <w:rsid w:val="006A788E"/>
    <w:rsid w:val="006B249E"/>
    <w:rsid w:val="006B3B65"/>
    <w:rsid w:val="006B470F"/>
    <w:rsid w:val="006C282D"/>
    <w:rsid w:val="006C3D8F"/>
    <w:rsid w:val="006C4081"/>
    <w:rsid w:val="006D000A"/>
    <w:rsid w:val="006D00D2"/>
    <w:rsid w:val="006D1CE6"/>
    <w:rsid w:val="006D37CE"/>
    <w:rsid w:val="006D471B"/>
    <w:rsid w:val="006D4F9E"/>
    <w:rsid w:val="006D7518"/>
    <w:rsid w:val="006E0CA7"/>
    <w:rsid w:val="006E0FAC"/>
    <w:rsid w:val="006E2223"/>
    <w:rsid w:val="006E299E"/>
    <w:rsid w:val="006E3C8B"/>
    <w:rsid w:val="006E3CB6"/>
    <w:rsid w:val="006F0630"/>
    <w:rsid w:val="006F06A9"/>
    <w:rsid w:val="006F2854"/>
    <w:rsid w:val="006F3894"/>
    <w:rsid w:val="006F3ECD"/>
    <w:rsid w:val="006F533F"/>
    <w:rsid w:val="006F7810"/>
    <w:rsid w:val="00700DDA"/>
    <w:rsid w:val="00700F8E"/>
    <w:rsid w:val="00701F06"/>
    <w:rsid w:val="007063CC"/>
    <w:rsid w:val="00710AE7"/>
    <w:rsid w:val="00711D95"/>
    <w:rsid w:val="00711F6D"/>
    <w:rsid w:val="00712A03"/>
    <w:rsid w:val="00713107"/>
    <w:rsid w:val="00714CC8"/>
    <w:rsid w:val="00715762"/>
    <w:rsid w:val="00720169"/>
    <w:rsid w:val="00720F9B"/>
    <w:rsid w:val="007247CB"/>
    <w:rsid w:val="00725A39"/>
    <w:rsid w:val="00731F3C"/>
    <w:rsid w:val="00735018"/>
    <w:rsid w:val="007356BC"/>
    <w:rsid w:val="00735AFC"/>
    <w:rsid w:val="0073630C"/>
    <w:rsid w:val="007403CD"/>
    <w:rsid w:val="00745884"/>
    <w:rsid w:val="00746949"/>
    <w:rsid w:val="00750670"/>
    <w:rsid w:val="00750B36"/>
    <w:rsid w:val="0075133B"/>
    <w:rsid w:val="007523DF"/>
    <w:rsid w:val="00752CE1"/>
    <w:rsid w:val="00753135"/>
    <w:rsid w:val="007532FE"/>
    <w:rsid w:val="00754E9F"/>
    <w:rsid w:val="007562DD"/>
    <w:rsid w:val="00757106"/>
    <w:rsid w:val="007631AB"/>
    <w:rsid w:val="00770B2F"/>
    <w:rsid w:val="00774A80"/>
    <w:rsid w:val="00774B27"/>
    <w:rsid w:val="00780283"/>
    <w:rsid w:val="0078370E"/>
    <w:rsid w:val="00784E7C"/>
    <w:rsid w:val="00787A8E"/>
    <w:rsid w:val="00790023"/>
    <w:rsid w:val="00790BF4"/>
    <w:rsid w:val="00790FA2"/>
    <w:rsid w:val="00791978"/>
    <w:rsid w:val="007965CF"/>
    <w:rsid w:val="007A13F4"/>
    <w:rsid w:val="007A3A82"/>
    <w:rsid w:val="007A67B6"/>
    <w:rsid w:val="007A68E1"/>
    <w:rsid w:val="007B0321"/>
    <w:rsid w:val="007B1D33"/>
    <w:rsid w:val="007B2B67"/>
    <w:rsid w:val="007B306A"/>
    <w:rsid w:val="007B491E"/>
    <w:rsid w:val="007B6541"/>
    <w:rsid w:val="007C3F09"/>
    <w:rsid w:val="007C5519"/>
    <w:rsid w:val="007C6A8F"/>
    <w:rsid w:val="007D0CC7"/>
    <w:rsid w:val="007D2427"/>
    <w:rsid w:val="007D39B5"/>
    <w:rsid w:val="007D5ACD"/>
    <w:rsid w:val="007D68AD"/>
    <w:rsid w:val="007D71E2"/>
    <w:rsid w:val="007E02EE"/>
    <w:rsid w:val="007E0C76"/>
    <w:rsid w:val="007E1DFA"/>
    <w:rsid w:val="007E483B"/>
    <w:rsid w:val="007E574C"/>
    <w:rsid w:val="007E64A6"/>
    <w:rsid w:val="007E79F6"/>
    <w:rsid w:val="007F2679"/>
    <w:rsid w:val="007F29CB"/>
    <w:rsid w:val="007F3314"/>
    <w:rsid w:val="007F58D8"/>
    <w:rsid w:val="007F75AC"/>
    <w:rsid w:val="007F774E"/>
    <w:rsid w:val="0080088F"/>
    <w:rsid w:val="00803023"/>
    <w:rsid w:val="0080381C"/>
    <w:rsid w:val="008040CE"/>
    <w:rsid w:val="00805C10"/>
    <w:rsid w:val="00806F32"/>
    <w:rsid w:val="008100E5"/>
    <w:rsid w:val="00810945"/>
    <w:rsid w:val="00810A54"/>
    <w:rsid w:val="00811621"/>
    <w:rsid w:val="00811BFB"/>
    <w:rsid w:val="0081540C"/>
    <w:rsid w:val="00816BEA"/>
    <w:rsid w:val="00817DAF"/>
    <w:rsid w:val="00817DBD"/>
    <w:rsid w:val="008228DF"/>
    <w:rsid w:val="008264F2"/>
    <w:rsid w:val="008303BF"/>
    <w:rsid w:val="00830DFC"/>
    <w:rsid w:val="008324EB"/>
    <w:rsid w:val="00832B01"/>
    <w:rsid w:val="00832E0F"/>
    <w:rsid w:val="00834B41"/>
    <w:rsid w:val="00834EE5"/>
    <w:rsid w:val="008350FF"/>
    <w:rsid w:val="00837E15"/>
    <w:rsid w:val="008417D7"/>
    <w:rsid w:val="00843B6D"/>
    <w:rsid w:val="008449BB"/>
    <w:rsid w:val="00844BA2"/>
    <w:rsid w:val="0084596B"/>
    <w:rsid w:val="008473FC"/>
    <w:rsid w:val="008478DC"/>
    <w:rsid w:val="00850F40"/>
    <w:rsid w:val="00853210"/>
    <w:rsid w:val="008547AB"/>
    <w:rsid w:val="008557BD"/>
    <w:rsid w:val="00856094"/>
    <w:rsid w:val="008612F5"/>
    <w:rsid w:val="00864435"/>
    <w:rsid w:val="008673B3"/>
    <w:rsid w:val="00870360"/>
    <w:rsid w:val="008748E6"/>
    <w:rsid w:val="008753B2"/>
    <w:rsid w:val="00880A89"/>
    <w:rsid w:val="00881034"/>
    <w:rsid w:val="0088650A"/>
    <w:rsid w:val="0088757D"/>
    <w:rsid w:val="00891349"/>
    <w:rsid w:val="00892C47"/>
    <w:rsid w:val="00894444"/>
    <w:rsid w:val="008A60CB"/>
    <w:rsid w:val="008A69B6"/>
    <w:rsid w:val="008B3BE1"/>
    <w:rsid w:val="008B6163"/>
    <w:rsid w:val="008C0EE2"/>
    <w:rsid w:val="008C1670"/>
    <w:rsid w:val="008C1D49"/>
    <w:rsid w:val="008C1EFF"/>
    <w:rsid w:val="008C48EE"/>
    <w:rsid w:val="008C4F3F"/>
    <w:rsid w:val="008C6D73"/>
    <w:rsid w:val="008C77C9"/>
    <w:rsid w:val="008D1EF4"/>
    <w:rsid w:val="008D42F0"/>
    <w:rsid w:val="008D4D6E"/>
    <w:rsid w:val="008D7E33"/>
    <w:rsid w:val="008E2FFC"/>
    <w:rsid w:val="008E50BA"/>
    <w:rsid w:val="008F05B7"/>
    <w:rsid w:val="008F07B6"/>
    <w:rsid w:val="008F121B"/>
    <w:rsid w:val="008F4DD4"/>
    <w:rsid w:val="008F5BB0"/>
    <w:rsid w:val="008F6099"/>
    <w:rsid w:val="008F6317"/>
    <w:rsid w:val="008F67A6"/>
    <w:rsid w:val="00902327"/>
    <w:rsid w:val="0090525D"/>
    <w:rsid w:val="0090542F"/>
    <w:rsid w:val="00905461"/>
    <w:rsid w:val="0090795F"/>
    <w:rsid w:val="00910AFD"/>
    <w:rsid w:val="0091166B"/>
    <w:rsid w:val="009125E6"/>
    <w:rsid w:val="009125EE"/>
    <w:rsid w:val="00912677"/>
    <w:rsid w:val="0091630A"/>
    <w:rsid w:val="00916B2D"/>
    <w:rsid w:val="00916E36"/>
    <w:rsid w:val="00917451"/>
    <w:rsid w:val="009216F8"/>
    <w:rsid w:val="00925498"/>
    <w:rsid w:val="00925E3A"/>
    <w:rsid w:val="00927598"/>
    <w:rsid w:val="009322F5"/>
    <w:rsid w:val="00933597"/>
    <w:rsid w:val="00935DF8"/>
    <w:rsid w:val="0093644C"/>
    <w:rsid w:val="0093740A"/>
    <w:rsid w:val="009375B5"/>
    <w:rsid w:val="0094385C"/>
    <w:rsid w:val="00943BD8"/>
    <w:rsid w:val="009440EF"/>
    <w:rsid w:val="009443A0"/>
    <w:rsid w:val="009448B9"/>
    <w:rsid w:val="00944940"/>
    <w:rsid w:val="00944A6A"/>
    <w:rsid w:val="00950F64"/>
    <w:rsid w:val="009518C7"/>
    <w:rsid w:val="009519AF"/>
    <w:rsid w:val="00952F0E"/>
    <w:rsid w:val="00952F50"/>
    <w:rsid w:val="00955BF1"/>
    <w:rsid w:val="0095660A"/>
    <w:rsid w:val="00957713"/>
    <w:rsid w:val="0096011F"/>
    <w:rsid w:val="0096094F"/>
    <w:rsid w:val="00962CA1"/>
    <w:rsid w:val="00963C46"/>
    <w:rsid w:val="00967FD4"/>
    <w:rsid w:val="00972855"/>
    <w:rsid w:val="00976B99"/>
    <w:rsid w:val="00982834"/>
    <w:rsid w:val="009839F8"/>
    <w:rsid w:val="00985330"/>
    <w:rsid w:val="0098698A"/>
    <w:rsid w:val="00991B59"/>
    <w:rsid w:val="00991DF3"/>
    <w:rsid w:val="009954F3"/>
    <w:rsid w:val="0099559D"/>
    <w:rsid w:val="009966EF"/>
    <w:rsid w:val="009A1A51"/>
    <w:rsid w:val="009A32E3"/>
    <w:rsid w:val="009A5B8A"/>
    <w:rsid w:val="009A71E2"/>
    <w:rsid w:val="009B074D"/>
    <w:rsid w:val="009B228D"/>
    <w:rsid w:val="009B3DA9"/>
    <w:rsid w:val="009B47D3"/>
    <w:rsid w:val="009B4E9E"/>
    <w:rsid w:val="009B5FE2"/>
    <w:rsid w:val="009C2D72"/>
    <w:rsid w:val="009C5320"/>
    <w:rsid w:val="009C61F3"/>
    <w:rsid w:val="009D765A"/>
    <w:rsid w:val="009D7AD0"/>
    <w:rsid w:val="009D7FF6"/>
    <w:rsid w:val="009E13B8"/>
    <w:rsid w:val="009E1533"/>
    <w:rsid w:val="009E3458"/>
    <w:rsid w:val="009E6DF6"/>
    <w:rsid w:val="009F16EF"/>
    <w:rsid w:val="009F1E3F"/>
    <w:rsid w:val="00A026F9"/>
    <w:rsid w:val="00A02B4C"/>
    <w:rsid w:val="00A03BE1"/>
    <w:rsid w:val="00A0411B"/>
    <w:rsid w:val="00A04C91"/>
    <w:rsid w:val="00A06A44"/>
    <w:rsid w:val="00A077DD"/>
    <w:rsid w:val="00A115A9"/>
    <w:rsid w:val="00A17D06"/>
    <w:rsid w:val="00A17E71"/>
    <w:rsid w:val="00A20182"/>
    <w:rsid w:val="00A20848"/>
    <w:rsid w:val="00A21102"/>
    <w:rsid w:val="00A2163F"/>
    <w:rsid w:val="00A21CC0"/>
    <w:rsid w:val="00A21EEF"/>
    <w:rsid w:val="00A26137"/>
    <w:rsid w:val="00A269B7"/>
    <w:rsid w:val="00A309C1"/>
    <w:rsid w:val="00A3163B"/>
    <w:rsid w:val="00A3508B"/>
    <w:rsid w:val="00A35179"/>
    <w:rsid w:val="00A36815"/>
    <w:rsid w:val="00A3692E"/>
    <w:rsid w:val="00A40063"/>
    <w:rsid w:val="00A42E3D"/>
    <w:rsid w:val="00A43BFD"/>
    <w:rsid w:val="00A43D6D"/>
    <w:rsid w:val="00A45A1C"/>
    <w:rsid w:val="00A46826"/>
    <w:rsid w:val="00A509A6"/>
    <w:rsid w:val="00A525DE"/>
    <w:rsid w:val="00A52F7E"/>
    <w:rsid w:val="00A54EEE"/>
    <w:rsid w:val="00A6122E"/>
    <w:rsid w:val="00A62A4C"/>
    <w:rsid w:val="00A63841"/>
    <w:rsid w:val="00A700B9"/>
    <w:rsid w:val="00A74FEF"/>
    <w:rsid w:val="00A7560F"/>
    <w:rsid w:val="00A76B6F"/>
    <w:rsid w:val="00A80D57"/>
    <w:rsid w:val="00A86B58"/>
    <w:rsid w:val="00A90D6F"/>
    <w:rsid w:val="00A91007"/>
    <w:rsid w:val="00A928EA"/>
    <w:rsid w:val="00A96E0D"/>
    <w:rsid w:val="00AA1801"/>
    <w:rsid w:val="00AA2D6E"/>
    <w:rsid w:val="00AA39EB"/>
    <w:rsid w:val="00AA48B7"/>
    <w:rsid w:val="00AA540D"/>
    <w:rsid w:val="00AA5553"/>
    <w:rsid w:val="00AA62BC"/>
    <w:rsid w:val="00AA6A01"/>
    <w:rsid w:val="00AA7BFE"/>
    <w:rsid w:val="00AA7DC4"/>
    <w:rsid w:val="00AB01F7"/>
    <w:rsid w:val="00AB16BC"/>
    <w:rsid w:val="00AB2E93"/>
    <w:rsid w:val="00AB485F"/>
    <w:rsid w:val="00AB495B"/>
    <w:rsid w:val="00AC699A"/>
    <w:rsid w:val="00AC69E7"/>
    <w:rsid w:val="00AC78E2"/>
    <w:rsid w:val="00AD1441"/>
    <w:rsid w:val="00AD33A2"/>
    <w:rsid w:val="00AD33A8"/>
    <w:rsid w:val="00AD3F20"/>
    <w:rsid w:val="00AE0333"/>
    <w:rsid w:val="00AE1DDA"/>
    <w:rsid w:val="00AE30B3"/>
    <w:rsid w:val="00AE317A"/>
    <w:rsid w:val="00AE4E9D"/>
    <w:rsid w:val="00AE5A87"/>
    <w:rsid w:val="00AE6354"/>
    <w:rsid w:val="00AE7508"/>
    <w:rsid w:val="00AF009E"/>
    <w:rsid w:val="00B0076B"/>
    <w:rsid w:val="00B00C0C"/>
    <w:rsid w:val="00B0128F"/>
    <w:rsid w:val="00B024E2"/>
    <w:rsid w:val="00B02FCA"/>
    <w:rsid w:val="00B0713C"/>
    <w:rsid w:val="00B07E46"/>
    <w:rsid w:val="00B126BF"/>
    <w:rsid w:val="00B12AAD"/>
    <w:rsid w:val="00B12AF5"/>
    <w:rsid w:val="00B14575"/>
    <w:rsid w:val="00B16082"/>
    <w:rsid w:val="00B16CF8"/>
    <w:rsid w:val="00B20502"/>
    <w:rsid w:val="00B25B90"/>
    <w:rsid w:val="00B2602C"/>
    <w:rsid w:val="00B27AAE"/>
    <w:rsid w:val="00B27BC6"/>
    <w:rsid w:val="00B30A10"/>
    <w:rsid w:val="00B30E6C"/>
    <w:rsid w:val="00B312A1"/>
    <w:rsid w:val="00B31C06"/>
    <w:rsid w:val="00B31C5E"/>
    <w:rsid w:val="00B32828"/>
    <w:rsid w:val="00B32DA1"/>
    <w:rsid w:val="00B33DE0"/>
    <w:rsid w:val="00B359C8"/>
    <w:rsid w:val="00B35D6F"/>
    <w:rsid w:val="00B376C2"/>
    <w:rsid w:val="00B4114D"/>
    <w:rsid w:val="00B41481"/>
    <w:rsid w:val="00B43188"/>
    <w:rsid w:val="00B4358C"/>
    <w:rsid w:val="00B43A30"/>
    <w:rsid w:val="00B47B69"/>
    <w:rsid w:val="00B50608"/>
    <w:rsid w:val="00B5179E"/>
    <w:rsid w:val="00B532F9"/>
    <w:rsid w:val="00B54006"/>
    <w:rsid w:val="00B54496"/>
    <w:rsid w:val="00B56F45"/>
    <w:rsid w:val="00B575C4"/>
    <w:rsid w:val="00B60245"/>
    <w:rsid w:val="00B60398"/>
    <w:rsid w:val="00B62136"/>
    <w:rsid w:val="00B62CAA"/>
    <w:rsid w:val="00B653C7"/>
    <w:rsid w:val="00B67283"/>
    <w:rsid w:val="00B706A5"/>
    <w:rsid w:val="00B717F8"/>
    <w:rsid w:val="00B718DE"/>
    <w:rsid w:val="00B732F3"/>
    <w:rsid w:val="00B85533"/>
    <w:rsid w:val="00B87F6A"/>
    <w:rsid w:val="00B9127B"/>
    <w:rsid w:val="00B925B7"/>
    <w:rsid w:val="00B945DF"/>
    <w:rsid w:val="00B94A4B"/>
    <w:rsid w:val="00B9693A"/>
    <w:rsid w:val="00BA051D"/>
    <w:rsid w:val="00BA2909"/>
    <w:rsid w:val="00BA5842"/>
    <w:rsid w:val="00BA6643"/>
    <w:rsid w:val="00BB084F"/>
    <w:rsid w:val="00BB247F"/>
    <w:rsid w:val="00BB36F1"/>
    <w:rsid w:val="00BB43F3"/>
    <w:rsid w:val="00BB5D33"/>
    <w:rsid w:val="00BC1940"/>
    <w:rsid w:val="00BC38D2"/>
    <w:rsid w:val="00BC4912"/>
    <w:rsid w:val="00BC5357"/>
    <w:rsid w:val="00BC5BBF"/>
    <w:rsid w:val="00BC5D34"/>
    <w:rsid w:val="00BC6721"/>
    <w:rsid w:val="00BC6E70"/>
    <w:rsid w:val="00BD0662"/>
    <w:rsid w:val="00BD18A9"/>
    <w:rsid w:val="00BD254D"/>
    <w:rsid w:val="00BD4A15"/>
    <w:rsid w:val="00BE42A7"/>
    <w:rsid w:val="00BE7459"/>
    <w:rsid w:val="00BE7527"/>
    <w:rsid w:val="00BE7A98"/>
    <w:rsid w:val="00BF15B2"/>
    <w:rsid w:val="00BF1B3F"/>
    <w:rsid w:val="00BF203A"/>
    <w:rsid w:val="00BF4A4E"/>
    <w:rsid w:val="00BF7D34"/>
    <w:rsid w:val="00C03457"/>
    <w:rsid w:val="00C048CC"/>
    <w:rsid w:val="00C049A8"/>
    <w:rsid w:val="00C05B05"/>
    <w:rsid w:val="00C1067C"/>
    <w:rsid w:val="00C11267"/>
    <w:rsid w:val="00C116D4"/>
    <w:rsid w:val="00C1242A"/>
    <w:rsid w:val="00C13053"/>
    <w:rsid w:val="00C1410E"/>
    <w:rsid w:val="00C1732A"/>
    <w:rsid w:val="00C201BF"/>
    <w:rsid w:val="00C20CB8"/>
    <w:rsid w:val="00C22468"/>
    <w:rsid w:val="00C23ED8"/>
    <w:rsid w:val="00C253DC"/>
    <w:rsid w:val="00C2592A"/>
    <w:rsid w:val="00C2626D"/>
    <w:rsid w:val="00C267F6"/>
    <w:rsid w:val="00C32E0A"/>
    <w:rsid w:val="00C3332C"/>
    <w:rsid w:val="00C3373F"/>
    <w:rsid w:val="00C3446F"/>
    <w:rsid w:val="00C35B91"/>
    <w:rsid w:val="00C35F2A"/>
    <w:rsid w:val="00C376DB"/>
    <w:rsid w:val="00C37897"/>
    <w:rsid w:val="00C40DAC"/>
    <w:rsid w:val="00C40EAC"/>
    <w:rsid w:val="00C438E9"/>
    <w:rsid w:val="00C45387"/>
    <w:rsid w:val="00C45D40"/>
    <w:rsid w:val="00C460D1"/>
    <w:rsid w:val="00C460D5"/>
    <w:rsid w:val="00C46920"/>
    <w:rsid w:val="00C509DC"/>
    <w:rsid w:val="00C53102"/>
    <w:rsid w:val="00C551A5"/>
    <w:rsid w:val="00C567F6"/>
    <w:rsid w:val="00C5716C"/>
    <w:rsid w:val="00C5769E"/>
    <w:rsid w:val="00C619D3"/>
    <w:rsid w:val="00C706FF"/>
    <w:rsid w:val="00C72387"/>
    <w:rsid w:val="00C762CD"/>
    <w:rsid w:val="00C8063D"/>
    <w:rsid w:val="00C84B2D"/>
    <w:rsid w:val="00C85787"/>
    <w:rsid w:val="00C92762"/>
    <w:rsid w:val="00C95545"/>
    <w:rsid w:val="00C95A8A"/>
    <w:rsid w:val="00C960C0"/>
    <w:rsid w:val="00C9645E"/>
    <w:rsid w:val="00C97A4E"/>
    <w:rsid w:val="00CA1445"/>
    <w:rsid w:val="00CA21BC"/>
    <w:rsid w:val="00CA26FE"/>
    <w:rsid w:val="00CA510B"/>
    <w:rsid w:val="00CB104C"/>
    <w:rsid w:val="00CB14FF"/>
    <w:rsid w:val="00CB180D"/>
    <w:rsid w:val="00CB6D91"/>
    <w:rsid w:val="00CB7B51"/>
    <w:rsid w:val="00CB7B93"/>
    <w:rsid w:val="00CC5591"/>
    <w:rsid w:val="00CC72DD"/>
    <w:rsid w:val="00CD1B0C"/>
    <w:rsid w:val="00CD2194"/>
    <w:rsid w:val="00CD47F1"/>
    <w:rsid w:val="00CE17A6"/>
    <w:rsid w:val="00CE17D2"/>
    <w:rsid w:val="00CE1EDD"/>
    <w:rsid w:val="00CE45C2"/>
    <w:rsid w:val="00CE670C"/>
    <w:rsid w:val="00CF1160"/>
    <w:rsid w:val="00CF5775"/>
    <w:rsid w:val="00D050D4"/>
    <w:rsid w:val="00D10184"/>
    <w:rsid w:val="00D1402B"/>
    <w:rsid w:val="00D1411E"/>
    <w:rsid w:val="00D14AD9"/>
    <w:rsid w:val="00D15309"/>
    <w:rsid w:val="00D164E5"/>
    <w:rsid w:val="00D20FE2"/>
    <w:rsid w:val="00D22943"/>
    <w:rsid w:val="00D238F1"/>
    <w:rsid w:val="00D26A60"/>
    <w:rsid w:val="00D26EFF"/>
    <w:rsid w:val="00D31A61"/>
    <w:rsid w:val="00D31D86"/>
    <w:rsid w:val="00D31DED"/>
    <w:rsid w:val="00D330A3"/>
    <w:rsid w:val="00D33152"/>
    <w:rsid w:val="00D34529"/>
    <w:rsid w:val="00D37001"/>
    <w:rsid w:val="00D37A42"/>
    <w:rsid w:val="00D4066E"/>
    <w:rsid w:val="00D40F94"/>
    <w:rsid w:val="00D43E11"/>
    <w:rsid w:val="00D44E09"/>
    <w:rsid w:val="00D46F95"/>
    <w:rsid w:val="00D5023D"/>
    <w:rsid w:val="00D6188A"/>
    <w:rsid w:val="00D65C2B"/>
    <w:rsid w:val="00D66B7C"/>
    <w:rsid w:val="00D70895"/>
    <w:rsid w:val="00D73EDB"/>
    <w:rsid w:val="00D774F5"/>
    <w:rsid w:val="00D778FC"/>
    <w:rsid w:val="00D80271"/>
    <w:rsid w:val="00D802A2"/>
    <w:rsid w:val="00D82F2E"/>
    <w:rsid w:val="00D832AE"/>
    <w:rsid w:val="00D85A5F"/>
    <w:rsid w:val="00D91B4B"/>
    <w:rsid w:val="00D949F4"/>
    <w:rsid w:val="00D95A25"/>
    <w:rsid w:val="00D962C6"/>
    <w:rsid w:val="00D97E5E"/>
    <w:rsid w:val="00DA01F3"/>
    <w:rsid w:val="00DA23EB"/>
    <w:rsid w:val="00DA733F"/>
    <w:rsid w:val="00DA7705"/>
    <w:rsid w:val="00DB2DA3"/>
    <w:rsid w:val="00DB39A7"/>
    <w:rsid w:val="00DB433F"/>
    <w:rsid w:val="00DB45A5"/>
    <w:rsid w:val="00DB5A53"/>
    <w:rsid w:val="00DB661C"/>
    <w:rsid w:val="00DB6976"/>
    <w:rsid w:val="00DC2912"/>
    <w:rsid w:val="00DC32D8"/>
    <w:rsid w:val="00DC3A6D"/>
    <w:rsid w:val="00DC3C5C"/>
    <w:rsid w:val="00DC41F3"/>
    <w:rsid w:val="00DC5CFE"/>
    <w:rsid w:val="00DD0A81"/>
    <w:rsid w:val="00DD104B"/>
    <w:rsid w:val="00DD20C8"/>
    <w:rsid w:val="00DD303E"/>
    <w:rsid w:val="00DD4C19"/>
    <w:rsid w:val="00DD5122"/>
    <w:rsid w:val="00DD6D5E"/>
    <w:rsid w:val="00DD6E1F"/>
    <w:rsid w:val="00DE017C"/>
    <w:rsid w:val="00DE1742"/>
    <w:rsid w:val="00DE1FE5"/>
    <w:rsid w:val="00DE3783"/>
    <w:rsid w:val="00DE738E"/>
    <w:rsid w:val="00DF20E0"/>
    <w:rsid w:val="00DF2EE2"/>
    <w:rsid w:val="00DF4896"/>
    <w:rsid w:val="00DF48E4"/>
    <w:rsid w:val="00E00E25"/>
    <w:rsid w:val="00E00FAD"/>
    <w:rsid w:val="00E0136F"/>
    <w:rsid w:val="00E01742"/>
    <w:rsid w:val="00E0358B"/>
    <w:rsid w:val="00E06C5A"/>
    <w:rsid w:val="00E10004"/>
    <w:rsid w:val="00E10760"/>
    <w:rsid w:val="00E12EBC"/>
    <w:rsid w:val="00E12FC9"/>
    <w:rsid w:val="00E13FBE"/>
    <w:rsid w:val="00E14343"/>
    <w:rsid w:val="00E1491A"/>
    <w:rsid w:val="00E1743D"/>
    <w:rsid w:val="00E21AB4"/>
    <w:rsid w:val="00E25638"/>
    <w:rsid w:val="00E269B5"/>
    <w:rsid w:val="00E308A0"/>
    <w:rsid w:val="00E31245"/>
    <w:rsid w:val="00E33397"/>
    <w:rsid w:val="00E3414D"/>
    <w:rsid w:val="00E3517A"/>
    <w:rsid w:val="00E3670A"/>
    <w:rsid w:val="00E4445D"/>
    <w:rsid w:val="00E501B9"/>
    <w:rsid w:val="00E53294"/>
    <w:rsid w:val="00E534EA"/>
    <w:rsid w:val="00E57E3B"/>
    <w:rsid w:val="00E618B4"/>
    <w:rsid w:val="00E61CC2"/>
    <w:rsid w:val="00E62315"/>
    <w:rsid w:val="00E63F4C"/>
    <w:rsid w:val="00E67A54"/>
    <w:rsid w:val="00E775B1"/>
    <w:rsid w:val="00E85699"/>
    <w:rsid w:val="00E85775"/>
    <w:rsid w:val="00E86FFB"/>
    <w:rsid w:val="00E8761B"/>
    <w:rsid w:val="00E93C4C"/>
    <w:rsid w:val="00E953E8"/>
    <w:rsid w:val="00E97DDF"/>
    <w:rsid w:val="00EA6F45"/>
    <w:rsid w:val="00EB1335"/>
    <w:rsid w:val="00EB322A"/>
    <w:rsid w:val="00EB50F6"/>
    <w:rsid w:val="00EB6234"/>
    <w:rsid w:val="00EC0C13"/>
    <w:rsid w:val="00EC2DDC"/>
    <w:rsid w:val="00EC36DF"/>
    <w:rsid w:val="00EC77EA"/>
    <w:rsid w:val="00ED4F01"/>
    <w:rsid w:val="00EE11EA"/>
    <w:rsid w:val="00EE2256"/>
    <w:rsid w:val="00EE560A"/>
    <w:rsid w:val="00EE5D78"/>
    <w:rsid w:val="00EE6BF4"/>
    <w:rsid w:val="00EF0614"/>
    <w:rsid w:val="00EF28B0"/>
    <w:rsid w:val="00EF447B"/>
    <w:rsid w:val="00EF48F2"/>
    <w:rsid w:val="00EF776C"/>
    <w:rsid w:val="00F00555"/>
    <w:rsid w:val="00F01566"/>
    <w:rsid w:val="00F01BCD"/>
    <w:rsid w:val="00F02403"/>
    <w:rsid w:val="00F03E8F"/>
    <w:rsid w:val="00F049DB"/>
    <w:rsid w:val="00F04FB5"/>
    <w:rsid w:val="00F100FF"/>
    <w:rsid w:val="00F110B9"/>
    <w:rsid w:val="00F115C7"/>
    <w:rsid w:val="00F11A3F"/>
    <w:rsid w:val="00F12DE3"/>
    <w:rsid w:val="00F179C6"/>
    <w:rsid w:val="00F23F47"/>
    <w:rsid w:val="00F31098"/>
    <w:rsid w:val="00F3248D"/>
    <w:rsid w:val="00F3381B"/>
    <w:rsid w:val="00F35852"/>
    <w:rsid w:val="00F364AF"/>
    <w:rsid w:val="00F42921"/>
    <w:rsid w:val="00F4491A"/>
    <w:rsid w:val="00F5000D"/>
    <w:rsid w:val="00F518FC"/>
    <w:rsid w:val="00F55DDE"/>
    <w:rsid w:val="00F55F2A"/>
    <w:rsid w:val="00F617CB"/>
    <w:rsid w:val="00F660A3"/>
    <w:rsid w:val="00F67954"/>
    <w:rsid w:val="00F708A8"/>
    <w:rsid w:val="00F70C95"/>
    <w:rsid w:val="00F7672E"/>
    <w:rsid w:val="00F768DD"/>
    <w:rsid w:val="00F773FD"/>
    <w:rsid w:val="00F8196A"/>
    <w:rsid w:val="00F82933"/>
    <w:rsid w:val="00F83346"/>
    <w:rsid w:val="00F8355A"/>
    <w:rsid w:val="00F84C4A"/>
    <w:rsid w:val="00F852CC"/>
    <w:rsid w:val="00F87BD9"/>
    <w:rsid w:val="00F90BC3"/>
    <w:rsid w:val="00F90BE6"/>
    <w:rsid w:val="00F92CB5"/>
    <w:rsid w:val="00F95F37"/>
    <w:rsid w:val="00F962AD"/>
    <w:rsid w:val="00F963E5"/>
    <w:rsid w:val="00FA09FE"/>
    <w:rsid w:val="00FA0FF3"/>
    <w:rsid w:val="00FA2C72"/>
    <w:rsid w:val="00FA4500"/>
    <w:rsid w:val="00FA7D99"/>
    <w:rsid w:val="00FB01BD"/>
    <w:rsid w:val="00FB1FD7"/>
    <w:rsid w:val="00FB20DE"/>
    <w:rsid w:val="00FB47DC"/>
    <w:rsid w:val="00FB54D0"/>
    <w:rsid w:val="00FB6F1B"/>
    <w:rsid w:val="00FB7058"/>
    <w:rsid w:val="00FB7E7B"/>
    <w:rsid w:val="00FC3417"/>
    <w:rsid w:val="00FC38C7"/>
    <w:rsid w:val="00FC3F72"/>
    <w:rsid w:val="00FC4BE4"/>
    <w:rsid w:val="00FC578D"/>
    <w:rsid w:val="00FC7340"/>
    <w:rsid w:val="00FC763D"/>
    <w:rsid w:val="00FC7747"/>
    <w:rsid w:val="00FC7A3D"/>
    <w:rsid w:val="00FD0460"/>
    <w:rsid w:val="00FD0B16"/>
    <w:rsid w:val="00FD22DC"/>
    <w:rsid w:val="00FD2950"/>
    <w:rsid w:val="00FD4FDF"/>
    <w:rsid w:val="00FD628A"/>
    <w:rsid w:val="00FD7129"/>
    <w:rsid w:val="00FD7B43"/>
    <w:rsid w:val="00FE1C34"/>
    <w:rsid w:val="00FE2A51"/>
    <w:rsid w:val="00FF1473"/>
    <w:rsid w:val="00FF1932"/>
    <w:rsid w:val="00FF1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22BAB"/>
  <w15:docId w15:val="{08A3E506-2A04-4C22-A2D1-5B111558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2A4C"/>
  </w:style>
  <w:style w:type="paragraph" w:styleId="Nagwek1">
    <w:name w:val="heading 1"/>
    <w:basedOn w:val="Normalny"/>
    <w:next w:val="Normalny"/>
    <w:link w:val="Nagwek1Znak"/>
    <w:uiPriority w:val="9"/>
    <w:qFormat/>
    <w:rsid w:val="00445069"/>
    <w:pPr>
      <w:spacing w:before="240" w:after="120" w:line="360" w:lineRule="atLeast"/>
      <w:ind w:left="-153" w:hanging="567"/>
      <w:outlineLvl w:val="0"/>
    </w:pPr>
    <w:rPr>
      <w:rFonts w:ascii="Arial" w:eastAsia="Times New Roman" w:hAnsi="Arial" w:cs="Times New Roman"/>
      <w:b/>
      <w:sz w:val="32"/>
      <w:szCs w:val="20"/>
      <w:lang w:eastAsia="pl-PL"/>
    </w:rPr>
  </w:style>
  <w:style w:type="paragraph" w:styleId="Nagwek2">
    <w:name w:val="heading 2"/>
    <w:basedOn w:val="Normalny"/>
    <w:next w:val="Normalny"/>
    <w:link w:val="Nagwek2Znak"/>
    <w:qFormat/>
    <w:rsid w:val="00445069"/>
    <w:pPr>
      <w:keepNext/>
      <w:spacing w:before="120" w:after="120" w:line="240" w:lineRule="auto"/>
      <w:ind w:left="555" w:hanging="708"/>
      <w:outlineLvl w:val="1"/>
    </w:pPr>
    <w:rPr>
      <w:rFonts w:ascii="Arial" w:eastAsia="Times New Roman" w:hAnsi="Arial" w:cs="Times New Roman"/>
      <w:b/>
      <w:sz w:val="26"/>
      <w:szCs w:val="20"/>
      <w:lang w:eastAsia="pl-PL"/>
    </w:rPr>
  </w:style>
  <w:style w:type="paragraph" w:styleId="Nagwek3">
    <w:name w:val="heading 3"/>
    <w:basedOn w:val="Normalny"/>
    <w:next w:val="Normalny"/>
    <w:link w:val="Nagwek3Znak"/>
    <w:qFormat/>
    <w:rsid w:val="00445069"/>
    <w:pPr>
      <w:spacing w:before="240" w:after="0" w:line="360" w:lineRule="atLeast"/>
      <w:ind w:left="126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445069"/>
    <w:pPr>
      <w:spacing w:before="240" w:after="0" w:line="360" w:lineRule="atLeast"/>
      <w:ind w:left="197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445069"/>
    <w:pPr>
      <w:spacing w:before="240" w:after="60" w:line="240" w:lineRule="auto"/>
      <w:ind w:left="2679" w:hanging="708"/>
      <w:outlineLvl w:val="4"/>
    </w:pPr>
    <w:rPr>
      <w:rFonts w:ascii="Arial" w:eastAsia="Times New Roman" w:hAnsi="Arial" w:cs="Times New Roman"/>
      <w:szCs w:val="20"/>
      <w:lang w:eastAsia="pl-PL"/>
    </w:rPr>
  </w:style>
  <w:style w:type="paragraph" w:styleId="Nagwek6">
    <w:name w:val="heading 6"/>
    <w:basedOn w:val="Normalny"/>
    <w:link w:val="Nagwek6Znak"/>
    <w:qFormat/>
    <w:rsid w:val="004844D8"/>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paragraph" w:styleId="Nagwek7">
    <w:name w:val="heading 7"/>
    <w:basedOn w:val="Normalny"/>
    <w:next w:val="Normalny"/>
    <w:link w:val="Nagwek7Znak"/>
    <w:qFormat/>
    <w:rsid w:val="00445069"/>
    <w:pPr>
      <w:spacing w:before="240" w:after="60" w:line="240" w:lineRule="auto"/>
      <w:ind w:left="409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445069"/>
    <w:pPr>
      <w:spacing w:before="240" w:after="60" w:line="240" w:lineRule="auto"/>
      <w:ind w:left="480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445069"/>
    <w:pPr>
      <w:spacing w:before="240" w:after="60" w:line="240" w:lineRule="auto"/>
      <w:ind w:left="551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4844D8"/>
    <w:rPr>
      <w:rFonts w:ascii="Times New Roman" w:eastAsia="Times New Roman" w:hAnsi="Times New Roman" w:cs="Times New Roman"/>
      <w:b/>
      <w:bCs/>
      <w:sz w:val="15"/>
      <w:szCs w:val="15"/>
      <w:lang w:eastAsia="pl-PL"/>
    </w:rPr>
  </w:style>
  <w:style w:type="character" w:styleId="Pogrubienie">
    <w:name w:val="Strong"/>
    <w:basedOn w:val="Domylnaczcionkaakapitu"/>
    <w:uiPriority w:val="22"/>
    <w:qFormat/>
    <w:rsid w:val="004844D8"/>
    <w:rPr>
      <w:b/>
      <w:bCs/>
    </w:rPr>
  </w:style>
  <w:style w:type="table" w:styleId="Tabela-Siatka">
    <w:name w:val="Table Grid"/>
    <w:basedOn w:val="Standardowy"/>
    <w:uiPriority w:val="39"/>
    <w:rsid w:val="0048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FC3F72"/>
    <w:rPr>
      <w:sz w:val="16"/>
      <w:szCs w:val="16"/>
    </w:rPr>
  </w:style>
  <w:style w:type="paragraph" w:styleId="Tekstkomentarza">
    <w:name w:val="annotation text"/>
    <w:basedOn w:val="Normalny"/>
    <w:link w:val="TekstkomentarzaZnak"/>
    <w:uiPriority w:val="99"/>
    <w:unhideWhenUsed/>
    <w:rsid w:val="00FC3F72"/>
    <w:pPr>
      <w:spacing w:line="240" w:lineRule="auto"/>
    </w:pPr>
    <w:rPr>
      <w:sz w:val="20"/>
      <w:szCs w:val="20"/>
    </w:rPr>
  </w:style>
  <w:style w:type="character" w:customStyle="1" w:styleId="TekstkomentarzaZnak">
    <w:name w:val="Tekst komentarza Znak"/>
    <w:basedOn w:val="Domylnaczcionkaakapitu"/>
    <w:link w:val="Tekstkomentarza"/>
    <w:uiPriority w:val="99"/>
    <w:rsid w:val="00FC3F72"/>
    <w:rPr>
      <w:sz w:val="20"/>
      <w:szCs w:val="20"/>
    </w:rPr>
  </w:style>
  <w:style w:type="paragraph" w:customStyle="1" w:styleId="Default">
    <w:name w:val="Default"/>
    <w:rsid w:val="00ED4F0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B30E6C"/>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30E6C"/>
    <w:rPr>
      <w:rFonts w:ascii="Times New Roman" w:eastAsia="Times New Roman" w:hAnsi="Times New Roman" w:cs="Times New Roman"/>
      <w:sz w:val="20"/>
      <w:szCs w:val="20"/>
      <w:lang w:val="en-US"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ist Paragraph compact,L"/>
    <w:basedOn w:val="Normalny"/>
    <w:link w:val="AkapitzlistZnak"/>
    <w:uiPriority w:val="34"/>
    <w:qFormat/>
    <w:rsid w:val="00B30E6C"/>
    <w:pPr>
      <w:spacing w:after="200" w:line="276" w:lineRule="auto"/>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L Znak"/>
    <w:link w:val="Akapitzlist"/>
    <w:uiPriority w:val="34"/>
    <w:qFormat/>
    <w:locked/>
    <w:rsid w:val="00B30E6C"/>
    <w:rPr>
      <w:rFonts w:eastAsiaTheme="minorEastAsia"/>
      <w:lang w:eastAsia="pl-PL"/>
    </w:rPr>
  </w:style>
  <w:style w:type="paragraph" w:styleId="Poprawka">
    <w:name w:val="Revision"/>
    <w:hidden/>
    <w:uiPriority w:val="99"/>
    <w:semiHidden/>
    <w:rsid w:val="004B689C"/>
    <w:pPr>
      <w:spacing w:after="0" w:line="240" w:lineRule="auto"/>
    </w:pPr>
  </w:style>
  <w:style w:type="paragraph" w:styleId="Tematkomentarza">
    <w:name w:val="annotation subject"/>
    <w:basedOn w:val="Tekstkomentarza"/>
    <w:next w:val="Tekstkomentarza"/>
    <w:link w:val="TematkomentarzaZnak"/>
    <w:uiPriority w:val="99"/>
    <w:semiHidden/>
    <w:unhideWhenUsed/>
    <w:rsid w:val="004B689C"/>
    <w:rPr>
      <w:b/>
      <w:bCs/>
    </w:rPr>
  </w:style>
  <w:style w:type="character" w:customStyle="1" w:styleId="TematkomentarzaZnak">
    <w:name w:val="Temat komentarza Znak"/>
    <w:basedOn w:val="TekstkomentarzaZnak"/>
    <w:link w:val="Tematkomentarza"/>
    <w:uiPriority w:val="99"/>
    <w:semiHidden/>
    <w:rsid w:val="004B689C"/>
    <w:rPr>
      <w:b/>
      <w:bCs/>
      <w:sz w:val="20"/>
      <w:szCs w:val="20"/>
    </w:rPr>
  </w:style>
  <w:style w:type="paragraph" w:customStyle="1" w:styleId="CM3">
    <w:name w:val="CM3"/>
    <w:basedOn w:val="Default"/>
    <w:next w:val="Default"/>
    <w:uiPriority w:val="99"/>
    <w:rsid w:val="00A7560F"/>
    <w:rPr>
      <w:rFonts w:ascii="Times New Roman" w:hAnsi="Times New Roman" w:cs="Times New Roman"/>
      <w:color w:val="auto"/>
    </w:rPr>
  </w:style>
  <w:style w:type="paragraph" w:customStyle="1" w:styleId="CM4">
    <w:name w:val="CM4"/>
    <w:basedOn w:val="Default"/>
    <w:next w:val="Default"/>
    <w:uiPriority w:val="99"/>
    <w:rsid w:val="00A7560F"/>
    <w:rPr>
      <w:rFonts w:ascii="Times New Roman" w:hAnsi="Times New Roman" w:cs="Times New Roman"/>
      <w:color w:val="auto"/>
    </w:rPr>
  </w:style>
  <w:style w:type="paragraph" w:styleId="Tekstdymka">
    <w:name w:val="Balloon Text"/>
    <w:basedOn w:val="Normalny"/>
    <w:link w:val="TekstdymkaZnak"/>
    <w:uiPriority w:val="99"/>
    <w:semiHidden/>
    <w:unhideWhenUsed/>
    <w:rsid w:val="001E1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58A"/>
    <w:rPr>
      <w:rFonts w:ascii="Segoe U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80DBB"/>
    <w:rPr>
      <w:vertAlign w:val="superscript"/>
    </w:rPr>
  </w:style>
  <w:style w:type="paragraph" w:customStyle="1" w:styleId="Akapit">
    <w:name w:val="Akapit"/>
    <w:basedOn w:val="Normalny"/>
    <w:rsid w:val="00FC763D"/>
    <w:pPr>
      <w:keepNext/>
      <w:numPr>
        <w:ilvl w:val="5"/>
        <w:numId w:val="2"/>
      </w:numPr>
      <w:spacing w:after="0" w:line="360" w:lineRule="auto"/>
      <w:jc w:val="both"/>
    </w:pPr>
    <w:rPr>
      <w:rFonts w:ascii="Arial" w:eastAsia="Times New Roman" w:hAnsi="Arial" w:cs="Times New Roman"/>
      <w:bCs/>
      <w:szCs w:val="24"/>
      <w:lang w:eastAsia="pl-PL"/>
    </w:rPr>
  </w:style>
  <w:style w:type="paragraph" w:customStyle="1" w:styleId="KM-podpunkt">
    <w:name w:val="KM - podpunkt"/>
    <w:basedOn w:val="Akapit"/>
    <w:link w:val="KM-podpunktZnak"/>
    <w:qFormat/>
    <w:rsid w:val="00FC763D"/>
    <w:pPr>
      <w:keepNext w:val="0"/>
      <w:numPr>
        <w:ilvl w:val="1"/>
      </w:numPr>
      <w:jc w:val="left"/>
    </w:pPr>
    <w:rPr>
      <w:rFonts w:cs="Arial"/>
      <w:sz w:val="24"/>
    </w:rPr>
  </w:style>
  <w:style w:type="character" w:customStyle="1" w:styleId="KM-podpunktZnak">
    <w:name w:val="KM - podpunkt Znak"/>
    <w:link w:val="KM-podpunkt"/>
    <w:rsid w:val="00FC763D"/>
    <w:rPr>
      <w:rFonts w:ascii="Arial" w:eastAsia="Times New Roman" w:hAnsi="Arial" w:cs="Arial"/>
      <w:bCs/>
      <w:sz w:val="24"/>
      <w:szCs w:val="24"/>
      <w:lang w:eastAsia="pl-PL"/>
    </w:rPr>
  </w:style>
  <w:style w:type="paragraph" w:styleId="Nagwek">
    <w:name w:val="header"/>
    <w:basedOn w:val="Normalny"/>
    <w:link w:val="NagwekZnak"/>
    <w:uiPriority w:val="99"/>
    <w:unhideWhenUsed/>
    <w:rsid w:val="00A468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826"/>
  </w:style>
  <w:style w:type="paragraph" w:styleId="Stopka">
    <w:name w:val="footer"/>
    <w:basedOn w:val="Normalny"/>
    <w:link w:val="StopkaZnak"/>
    <w:uiPriority w:val="99"/>
    <w:unhideWhenUsed/>
    <w:rsid w:val="00A468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826"/>
  </w:style>
  <w:style w:type="character" w:styleId="Hipercze">
    <w:name w:val="Hyperlink"/>
    <w:basedOn w:val="Domylnaczcionkaakapitu"/>
    <w:uiPriority w:val="99"/>
    <w:unhideWhenUsed/>
    <w:rsid w:val="00B9127B"/>
    <w:rPr>
      <w:color w:val="0563C1" w:themeColor="hyperlink"/>
      <w:u w:val="single"/>
    </w:rPr>
  </w:style>
  <w:style w:type="character" w:customStyle="1" w:styleId="Nierozpoznanawzmianka1">
    <w:name w:val="Nierozpoznana wzmianka1"/>
    <w:basedOn w:val="Domylnaczcionkaakapitu"/>
    <w:uiPriority w:val="99"/>
    <w:semiHidden/>
    <w:unhideWhenUsed/>
    <w:rsid w:val="00B9127B"/>
    <w:rPr>
      <w:color w:val="605E5C"/>
      <w:shd w:val="clear" w:color="auto" w:fill="E1DFDD"/>
    </w:rPr>
  </w:style>
  <w:style w:type="character" w:customStyle="1" w:styleId="warheader">
    <w:name w:val="war_header"/>
    <w:basedOn w:val="Domylnaczcionkaakapitu"/>
    <w:rsid w:val="00B9127B"/>
  </w:style>
  <w:style w:type="character" w:customStyle="1" w:styleId="Nagwek1Znak">
    <w:name w:val="Nagłówek 1 Znak"/>
    <w:basedOn w:val="Domylnaczcionkaakapitu"/>
    <w:link w:val="Nagwek1"/>
    <w:uiPriority w:val="9"/>
    <w:rsid w:val="00445069"/>
    <w:rPr>
      <w:rFonts w:ascii="Arial" w:eastAsia="Times New Roman" w:hAnsi="Arial" w:cs="Times New Roman"/>
      <w:b/>
      <w:sz w:val="32"/>
      <w:szCs w:val="20"/>
      <w:lang w:eastAsia="pl-PL"/>
    </w:rPr>
  </w:style>
  <w:style w:type="character" w:customStyle="1" w:styleId="Nagwek2Znak">
    <w:name w:val="Nagłówek 2 Znak"/>
    <w:basedOn w:val="Domylnaczcionkaakapitu"/>
    <w:link w:val="Nagwek2"/>
    <w:rsid w:val="00445069"/>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44506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45069"/>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445069"/>
    <w:rPr>
      <w:rFonts w:ascii="Arial" w:eastAsia="Times New Roman" w:hAnsi="Arial" w:cs="Times New Roman"/>
      <w:szCs w:val="20"/>
      <w:lang w:eastAsia="pl-PL"/>
    </w:rPr>
  </w:style>
  <w:style w:type="character" w:customStyle="1" w:styleId="Nagwek7Znak">
    <w:name w:val="Nagłówek 7 Znak"/>
    <w:basedOn w:val="Domylnaczcionkaakapitu"/>
    <w:link w:val="Nagwek7"/>
    <w:rsid w:val="00445069"/>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44506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45069"/>
    <w:rPr>
      <w:rFonts w:ascii="Arial" w:eastAsia="Times New Roman" w:hAnsi="Arial" w:cs="Times New Roman"/>
      <w:b/>
      <w:i/>
      <w:sz w:val="18"/>
      <w:szCs w:val="20"/>
      <w:lang w:eastAsia="pl-PL"/>
    </w:rPr>
  </w:style>
  <w:style w:type="paragraph" w:customStyle="1" w:styleId="tabela">
    <w:name w:val="tabela"/>
    <w:basedOn w:val="Normalny"/>
    <w:rsid w:val="00445069"/>
    <w:pPr>
      <w:numPr>
        <w:ilvl w:val="3"/>
        <w:numId w:val="1"/>
      </w:numPr>
      <w:spacing w:before="96" w:after="96" w:line="240" w:lineRule="atLeast"/>
      <w:ind w:left="0" w:firstLine="0"/>
    </w:pPr>
    <w:rPr>
      <w:rFonts w:ascii="Times New Roman" w:eastAsia="Times New Roman" w:hAnsi="Times New Roman" w:cs="Times New Roman"/>
      <w:sz w:val="24"/>
      <w:szCs w:val="20"/>
      <w:lang w:eastAsia="pl-PL"/>
    </w:rPr>
  </w:style>
  <w:style w:type="paragraph" w:styleId="Wcicienormalne">
    <w:name w:val="Normal Indent"/>
    <w:basedOn w:val="Normalny"/>
    <w:uiPriority w:val="99"/>
    <w:semiHidden/>
    <w:unhideWhenUsed/>
    <w:rsid w:val="00445069"/>
    <w:pPr>
      <w:ind w:left="708"/>
    </w:pPr>
  </w:style>
  <w:style w:type="paragraph" w:customStyle="1" w:styleId="Tekstpodstawowywcity21">
    <w:name w:val="Tekst podstawowy wcięty 21"/>
    <w:basedOn w:val="Normalny"/>
    <w:rsid w:val="002C1FE9"/>
    <w:pPr>
      <w:spacing w:after="0" w:line="240" w:lineRule="auto"/>
      <w:ind w:left="567"/>
    </w:pPr>
    <w:rPr>
      <w:rFonts w:ascii="Times New Roman" w:eastAsia="Times New Roman" w:hAnsi="Times New Roman" w:cs="Times New Roman"/>
      <w:sz w:val="26"/>
      <w:szCs w:val="20"/>
      <w:lang w:eastAsia="pl-PL"/>
    </w:rPr>
  </w:style>
  <w:style w:type="paragraph" w:customStyle="1" w:styleId="ustustnpkodeksu">
    <w:name w:val="ustustnpkodeksu"/>
    <w:basedOn w:val="Normalny"/>
    <w:rsid w:val="00474E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9A71E2"/>
    <w:rPr>
      <w:color w:val="605E5C"/>
      <w:shd w:val="clear" w:color="auto" w:fill="E1DFDD"/>
    </w:rPr>
  </w:style>
  <w:style w:type="character" w:styleId="UyteHipercze">
    <w:name w:val="FollowedHyperlink"/>
    <w:basedOn w:val="Domylnaczcionkaakapitu"/>
    <w:uiPriority w:val="99"/>
    <w:semiHidden/>
    <w:unhideWhenUsed/>
    <w:rsid w:val="004A5062"/>
    <w:rPr>
      <w:color w:val="954F72" w:themeColor="followedHyperlink"/>
      <w:u w:val="single"/>
    </w:rPr>
  </w:style>
  <w:style w:type="paragraph" w:styleId="Nagwekspisutreci">
    <w:name w:val="TOC Heading"/>
    <w:basedOn w:val="Nagwek1"/>
    <w:next w:val="Normalny"/>
    <w:uiPriority w:val="39"/>
    <w:unhideWhenUsed/>
    <w:qFormat/>
    <w:rsid w:val="008C1EFF"/>
    <w:pPr>
      <w:keepNext/>
      <w:keepLines/>
      <w:spacing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Spistreci1">
    <w:name w:val="toc 1"/>
    <w:basedOn w:val="Normalny"/>
    <w:next w:val="Normalny"/>
    <w:autoRedefine/>
    <w:uiPriority w:val="39"/>
    <w:unhideWhenUsed/>
    <w:rsid w:val="008C1EFF"/>
    <w:pPr>
      <w:spacing w:after="100"/>
    </w:pPr>
  </w:style>
  <w:style w:type="paragraph" w:styleId="Spistreci2">
    <w:name w:val="toc 2"/>
    <w:basedOn w:val="Normalny"/>
    <w:next w:val="Normalny"/>
    <w:autoRedefine/>
    <w:uiPriority w:val="39"/>
    <w:unhideWhenUsed/>
    <w:rsid w:val="003E3F96"/>
    <w:pPr>
      <w:tabs>
        <w:tab w:val="right" w:leader="dot" w:pos="13994"/>
      </w:tabs>
      <w:spacing w:after="100"/>
      <w:ind w:left="220"/>
    </w:pPr>
  </w:style>
  <w:style w:type="paragraph" w:styleId="Spistreci3">
    <w:name w:val="toc 3"/>
    <w:basedOn w:val="Normalny"/>
    <w:next w:val="Normalny"/>
    <w:autoRedefine/>
    <w:uiPriority w:val="39"/>
    <w:unhideWhenUsed/>
    <w:rsid w:val="003E3F96"/>
    <w:pPr>
      <w:tabs>
        <w:tab w:val="right" w:leader="dot" w:pos="13994"/>
      </w:tabs>
      <w:spacing w:after="100"/>
      <w:ind w:left="440"/>
    </w:pPr>
  </w:style>
  <w:style w:type="character" w:customStyle="1" w:styleId="Nierozpoznanawzmianka3">
    <w:name w:val="Nierozpoznana wzmianka3"/>
    <w:basedOn w:val="Domylnaczcionkaakapitu"/>
    <w:uiPriority w:val="99"/>
    <w:semiHidden/>
    <w:unhideWhenUsed/>
    <w:rsid w:val="00EE6BF4"/>
    <w:rPr>
      <w:color w:val="605E5C"/>
      <w:shd w:val="clear" w:color="auto" w:fill="E1DFDD"/>
    </w:rPr>
  </w:style>
  <w:style w:type="table" w:customStyle="1" w:styleId="Tabelasiatki1jasna1">
    <w:name w:val="Tabela siatki 1 — jasna1"/>
    <w:basedOn w:val="Standardowy"/>
    <w:uiPriority w:val="46"/>
    <w:rsid w:val="007F26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ytu">
    <w:name w:val="Title"/>
    <w:basedOn w:val="Normalny"/>
    <w:next w:val="Normalny"/>
    <w:link w:val="TytuZnak"/>
    <w:uiPriority w:val="10"/>
    <w:qFormat/>
    <w:rsid w:val="006A3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A3C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7167">
      <w:bodyDiv w:val="1"/>
      <w:marLeft w:val="0"/>
      <w:marRight w:val="0"/>
      <w:marTop w:val="0"/>
      <w:marBottom w:val="0"/>
      <w:divBdr>
        <w:top w:val="none" w:sz="0" w:space="0" w:color="auto"/>
        <w:left w:val="none" w:sz="0" w:space="0" w:color="auto"/>
        <w:bottom w:val="none" w:sz="0" w:space="0" w:color="auto"/>
        <w:right w:val="none" w:sz="0" w:space="0" w:color="auto"/>
      </w:divBdr>
    </w:div>
    <w:div w:id="185798518">
      <w:bodyDiv w:val="1"/>
      <w:marLeft w:val="0"/>
      <w:marRight w:val="0"/>
      <w:marTop w:val="0"/>
      <w:marBottom w:val="0"/>
      <w:divBdr>
        <w:top w:val="none" w:sz="0" w:space="0" w:color="auto"/>
        <w:left w:val="none" w:sz="0" w:space="0" w:color="auto"/>
        <w:bottom w:val="none" w:sz="0" w:space="0" w:color="auto"/>
        <w:right w:val="none" w:sz="0" w:space="0" w:color="auto"/>
      </w:divBdr>
    </w:div>
    <w:div w:id="213154773">
      <w:bodyDiv w:val="1"/>
      <w:marLeft w:val="0"/>
      <w:marRight w:val="0"/>
      <w:marTop w:val="0"/>
      <w:marBottom w:val="0"/>
      <w:divBdr>
        <w:top w:val="none" w:sz="0" w:space="0" w:color="auto"/>
        <w:left w:val="none" w:sz="0" w:space="0" w:color="auto"/>
        <w:bottom w:val="none" w:sz="0" w:space="0" w:color="auto"/>
        <w:right w:val="none" w:sz="0" w:space="0" w:color="auto"/>
      </w:divBdr>
    </w:div>
    <w:div w:id="221333077">
      <w:bodyDiv w:val="1"/>
      <w:marLeft w:val="0"/>
      <w:marRight w:val="0"/>
      <w:marTop w:val="0"/>
      <w:marBottom w:val="0"/>
      <w:divBdr>
        <w:top w:val="none" w:sz="0" w:space="0" w:color="auto"/>
        <w:left w:val="none" w:sz="0" w:space="0" w:color="auto"/>
        <w:bottom w:val="none" w:sz="0" w:space="0" w:color="auto"/>
        <w:right w:val="none" w:sz="0" w:space="0" w:color="auto"/>
      </w:divBdr>
    </w:div>
    <w:div w:id="231235464">
      <w:bodyDiv w:val="1"/>
      <w:marLeft w:val="0"/>
      <w:marRight w:val="0"/>
      <w:marTop w:val="0"/>
      <w:marBottom w:val="0"/>
      <w:divBdr>
        <w:top w:val="none" w:sz="0" w:space="0" w:color="auto"/>
        <w:left w:val="none" w:sz="0" w:space="0" w:color="auto"/>
        <w:bottom w:val="none" w:sz="0" w:space="0" w:color="auto"/>
        <w:right w:val="none" w:sz="0" w:space="0" w:color="auto"/>
      </w:divBdr>
    </w:div>
    <w:div w:id="305941371">
      <w:bodyDiv w:val="1"/>
      <w:marLeft w:val="0"/>
      <w:marRight w:val="0"/>
      <w:marTop w:val="0"/>
      <w:marBottom w:val="0"/>
      <w:divBdr>
        <w:top w:val="none" w:sz="0" w:space="0" w:color="auto"/>
        <w:left w:val="none" w:sz="0" w:space="0" w:color="auto"/>
        <w:bottom w:val="none" w:sz="0" w:space="0" w:color="auto"/>
        <w:right w:val="none" w:sz="0" w:space="0" w:color="auto"/>
      </w:divBdr>
    </w:div>
    <w:div w:id="415399241">
      <w:bodyDiv w:val="1"/>
      <w:marLeft w:val="0"/>
      <w:marRight w:val="0"/>
      <w:marTop w:val="0"/>
      <w:marBottom w:val="0"/>
      <w:divBdr>
        <w:top w:val="none" w:sz="0" w:space="0" w:color="auto"/>
        <w:left w:val="none" w:sz="0" w:space="0" w:color="auto"/>
        <w:bottom w:val="none" w:sz="0" w:space="0" w:color="auto"/>
        <w:right w:val="none" w:sz="0" w:space="0" w:color="auto"/>
      </w:divBdr>
    </w:div>
    <w:div w:id="442920738">
      <w:bodyDiv w:val="1"/>
      <w:marLeft w:val="0"/>
      <w:marRight w:val="0"/>
      <w:marTop w:val="0"/>
      <w:marBottom w:val="0"/>
      <w:divBdr>
        <w:top w:val="none" w:sz="0" w:space="0" w:color="auto"/>
        <w:left w:val="none" w:sz="0" w:space="0" w:color="auto"/>
        <w:bottom w:val="none" w:sz="0" w:space="0" w:color="auto"/>
        <w:right w:val="none" w:sz="0" w:space="0" w:color="auto"/>
      </w:divBdr>
    </w:div>
    <w:div w:id="445464016">
      <w:bodyDiv w:val="1"/>
      <w:marLeft w:val="0"/>
      <w:marRight w:val="0"/>
      <w:marTop w:val="0"/>
      <w:marBottom w:val="0"/>
      <w:divBdr>
        <w:top w:val="none" w:sz="0" w:space="0" w:color="auto"/>
        <w:left w:val="none" w:sz="0" w:space="0" w:color="auto"/>
        <w:bottom w:val="none" w:sz="0" w:space="0" w:color="auto"/>
        <w:right w:val="none" w:sz="0" w:space="0" w:color="auto"/>
      </w:divBdr>
    </w:div>
    <w:div w:id="451443354">
      <w:bodyDiv w:val="1"/>
      <w:marLeft w:val="0"/>
      <w:marRight w:val="0"/>
      <w:marTop w:val="0"/>
      <w:marBottom w:val="0"/>
      <w:divBdr>
        <w:top w:val="none" w:sz="0" w:space="0" w:color="auto"/>
        <w:left w:val="none" w:sz="0" w:space="0" w:color="auto"/>
        <w:bottom w:val="none" w:sz="0" w:space="0" w:color="auto"/>
        <w:right w:val="none" w:sz="0" w:space="0" w:color="auto"/>
      </w:divBdr>
    </w:div>
    <w:div w:id="463230966">
      <w:bodyDiv w:val="1"/>
      <w:marLeft w:val="0"/>
      <w:marRight w:val="0"/>
      <w:marTop w:val="0"/>
      <w:marBottom w:val="0"/>
      <w:divBdr>
        <w:top w:val="none" w:sz="0" w:space="0" w:color="auto"/>
        <w:left w:val="none" w:sz="0" w:space="0" w:color="auto"/>
        <w:bottom w:val="none" w:sz="0" w:space="0" w:color="auto"/>
        <w:right w:val="none" w:sz="0" w:space="0" w:color="auto"/>
      </w:divBdr>
    </w:div>
    <w:div w:id="565381330">
      <w:bodyDiv w:val="1"/>
      <w:marLeft w:val="0"/>
      <w:marRight w:val="0"/>
      <w:marTop w:val="0"/>
      <w:marBottom w:val="0"/>
      <w:divBdr>
        <w:top w:val="none" w:sz="0" w:space="0" w:color="auto"/>
        <w:left w:val="none" w:sz="0" w:space="0" w:color="auto"/>
        <w:bottom w:val="none" w:sz="0" w:space="0" w:color="auto"/>
        <w:right w:val="none" w:sz="0" w:space="0" w:color="auto"/>
      </w:divBdr>
    </w:div>
    <w:div w:id="623736060">
      <w:bodyDiv w:val="1"/>
      <w:marLeft w:val="0"/>
      <w:marRight w:val="0"/>
      <w:marTop w:val="0"/>
      <w:marBottom w:val="0"/>
      <w:divBdr>
        <w:top w:val="none" w:sz="0" w:space="0" w:color="auto"/>
        <w:left w:val="none" w:sz="0" w:space="0" w:color="auto"/>
        <w:bottom w:val="none" w:sz="0" w:space="0" w:color="auto"/>
        <w:right w:val="none" w:sz="0" w:space="0" w:color="auto"/>
      </w:divBdr>
    </w:div>
    <w:div w:id="662009538">
      <w:bodyDiv w:val="1"/>
      <w:marLeft w:val="0"/>
      <w:marRight w:val="0"/>
      <w:marTop w:val="0"/>
      <w:marBottom w:val="0"/>
      <w:divBdr>
        <w:top w:val="none" w:sz="0" w:space="0" w:color="auto"/>
        <w:left w:val="none" w:sz="0" w:space="0" w:color="auto"/>
        <w:bottom w:val="none" w:sz="0" w:space="0" w:color="auto"/>
        <w:right w:val="none" w:sz="0" w:space="0" w:color="auto"/>
      </w:divBdr>
    </w:div>
    <w:div w:id="665013686">
      <w:bodyDiv w:val="1"/>
      <w:marLeft w:val="0"/>
      <w:marRight w:val="0"/>
      <w:marTop w:val="0"/>
      <w:marBottom w:val="0"/>
      <w:divBdr>
        <w:top w:val="none" w:sz="0" w:space="0" w:color="auto"/>
        <w:left w:val="none" w:sz="0" w:space="0" w:color="auto"/>
        <w:bottom w:val="none" w:sz="0" w:space="0" w:color="auto"/>
        <w:right w:val="none" w:sz="0" w:space="0" w:color="auto"/>
      </w:divBdr>
    </w:div>
    <w:div w:id="824205382">
      <w:bodyDiv w:val="1"/>
      <w:marLeft w:val="0"/>
      <w:marRight w:val="0"/>
      <w:marTop w:val="0"/>
      <w:marBottom w:val="0"/>
      <w:divBdr>
        <w:top w:val="none" w:sz="0" w:space="0" w:color="auto"/>
        <w:left w:val="none" w:sz="0" w:space="0" w:color="auto"/>
        <w:bottom w:val="none" w:sz="0" w:space="0" w:color="auto"/>
        <w:right w:val="none" w:sz="0" w:space="0" w:color="auto"/>
      </w:divBdr>
    </w:div>
    <w:div w:id="902839227">
      <w:bodyDiv w:val="1"/>
      <w:marLeft w:val="0"/>
      <w:marRight w:val="0"/>
      <w:marTop w:val="0"/>
      <w:marBottom w:val="0"/>
      <w:divBdr>
        <w:top w:val="none" w:sz="0" w:space="0" w:color="auto"/>
        <w:left w:val="none" w:sz="0" w:space="0" w:color="auto"/>
        <w:bottom w:val="none" w:sz="0" w:space="0" w:color="auto"/>
        <w:right w:val="none" w:sz="0" w:space="0" w:color="auto"/>
      </w:divBdr>
    </w:div>
    <w:div w:id="984747926">
      <w:bodyDiv w:val="1"/>
      <w:marLeft w:val="0"/>
      <w:marRight w:val="0"/>
      <w:marTop w:val="0"/>
      <w:marBottom w:val="0"/>
      <w:divBdr>
        <w:top w:val="none" w:sz="0" w:space="0" w:color="auto"/>
        <w:left w:val="none" w:sz="0" w:space="0" w:color="auto"/>
        <w:bottom w:val="none" w:sz="0" w:space="0" w:color="auto"/>
        <w:right w:val="none" w:sz="0" w:space="0" w:color="auto"/>
      </w:divBdr>
    </w:div>
    <w:div w:id="1087117035">
      <w:bodyDiv w:val="1"/>
      <w:marLeft w:val="0"/>
      <w:marRight w:val="0"/>
      <w:marTop w:val="0"/>
      <w:marBottom w:val="0"/>
      <w:divBdr>
        <w:top w:val="none" w:sz="0" w:space="0" w:color="auto"/>
        <w:left w:val="none" w:sz="0" w:space="0" w:color="auto"/>
        <w:bottom w:val="none" w:sz="0" w:space="0" w:color="auto"/>
        <w:right w:val="none" w:sz="0" w:space="0" w:color="auto"/>
      </w:divBdr>
    </w:div>
    <w:div w:id="1149591030">
      <w:bodyDiv w:val="1"/>
      <w:marLeft w:val="0"/>
      <w:marRight w:val="0"/>
      <w:marTop w:val="0"/>
      <w:marBottom w:val="0"/>
      <w:divBdr>
        <w:top w:val="none" w:sz="0" w:space="0" w:color="auto"/>
        <w:left w:val="none" w:sz="0" w:space="0" w:color="auto"/>
        <w:bottom w:val="none" w:sz="0" w:space="0" w:color="auto"/>
        <w:right w:val="none" w:sz="0" w:space="0" w:color="auto"/>
      </w:divBdr>
    </w:div>
    <w:div w:id="1212885485">
      <w:bodyDiv w:val="1"/>
      <w:marLeft w:val="0"/>
      <w:marRight w:val="0"/>
      <w:marTop w:val="0"/>
      <w:marBottom w:val="0"/>
      <w:divBdr>
        <w:top w:val="none" w:sz="0" w:space="0" w:color="auto"/>
        <w:left w:val="none" w:sz="0" w:space="0" w:color="auto"/>
        <w:bottom w:val="none" w:sz="0" w:space="0" w:color="auto"/>
        <w:right w:val="none" w:sz="0" w:space="0" w:color="auto"/>
      </w:divBdr>
    </w:div>
    <w:div w:id="1356267991">
      <w:bodyDiv w:val="1"/>
      <w:marLeft w:val="0"/>
      <w:marRight w:val="0"/>
      <w:marTop w:val="0"/>
      <w:marBottom w:val="0"/>
      <w:divBdr>
        <w:top w:val="none" w:sz="0" w:space="0" w:color="auto"/>
        <w:left w:val="none" w:sz="0" w:space="0" w:color="auto"/>
        <w:bottom w:val="none" w:sz="0" w:space="0" w:color="auto"/>
        <w:right w:val="none" w:sz="0" w:space="0" w:color="auto"/>
      </w:divBdr>
    </w:div>
    <w:div w:id="1357391724">
      <w:bodyDiv w:val="1"/>
      <w:marLeft w:val="0"/>
      <w:marRight w:val="0"/>
      <w:marTop w:val="0"/>
      <w:marBottom w:val="0"/>
      <w:divBdr>
        <w:top w:val="none" w:sz="0" w:space="0" w:color="auto"/>
        <w:left w:val="none" w:sz="0" w:space="0" w:color="auto"/>
        <w:bottom w:val="none" w:sz="0" w:space="0" w:color="auto"/>
        <w:right w:val="none" w:sz="0" w:space="0" w:color="auto"/>
      </w:divBdr>
    </w:div>
    <w:div w:id="1723754212">
      <w:bodyDiv w:val="1"/>
      <w:marLeft w:val="0"/>
      <w:marRight w:val="0"/>
      <w:marTop w:val="0"/>
      <w:marBottom w:val="0"/>
      <w:divBdr>
        <w:top w:val="none" w:sz="0" w:space="0" w:color="auto"/>
        <w:left w:val="none" w:sz="0" w:space="0" w:color="auto"/>
        <w:bottom w:val="none" w:sz="0" w:space="0" w:color="auto"/>
        <w:right w:val="none" w:sz="0" w:space="0" w:color="auto"/>
      </w:divBdr>
    </w:div>
    <w:div w:id="1724988556">
      <w:bodyDiv w:val="1"/>
      <w:marLeft w:val="0"/>
      <w:marRight w:val="0"/>
      <w:marTop w:val="0"/>
      <w:marBottom w:val="0"/>
      <w:divBdr>
        <w:top w:val="none" w:sz="0" w:space="0" w:color="auto"/>
        <w:left w:val="none" w:sz="0" w:space="0" w:color="auto"/>
        <w:bottom w:val="none" w:sz="0" w:space="0" w:color="auto"/>
        <w:right w:val="none" w:sz="0" w:space="0" w:color="auto"/>
      </w:divBdr>
    </w:div>
    <w:div w:id="1774126405">
      <w:bodyDiv w:val="1"/>
      <w:marLeft w:val="0"/>
      <w:marRight w:val="0"/>
      <w:marTop w:val="0"/>
      <w:marBottom w:val="0"/>
      <w:divBdr>
        <w:top w:val="none" w:sz="0" w:space="0" w:color="auto"/>
        <w:left w:val="none" w:sz="0" w:space="0" w:color="auto"/>
        <w:bottom w:val="none" w:sz="0" w:space="0" w:color="auto"/>
        <w:right w:val="none" w:sz="0" w:space="0" w:color="auto"/>
      </w:divBdr>
      <w:divsChild>
        <w:div w:id="871769247">
          <w:marLeft w:val="0"/>
          <w:marRight w:val="0"/>
          <w:marTop w:val="0"/>
          <w:marBottom w:val="0"/>
          <w:divBdr>
            <w:top w:val="none" w:sz="0" w:space="0" w:color="auto"/>
            <w:left w:val="none" w:sz="0" w:space="0" w:color="auto"/>
            <w:bottom w:val="none" w:sz="0" w:space="0" w:color="auto"/>
            <w:right w:val="none" w:sz="0" w:space="0" w:color="auto"/>
          </w:divBdr>
          <w:divsChild>
            <w:div w:id="9469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939">
      <w:bodyDiv w:val="1"/>
      <w:marLeft w:val="0"/>
      <w:marRight w:val="0"/>
      <w:marTop w:val="0"/>
      <w:marBottom w:val="0"/>
      <w:divBdr>
        <w:top w:val="none" w:sz="0" w:space="0" w:color="auto"/>
        <w:left w:val="none" w:sz="0" w:space="0" w:color="auto"/>
        <w:bottom w:val="none" w:sz="0" w:space="0" w:color="auto"/>
        <w:right w:val="none" w:sz="0" w:space="0" w:color="auto"/>
      </w:divBdr>
    </w:div>
    <w:div w:id="1964380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B830-B5D7-4745-9E83-8AB4B48F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4179</Words>
  <Characters>25076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Kosarzycka</dc:creator>
  <cp:keywords/>
  <dc:description/>
  <cp:lastModifiedBy>Edyta Czarna</cp:lastModifiedBy>
  <cp:revision>114</cp:revision>
  <cp:lastPrinted>2023-05-09T10:31:00Z</cp:lastPrinted>
  <dcterms:created xsi:type="dcterms:W3CDTF">2023-05-09T08:07:00Z</dcterms:created>
  <dcterms:modified xsi:type="dcterms:W3CDTF">2023-06-27T05:30:00Z</dcterms:modified>
</cp:coreProperties>
</file>