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C558" w14:textId="77777777" w:rsidR="003A4FF0" w:rsidRDefault="003A4FF0" w:rsidP="003A4FF0">
      <w:pPr>
        <w:spacing w:line="276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9C70B2">
        <w:rPr>
          <w:noProof/>
        </w:rPr>
        <w:drawing>
          <wp:inline distT="0" distB="0" distL="0" distR="0" wp14:anchorId="42628308" wp14:editId="0DC1F73E">
            <wp:extent cx="5760720" cy="799568"/>
            <wp:effectExtent l="0" t="0" r="0" b="635"/>
            <wp:docPr id="1" name="Obraz 1" descr="W wierszu umieszczono cztery logotypy:&#10;- pierwszy od lewej strony wiersza to znak Funduszy Europejskich złożony z symbolu graficznego (układu połączonych trzech gwiazd, białej, czerwonej i żółtej na tle niebieskiego trapezu) oraz z  nazwy Fundusze Europejskie i nazwy Program Regionalny. &#10;- drugi logotyp od lewej strony wiersza przedstawia flagę Polski (barwy narodowe widnieją w postaci dwóch pasów równej szerokości, z których górny jest biały, a dolny czerwony) wraz z napisem Rzeczpospolita Polska;&#10;- trzeci logotyp od lewej strony wiersza przedstawia herb województwa dolnośląskiego z napisem Dolny Śląsk. Herbem województwa dolnośląskiego jest umieszczony na żółtym tle czarny orzeł z umieszczoną na wysokości skrzydeł białą przepaską w kształcie półksiężyca z krzyżem na środku;&#10;- ostatni logotyp to znak Unii Europejskiej złożony z flagi Unii Europejskiej (dwanaście żółtych gwiazd ułożonych w okręgu na niebieskim tle), napisu Unia Europejska i napisu Europejski Fundusz Społeczny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wierszu umieszczono cztery logotypy:&#10;- pierwszy od lewej strony wiersza to znak Funduszy Europejskich złożony z symbolu graficznego (układu połączonych trzech gwiazd, białej, czerwonej i żółtej na tle niebieskiego trapezu) oraz z  nazwy Fundusze Europejskie i nazwy Program Regionalny. &#10;- drugi logotyp od lewej strony wiersza przedstawia flagę Polski (barwy narodowe widnieją w postaci dwóch pasów równej szerokości, z których górny jest biały, a dolny czerwony) wraz z napisem Rzeczpospolita Polska;&#10;- trzeci logotyp od lewej strony wiersza przedstawia herb województwa dolnośląskiego z napisem Dolny Śląsk. Herbem województwa dolnośląskiego jest umieszczony na żółtym tle czarny orzeł z umieszczoną na wysokości skrzydeł białą przepaską w kształcie półksiężyca z krzyżem na środku;&#10;- ostatni logotyp to znak Unii Europejskiej złożony z flagi Unii Europejskiej (dwanaście żółtych gwiazd ułożonych w okręgu na niebieskim tle), napisu Unia Europejska i napisu Europejski Fundusz Społeczny.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1CCE6" w14:textId="094CFF97" w:rsidR="001F7274" w:rsidRPr="00375ACE" w:rsidRDefault="001F7274" w:rsidP="003A4FF0">
      <w:pPr>
        <w:rPr>
          <w:rFonts w:asciiTheme="minorHAnsi" w:hAnsiTheme="minorHAnsi"/>
          <w:sz w:val="20"/>
        </w:rPr>
      </w:pPr>
    </w:p>
    <w:tbl>
      <w:tblPr>
        <w:tblpPr w:leftFromText="141" w:rightFromText="141" w:bottomFromText="160" w:vertAnchor="text" w:horzAnchor="margin" w:tblpY="315"/>
        <w:tblW w:w="496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361"/>
        <w:gridCol w:w="5626"/>
      </w:tblGrid>
      <w:tr w:rsidR="001F7274" w14:paraId="55C06D4A" w14:textId="77777777" w:rsidTr="00E04EB1">
        <w:trPr>
          <w:trHeight w:val="224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13E7FFB" w14:textId="38AFD5E1" w:rsidR="001F7274" w:rsidRPr="008E592F" w:rsidRDefault="001F7274" w:rsidP="00E04EB1">
            <w:pPr>
              <w:pStyle w:val="Nagwek1"/>
              <w:jc w:val="center"/>
            </w:pPr>
            <w:bookmarkStart w:id="0" w:name="_Toc90638180"/>
            <w:r w:rsidRPr="008E592F">
              <w:t>PLAN DZIAŁANIA NA ROK 202</w:t>
            </w:r>
            <w:bookmarkEnd w:id="0"/>
            <w:r w:rsidR="00CF66A2">
              <w:t>2</w:t>
            </w:r>
          </w:p>
        </w:tc>
      </w:tr>
      <w:tr w:rsidR="001F7274" w14:paraId="06F7B0E2" w14:textId="77777777" w:rsidTr="00E04EB1">
        <w:trPr>
          <w:trHeight w:val="224"/>
        </w:trPr>
        <w:tc>
          <w:tcPr>
            <w:tcW w:w="1870" w:type="pct"/>
            <w:shd w:val="clear" w:color="auto" w:fill="auto"/>
            <w:vAlign w:val="center"/>
            <w:hideMark/>
          </w:tcPr>
          <w:p w14:paraId="522D970F" w14:textId="77777777" w:rsidR="001F7274" w:rsidRDefault="001F7274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1. WERSJA PLANU DZIAŁANIA</w:t>
            </w:r>
          </w:p>
        </w:tc>
        <w:tc>
          <w:tcPr>
            <w:tcW w:w="3130" w:type="pct"/>
            <w:shd w:val="clear" w:color="auto" w:fill="auto"/>
            <w:vAlign w:val="center"/>
            <w:hideMark/>
          </w:tcPr>
          <w:p w14:paraId="3A090453" w14:textId="77777777" w:rsidR="001F7274" w:rsidRPr="001B0F8E" w:rsidRDefault="001F727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B0F8E">
              <w:rPr>
                <w:rFonts w:asciiTheme="minorHAnsi" w:hAnsiTheme="minorHAnsi" w:cstheme="minorHAnsi"/>
              </w:rPr>
              <w:t>1</w:t>
            </w:r>
          </w:p>
        </w:tc>
      </w:tr>
      <w:tr w:rsidR="001F7274" w14:paraId="44A18E14" w14:textId="77777777" w:rsidTr="00E04EB1">
        <w:trPr>
          <w:trHeight w:val="583"/>
        </w:trPr>
        <w:tc>
          <w:tcPr>
            <w:tcW w:w="1870" w:type="pct"/>
            <w:shd w:val="clear" w:color="auto" w:fill="auto"/>
            <w:vAlign w:val="center"/>
            <w:hideMark/>
          </w:tcPr>
          <w:p w14:paraId="67498193" w14:textId="77777777" w:rsidR="001F7274" w:rsidRDefault="001F7274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2. Oś priorytetowa </w:t>
            </w:r>
          </w:p>
        </w:tc>
        <w:tc>
          <w:tcPr>
            <w:tcW w:w="3130" w:type="pct"/>
            <w:shd w:val="clear" w:color="auto" w:fill="auto"/>
            <w:vAlign w:val="center"/>
            <w:hideMark/>
          </w:tcPr>
          <w:p w14:paraId="09FCDC71" w14:textId="7634FB44" w:rsidR="001F7274" w:rsidRPr="00C87F99" w:rsidRDefault="00CF66A2" w:rsidP="00E26934">
            <w:pPr>
              <w:pStyle w:val="Nagwek2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C87F99">
              <w:rPr>
                <w:rFonts w:asciiTheme="minorHAnsi" w:hAnsiTheme="minorHAnsi" w:cstheme="minorHAnsi"/>
                <w:bCs/>
                <w:sz w:val="28"/>
                <w:szCs w:val="28"/>
              </w:rPr>
              <w:t>10</w:t>
            </w:r>
          </w:p>
        </w:tc>
      </w:tr>
    </w:tbl>
    <w:p w14:paraId="04D4637F" w14:textId="77777777" w:rsidR="001F7274" w:rsidRDefault="001F7274" w:rsidP="003A4FF0"/>
    <w:p w14:paraId="1E299B06" w14:textId="77777777" w:rsidR="001F7274" w:rsidRDefault="001F7274" w:rsidP="003A4FF0"/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359"/>
        <w:gridCol w:w="1605"/>
        <w:gridCol w:w="645"/>
        <w:gridCol w:w="710"/>
        <w:gridCol w:w="207"/>
        <w:gridCol w:w="1293"/>
        <w:gridCol w:w="1941"/>
      </w:tblGrid>
      <w:tr w:rsidR="001F7274" w14:paraId="7FF47A8B" w14:textId="77777777" w:rsidTr="00E04EB1">
        <w:trPr>
          <w:trHeight w:val="351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3D2CEFB3" w14:textId="42453AAA" w:rsidR="001F7274" w:rsidRDefault="001F7274" w:rsidP="00E04EB1">
            <w:pPr>
              <w:pStyle w:val="Nagwek2"/>
              <w:rPr>
                <w:b w:val="0"/>
                <w:sz w:val="18"/>
                <w:szCs w:val="18"/>
              </w:rPr>
            </w:pPr>
            <w:r>
              <w:t xml:space="preserve">KARTA DZIAŁANIA </w:t>
            </w:r>
            <w:r w:rsidR="00375ACE">
              <w:t>10</w:t>
            </w:r>
            <w:r>
              <w:t>.</w:t>
            </w:r>
            <w:r w:rsidR="00EA15B4">
              <w:t>2</w:t>
            </w:r>
            <w:r>
              <w:t xml:space="preserve"> DLA PROJEKTU W TRYBIE NADZWYCZAJNYM</w:t>
            </w:r>
          </w:p>
        </w:tc>
      </w:tr>
      <w:tr w:rsidR="001F7274" w14:paraId="764E7A03" w14:textId="77777777" w:rsidTr="00E04EB1">
        <w:trPr>
          <w:trHeight w:val="351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610E2280" w14:textId="77777777" w:rsidR="001F7274" w:rsidRDefault="001F7274" w:rsidP="00E04EB1">
            <w:pPr>
              <w:pStyle w:val="Nagwek3"/>
              <w:rPr>
                <w:szCs w:val="24"/>
              </w:rPr>
            </w:pPr>
            <w:r>
              <w:t>I. PODSTAWOWE INFORMACJE O PROJEKCIE</w:t>
            </w:r>
          </w:p>
        </w:tc>
      </w:tr>
      <w:tr w:rsidR="001F7274" w14:paraId="1676DF1E" w14:textId="77777777" w:rsidTr="00E04EB1">
        <w:trPr>
          <w:trHeight w:val="703"/>
        </w:trPr>
        <w:tc>
          <w:tcPr>
            <w:tcW w:w="1200" w:type="pct"/>
            <w:gridSpan w:val="2"/>
            <w:shd w:val="clear" w:color="auto" w:fill="auto"/>
            <w:vAlign w:val="center"/>
            <w:hideMark/>
          </w:tcPr>
          <w:p w14:paraId="3BABCC69" w14:textId="2C24ED42" w:rsidR="001F7274" w:rsidRPr="00C87F99" w:rsidRDefault="001F7274" w:rsidP="00C87F99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Cel szczegółowy RPO, w ramach którego projek</w:t>
            </w:r>
            <w:r w:rsidR="009C170C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ty 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będ</w:t>
            </w:r>
            <w:r w:rsidR="009C170C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ą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 realizowan</w:t>
            </w:r>
            <w:r w:rsidR="009C170C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e</w:t>
            </w:r>
          </w:p>
        </w:tc>
        <w:tc>
          <w:tcPr>
            <w:tcW w:w="3800" w:type="pct"/>
            <w:gridSpan w:val="6"/>
            <w:shd w:val="clear" w:color="auto" w:fill="auto"/>
            <w:vAlign w:val="center"/>
            <w:hideMark/>
          </w:tcPr>
          <w:p w14:paraId="48CDB3C8" w14:textId="5D0A1860" w:rsidR="001F7274" w:rsidRPr="00E04EB1" w:rsidRDefault="0093426A" w:rsidP="00E04EB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>Podniesienie u uczniów kompetencji kluczowych i umiejętności uniwersalnych niezbędnych na rynku pracy, oraz rozwijanie indywidualnego podejścia do ucznia, szczególnie ze specjalnymi potrzebami edukacyjnymi i rozwojowymi.</w:t>
            </w:r>
          </w:p>
        </w:tc>
      </w:tr>
      <w:tr w:rsidR="001F7274" w14:paraId="4F73324A" w14:textId="77777777" w:rsidTr="00E04EB1">
        <w:trPr>
          <w:trHeight w:val="279"/>
        </w:trPr>
        <w:tc>
          <w:tcPr>
            <w:tcW w:w="1200" w:type="pct"/>
            <w:gridSpan w:val="2"/>
            <w:shd w:val="clear" w:color="auto" w:fill="auto"/>
            <w:vAlign w:val="center"/>
            <w:hideMark/>
          </w:tcPr>
          <w:p w14:paraId="695A451B" w14:textId="160E0C25" w:rsidR="001F7274" w:rsidRPr="00C87F99" w:rsidRDefault="001F7274" w:rsidP="00C87F99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Priorytet inwestycyjny</w:t>
            </w:r>
          </w:p>
        </w:tc>
        <w:tc>
          <w:tcPr>
            <w:tcW w:w="3800" w:type="pct"/>
            <w:gridSpan w:val="6"/>
            <w:shd w:val="clear" w:color="auto" w:fill="auto"/>
            <w:vAlign w:val="center"/>
            <w:hideMark/>
          </w:tcPr>
          <w:p w14:paraId="471A1A63" w14:textId="540D4FBF" w:rsidR="001F7274" w:rsidRPr="00E04EB1" w:rsidRDefault="001F7274" w:rsidP="00E04EB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PI </w:t>
            </w:r>
            <w:r w:rsidR="001751C7" w:rsidRPr="00E04EB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>.i</w:t>
            </w:r>
          </w:p>
        </w:tc>
      </w:tr>
      <w:tr w:rsidR="001F7274" w14:paraId="72E5DF0E" w14:textId="77777777" w:rsidTr="00E04EB1">
        <w:trPr>
          <w:trHeight w:val="636"/>
        </w:trPr>
        <w:tc>
          <w:tcPr>
            <w:tcW w:w="1200" w:type="pct"/>
            <w:gridSpan w:val="2"/>
            <w:shd w:val="clear" w:color="auto" w:fill="auto"/>
            <w:vAlign w:val="center"/>
            <w:hideMark/>
          </w:tcPr>
          <w:p w14:paraId="115D110F" w14:textId="5DE20231" w:rsidR="001F7274" w:rsidRPr="00C87F99" w:rsidRDefault="001F7274" w:rsidP="00C87F99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Typ/typy projektów przewidziane do realizacji w ramach projektu</w:t>
            </w:r>
          </w:p>
        </w:tc>
        <w:tc>
          <w:tcPr>
            <w:tcW w:w="3800" w:type="pct"/>
            <w:gridSpan w:val="6"/>
            <w:shd w:val="clear" w:color="auto" w:fill="auto"/>
            <w:hideMark/>
          </w:tcPr>
          <w:p w14:paraId="674872F9" w14:textId="77777777" w:rsidR="00F54ADD" w:rsidRPr="00E04EB1" w:rsidRDefault="00F54ADD" w:rsidP="00E04EB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10.2.H. </w:t>
            </w:r>
          </w:p>
          <w:p w14:paraId="616F957E" w14:textId="77777777" w:rsidR="00F54ADD" w:rsidRPr="00E04EB1" w:rsidRDefault="00F54ADD" w:rsidP="00E04EB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Szkolenie, doradztwo oraz inne formy podwyższania kwalifikacji w celu doskonalenia umiejętności, kompetencji lub kwalifikacji nauczycieli i pracowników pedagogicznych pod kątem wykorzystania narzędzi wspierających pomoc psychologiczno-pedagogiczną na każdym etapie edukacyjnym, ze szczególnym uwzględnieniem problematyki ucznia o szczególnych potrzebach rozwojowych i edukacyjnych (m.in. uczniów z niepełnosprawnościami, uczniów uzdolnionych, zagrożonych przedwczesnym kończeniem nauki). Wsparcie w zakresie metodyki nauczania języka polskiego jako obcego na </w:t>
            </w:r>
            <w:r w:rsidRPr="00E04E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poziomie szkoły podstawowej i ponadpodstawowej, pracy z uczniem z doświadczeniem migracyjnym i traumą związaną z działaniami wojennymi oraz integracji przybywających Ukraińców w środowiskach szkolnych i pozaszkolnych.</w:t>
            </w:r>
          </w:p>
          <w:p w14:paraId="10C6F737" w14:textId="77777777" w:rsidR="00F54ADD" w:rsidRPr="00E04EB1" w:rsidRDefault="00F54ADD" w:rsidP="00E04EB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10.2.I </w:t>
            </w:r>
          </w:p>
          <w:p w14:paraId="3C06B6CC" w14:textId="77777777" w:rsidR="00F54ADD" w:rsidRPr="00E04EB1" w:rsidRDefault="00F54ADD" w:rsidP="00E04EB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Kształtowanie i rozwijanie u dzieci i młodzieży kompetencji kluczowych i umiejętności uniwersalnych niezbędnych na rynku pracy poprzez realizację zajęć organizowanych poza lekcjami w szkole lub poza szkołą, w tym dla osób, które przybyły na terytorium Rzeczypospolitej Polskiej w związku z działaniami wojennymi prowadzonymi na terytorium Ukrainy poprzez: </w:t>
            </w:r>
          </w:p>
          <w:p w14:paraId="689F8454" w14:textId="77777777" w:rsidR="00F54ADD" w:rsidRPr="00E04EB1" w:rsidRDefault="00F54ADD" w:rsidP="00E04EB1">
            <w:pPr>
              <w:pStyle w:val="Akapitzlist"/>
              <w:numPr>
                <w:ilvl w:val="0"/>
                <w:numId w:val="11"/>
              </w:numPr>
              <w:adjustRightIn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</w:rPr>
            </w:pPr>
            <w:bookmarkStart w:id="1" w:name="_Hlk115873088"/>
            <w:r w:rsidRPr="00E04EB1">
              <w:rPr>
                <w:rFonts w:asciiTheme="minorHAnsi" w:hAnsiTheme="minorHAnsi" w:cstheme="minorHAnsi"/>
                <w:sz w:val="24"/>
              </w:rPr>
              <w:t>doradztwo i opiekę psychologiczno-pedagogiczną;</w:t>
            </w:r>
          </w:p>
          <w:p w14:paraId="3034C13C" w14:textId="63D160A0" w:rsidR="001F7274" w:rsidRPr="00E04EB1" w:rsidRDefault="00F54ADD" w:rsidP="00E04EB1">
            <w:pPr>
              <w:pStyle w:val="Akapitzlist"/>
              <w:numPr>
                <w:ilvl w:val="0"/>
                <w:numId w:val="11"/>
              </w:numPr>
              <w:adjustRightIn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E04EB1">
              <w:rPr>
                <w:rFonts w:asciiTheme="minorHAnsi" w:hAnsiTheme="minorHAnsi" w:cstheme="minorHAnsi"/>
                <w:sz w:val="24"/>
              </w:rPr>
              <w:t>zajęcia o charakterze integracyjnym</w:t>
            </w:r>
            <w:bookmarkEnd w:id="1"/>
            <w:r w:rsidRPr="00E04EB1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1F7274" w14:paraId="4787C905" w14:textId="77777777" w:rsidTr="00E04EB1">
        <w:trPr>
          <w:trHeight w:val="434"/>
        </w:trPr>
        <w:tc>
          <w:tcPr>
            <w:tcW w:w="1200" w:type="pct"/>
            <w:gridSpan w:val="2"/>
            <w:shd w:val="clear" w:color="auto" w:fill="auto"/>
            <w:vAlign w:val="center"/>
            <w:hideMark/>
          </w:tcPr>
          <w:p w14:paraId="77AB0821" w14:textId="0429BAAC" w:rsidR="001F7274" w:rsidRPr="00C87F99" w:rsidRDefault="001F7274" w:rsidP="00C87F99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lastRenderedPageBreak/>
              <w:t>Tytuł lub zakres projekt</w:t>
            </w:r>
            <w:r w:rsidR="009C170C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ów</w:t>
            </w:r>
          </w:p>
        </w:tc>
        <w:tc>
          <w:tcPr>
            <w:tcW w:w="3800" w:type="pct"/>
            <w:gridSpan w:val="6"/>
            <w:shd w:val="clear" w:color="auto" w:fill="auto"/>
            <w:vAlign w:val="center"/>
            <w:hideMark/>
          </w:tcPr>
          <w:p w14:paraId="7763D77D" w14:textId="7E30FC3E" w:rsidR="001F7274" w:rsidRPr="00E04EB1" w:rsidRDefault="001F7274" w:rsidP="00E04EB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>Zakres projekt</w:t>
            </w:r>
            <w:r w:rsidR="00B308F0" w:rsidRPr="00E04EB1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8FC063B" w14:textId="2FDD09A5" w:rsidR="001F7274" w:rsidRPr="00E04EB1" w:rsidRDefault="00745284" w:rsidP="00E04EB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>Projekt</w:t>
            </w:r>
            <w:r w:rsidR="004740A6" w:rsidRPr="00E04EB1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4ADD" w:rsidRPr="00E04EB1">
              <w:rPr>
                <w:rFonts w:asciiTheme="minorHAnsi" w:hAnsiTheme="minorHAnsi" w:cstheme="minorHAnsi"/>
                <w:sz w:val="24"/>
                <w:szCs w:val="24"/>
              </w:rPr>
              <w:t>będą ukierunkowane na pomoc uczniom z Ukrainy w szkołach podstawowych i ponadpodstawowych oraz wsparcie</w:t>
            </w:r>
            <w:r w:rsidR="004740A6"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 nauczycieli</w:t>
            </w:r>
            <w:r w:rsidR="00F54ADD"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4740A6"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 pracowników pedagogicznych.</w:t>
            </w:r>
          </w:p>
        </w:tc>
      </w:tr>
      <w:tr w:rsidR="001F7274" w14:paraId="5D6C3BBF" w14:textId="77777777" w:rsidTr="00E04EB1">
        <w:trPr>
          <w:trHeight w:val="434"/>
        </w:trPr>
        <w:tc>
          <w:tcPr>
            <w:tcW w:w="1200" w:type="pct"/>
            <w:gridSpan w:val="2"/>
            <w:shd w:val="clear" w:color="auto" w:fill="auto"/>
            <w:vAlign w:val="center"/>
            <w:hideMark/>
          </w:tcPr>
          <w:p w14:paraId="3F379883" w14:textId="0718880E" w:rsidR="001F7274" w:rsidRPr="00C87F99" w:rsidRDefault="001F7274" w:rsidP="00C87F99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Uzasadnienie realizacji projekt</w:t>
            </w:r>
            <w:r w:rsidR="009C170C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ów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 w trybie nadzwyczajnym </w:t>
            </w:r>
          </w:p>
        </w:tc>
        <w:tc>
          <w:tcPr>
            <w:tcW w:w="3800" w:type="pct"/>
            <w:gridSpan w:val="6"/>
            <w:shd w:val="clear" w:color="auto" w:fill="auto"/>
            <w:vAlign w:val="center"/>
            <w:hideMark/>
          </w:tcPr>
          <w:p w14:paraId="52E2AF4F" w14:textId="55E28433" w:rsidR="008C3002" w:rsidRPr="00E04EB1" w:rsidRDefault="001B0F8E" w:rsidP="00E04EB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Nabór w trybie nadzwyczajnym zgodnie z art. 10 ustawy z dnia 3 kwietnia 2020 r. o szczególnych rozwiązaniach wspierających realizację programów operacyjnych (Dz.U. 2020 poz. 694 z </w:t>
            </w:r>
            <w:proofErr w:type="spellStart"/>
            <w:r w:rsidRPr="00E04EB1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Pr="00E04EB1">
              <w:rPr>
                <w:rFonts w:asciiTheme="minorHAnsi" w:hAnsiTheme="minorHAnsi" w:cstheme="minorHAnsi"/>
                <w:sz w:val="24"/>
                <w:szCs w:val="24"/>
              </w:rPr>
              <w:t>. zm.) i art. 33 ust</w:t>
            </w:r>
            <w:r w:rsidR="00D74F1C" w:rsidRPr="00E04EB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 2, który stanowi, że przepisy ustawy stosuje się odpowiednio do realizacji i rozliczania programów operacyjnych w związku z wystąpieniem skutków kryzysu wywołanego konfliktem zbrojnym na terytorium Ukrainy w 2022 r. oraz art. 129 Ustawy z dnia 28 kwietnia 2022 r. o zasadach realizacji zadań finansowanych ze środków europejskich w perspektywie finansowej 2021–2027 (Dz. U. 2022, poz. 1079).</w:t>
            </w:r>
          </w:p>
        </w:tc>
      </w:tr>
      <w:tr w:rsidR="001F7274" w14:paraId="09CBC836" w14:textId="77777777" w:rsidTr="00E04EB1">
        <w:trPr>
          <w:trHeight w:val="434"/>
        </w:trPr>
        <w:tc>
          <w:tcPr>
            <w:tcW w:w="1200" w:type="pct"/>
            <w:gridSpan w:val="2"/>
            <w:shd w:val="clear" w:color="auto" w:fill="auto"/>
            <w:vAlign w:val="center"/>
            <w:hideMark/>
          </w:tcPr>
          <w:p w14:paraId="1C3CE442" w14:textId="0B92AA0E" w:rsidR="001F7274" w:rsidRPr="00C87F99" w:rsidRDefault="001F7274" w:rsidP="00C87F99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lastRenderedPageBreak/>
              <w:t>Podmiot</w:t>
            </w:r>
            <w:r w:rsidR="00B308F0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y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, któr</w:t>
            </w:r>
            <w:r w:rsidR="009C170C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e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 będ</w:t>
            </w:r>
            <w:r w:rsidR="009C170C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ą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 wnioskodawc</w:t>
            </w:r>
            <w:r w:rsidR="00B308F0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ami</w:t>
            </w:r>
          </w:p>
        </w:tc>
        <w:tc>
          <w:tcPr>
            <w:tcW w:w="3800" w:type="pct"/>
            <w:gridSpan w:val="6"/>
            <w:shd w:val="clear" w:color="auto" w:fill="auto"/>
            <w:vAlign w:val="center"/>
            <w:hideMark/>
          </w:tcPr>
          <w:p w14:paraId="711BD9F3" w14:textId="5F158BE7" w:rsidR="001F7274" w:rsidRPr="00E04EB1" w:rsidRDefault="00821AC3" w:rsidP="00E04EB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>Nabór skierowany jest do jednostek samorządu terytorialnego/gmin, które zostały wybrane na podstawie analizy danych dot. liczby osób z Ukrainy:</w:t>
            </w:r>
          </w:p>
          <w:p w14:paraId="28AF0B9D" w14:textId="7C0CB2B2" w:rsidR="00F54ADD" w:rsidRPr="00E04EB1" w:rsidRDefault="00F54ADD" w:rsidP="00E04EB1">
            <w:pPr>
              <w:pStyle w:val="Akapitzlist"/>
              <w:numPr>
                <w:ilvl w:val="0"/>
                <w:numId w:val="19"/>
              </w:numPr>
              <w:spacing w:before="30" w:after="30" w:line="360" w:lineRule="auto"/>
              <w:ind w:left="414"/>
              <w:rPr>
                <w:rFonts w:asciiTheme="minorHAnsi" w:hAnsiTheme="minorHAnsi" w:cstheme="minorHAnsi"/>
                <w:sz w:val="24"/>
              </w:rPr>
            </w:pPr>
            <w:r w:rsidRPr="00E04EB1">
              <w:rPr>
                <w:rFonts w:asciiTheme="minorHAnsi" w:hAnsiTheme="minorHAnsi" w:cstheme="minorHAnsi"/>
                <w:sz w:val="24"/>
              </w:rPr>
              <w:t>Gmina Wrocław;</w:t>
            </w:r>
          </w:p>
          <w:p w14:paraId="3F61E3FA" w14:textId="34D8D137" w:rsidR="00F54ADD" w:rsidRPr="00E04EB1" w:rsidRDefault="00F54ADD" w:rsidP="00E04EB1">
            <w:pPr>
              <w:pStyle w:val="Akapitzlist"/>
              <w:numPr>
                <w:ilvl w:val="0"/>
                <w:numId w:val="19"/>
              </w:numPr>
              <w:spacing w:before="30" w:after="30" w:line="360" w:lineRule="auto"/>
              <w:ind w:left="414"/>
              <w:rPr>
                <w:rFonts w:asciiTheme="minorHAnsi" w:hAnsiTheme="minorHAnsi" w:cstheme="minorHAnsi"/>
                <w:sz w:val="24"/>
              </w:rPr>
            </w:pPr>
            <w:r w:rsidRPr="00E04EB1">
              <w:rPr>
                <w:rFonts w:asciiTheme="minorHAnsi" w:hAnsiTheme="minorHAnsi" w:cstheme="minorHAnsi"/>
                <w:sz w:val="24"/>
              </w:rPr>
              <w:t xml:space="preserve">Gmina Jelenia Góra; </w:t>
            </w:r>
          </w:p>
          <w:p w14:paraId="2973D200" w14:textId="2EE932B0" w:rsidR="00F54ADD" w:rsidRPr="00E04EB1" w:rsidRDefault="00F54ADD" w:rsidP="00E04EB1">
            <w:pPr>
              <w:pStyle w:val="Akapitzlist"/>
              <w:numPr>
                <w:ilvl w:val="0"/>
                <w:numId w:val="19"/>
              </w:numPr>
              <w:spacing w:before="30" w:after="30" w:line="360" w:lineRule="auto"/>
              <w:ind w:left="414"/>
              <w:rPr>
                <w:rFonts w:asciiTheme="minorHAnsi" w:hAnsiTheme="minorHAnsi" w:cstheme="minorHAnsi"/>
                <w:sz w:val="24"/>
              </w:rPr>
            </w:pPr>
            <w:r w:rsidRPr="00E04EB1">
              <w:rPr>
                <w:rFonts w:asciiTheme="minorHAnsi" w:hAnsiTheme="minorHAnsi" w:cstheme="minorHAnsi"/>
                <w:sz w:val="24"/>
              </w:rPr>
              <w:t>Gmina Wałbrzych;</w:t>
            </w:r>
          </w:p>
          <w:p w14:paraId="5B4C1E38" w14:textId="780E48A6" w:rsidR="00F54ADD" w:rsidRPr="00E04EB1" w:rsidRDefault="00F54ADD" w:rsidP="00E04EB1">
            <w:pPr>
              <w:pStyle w:val="Akapitzlist"/>
              <w:numPr>
                <w:ilvl w:val="0"/>
                <w:numId w:val="19"/>
              </w:numPr>
              <w:spacing w:before="30" w:after="30" w:line="360" w:lineRule="auto"/>
              <w:ind w:left="414"/>
              <w:rPr>
                <w:rFonts w:asciiTheme="minorHAnsi" w:hAnsiTheme="minorHAnsi" w:cstheme="minorHAnsi"/>
                <w:sz w:val="24"/>
              </w:rPr>
            </w:pPr>
            <w:r w:rsidRPr="00E04EB1">
              <w:rPr>
                <w:rFonts w:asciiTheme="minorHAnsi" w:hAnsiTheme="minorHAnsi" w:cstheme="minorHAnsi"/>
                <w:sz w:val="24"/>
              </w:rPr>
              <w:t>Gmina Miejska Bolesławiec ;</w:t>
            </w:r>
          </w:p>
          <w:p w14:paraId="12302A7B" w14:textId="48CA4F9E" w:rsidR="00F54ADD" w:rsidRPr="00E04EB1" w:rsidRDefault="00F54ADD" w:rsidP="00E04EB1">
            <w:pPr>
              <w:pStyle w:val="Akapitzlist"/>
              <w:numPr>
                <w:ilvl w:val="0"/>
                <w:numId w:val="19"/>
              </w:numPr>
              <w:spacing w:before="30" w:after="30" w:line="360" w:lineRule="auto"/>
              <w:ind w:left="414"/>
              <w:rPr>
                <w:rFonts w:asciiTheme="minorHAnsi" w:hAnsiTheme="minorHAnsi" w:cstheme="minorHAnsi"/>
                <w:sz w:val="24"/>
              </w:rPr>
            </w:pPr>
            <w:r w:rsidRPr="00E04EB1">
              <w:rPr>
                <w:rFonts w:asciiTheme="minorHAnsi" w:hAnsiTheme="minorHAnsi" w:cstheme="minorHAnsi"/>
                <w:sz w:val="24"/>
              </w:rPr>
              <w:t>Gmina Miejska Świdnica;</w:t>
            </w:r>
          </w:p>
          <w:p w14:paraId="6929F98C" w14:textId="6941519F" w:rsidR="00F54ADD" w:rsidRPr="00E04EB1" w:rsidRDefault="00F54ADD" w:rsidP="00E04EB1">
            <w:pPr>
              <w:pStyle w:val="Akapitzlist"/>
              <w:numPr>
                <w:ilvl w:val="0"/>
                <w:numId w:val="19"/>
              </w:numPr>
              <w:spacing w:before="30" w:after="30" w:line="360" w:lineRule="auto"/>
              <w:ind w:left="414"/>
              <w:rPr>
                <w:rFonts w:asciiTheme="minorHAnsi" w:hAnsiTheme="minorHAnsi" w:cstheme="minorHAnsi"/>
                <w:sz w:val="24"/>
              </w:rPr>
            </w:pPr>
            <w:r w:rsidRPr="00E04EB1">
              <w:rPr>
                <w:rFonts w:asciiTheme="minorHAnsi" w:hAnsiTheme="minorHAnsi" w:cstheme="minorHAnsi"/>
                <w:sz w:val="24"/>
              </w:rPr>
              <w:t>Gmina Miejska Lubin;</w:t>
            </w:r>
          </w:p>
          <w:p w14:paraId="3ABDFE04" w14:textId="77777777" w:rsidR="003310B4" w:rsidRPr="00E04EB1" w:rsidRDefault="00F54ADD" w:rsidP="00E04EB1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4"/>
              <w:rPr>
                <w:rFonts w:asciiTheme="minorHAnsi" w:hAnsiTheme="minorHAnsi" w:cstheme="minorHAnsi"/>
                <w:sz w:val="24"/>
              </w:rPr>
            </w:pPr>
            <w:r w:rsidRPr="00E04EB1">
              <w:rPr>
                <w:rFonts w:asciiTheme="minorHAnsi" w:hAnsiTheme="minorHAnsi" w:cstheme="minorHAnsi"/>
                <w:sz w:val="24"/>
              </w:rPr>
              <w:t>Gmina Szklarska Poręba.</w:t>
            </w:r>
          </w:p>
          <w:p w14:paraId="427F4EFE" w14:textId="77777777" w:rsidR="003310B4" w:rsidRPr="00E04EB1" w:rsidRDefault="003310B4" w:rsidP="00E04EB1">
            <w:pPr>
              <w:spacing w:line="360" w:lineRule="auto"/>
              <w:ind w:left="5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0D7198" w14:textId="5E0DF219" w:rsidR="003310B4" w:rsidRPr="00E04EB1" w:rsidRDefault="003310B4" w:rsidP="00E04EB1">
            <w:pPr>
              <w:spacing w:line="360" w:lineRule="auto"/>
              <w:ind w:left="54"/>
              <w:rPr>
                <w:rFonts w:asciiTheme="minorHAnsi" w:hAnsiTheme="minorHAnsi" w:cstheme="minorHAnsi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>Dopuszcza się realizację projektu w partnerstwie, gdzie Wnioskodawcą jest podmiot wskazany powyżej a parterem podmiot wybrany zgodnie z przepisami ustawy zasadach realizacji programów w zakresie polityki spójności finansowanych w perspektywie finansowej 2014-2020.</w:t>
            </w:r>
          </w:p>
        </w:tc>
      </w:tr>
      <w:tr w:rsidR="001F7274" w14:paraId="5089B0A8" w14:textId="77777777" w:rsidTr="00E04EB1">
        <w:trPr>
          <w:trHeight w:val="434"/>
        </w:trPr>
        <w:tc>
          <w:tcPr>
            <w:tcW w:w="1200" w:type="pct"/>
            <w:gridSpan w:val="2"/>
            <w:shd w:val="clear" w:color="auto" w:fill="auto"/>
            <w:vAlign w:val="center"/>
            <w:hideMark/>
          </w:tcPr>
          <w:p w14:paraId="69CC79FC" w14:textId="14C98F70" w:rsidR="001F7274" w:rsidRPr="00C87F99" w:rsidRDefault="001F7274" w:rsidP="00C87F99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Uzasadnienie wskazania podmiot</w:t>
            </w:r>
            <w:r w:rsidR="009C170C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ów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, któr</w:t>
            </w:r>
            <w:r w:rsidR="009C170C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e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 będ</w:t>
            </w:r>
            <w:r w:rsidR="009C170C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ą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 </w:t>
            </w:r>
            <w:r w:rsidR="00854491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w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nioskodawc</w:t>
            </w:r>
            <w:r w:rsidR="00B308F0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ami</w:t>
            </w:r>
          </w:p>
        </w:tc>
        <w:tc>
          <w:tcPr>
            <w:tcW w:w="3800" w:type="pct"/>
            <w:gridSpan w:val="6"/>
            <w:shd w:val="clear" w:color="auto" w:fill="auto"/>
            <w:vAlign w:val="center"/>
            <w:hideMark/>
          </w:tcPr>
          <w:p w14:paraId="6470A57E" w14:textId="6B34F924" w:rsidR="001F7274" w:rsidRPr="00E04EB1" w:rsidRDefault="007864A0" w:rsidP="00E04EB1">
            <w:pPr>
              <w:pStyle w:val="Tekstkomentarza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4EB1">
              <w:rPr>
                <w:rFonts w:cstheme="minorHAnsi"/>
                <w:color w:val="000000" w:themeColor="text1"/>
                <w:sz w:val="24"/>
                <w:szCs w:val="24"/>
              </w:rPr>
              <w:t xml:space="preserve">Wsparcie zostanie skierowane do gmin </w:t>
            </w:r>
            <w:r w:rsidR="000B536F" w:rsidRPr="00E04EB1">
              <w:rPr>
                <w:rFonts w:cstheme="minorHAnsi"/>
                <w:color w:val="000000" w:themeColor="text1"/>
                <w:sz w:val="24"/>
                <w:szCs w:val="24"/>
              </w:rPr>
              <w:t xml:space="preserve">w województwie dolnośląskim </w:t>
            </w:r>
            <w:r w:rsidRPr="00E04EB1">
              <w:rPr>
                <w:rFonts w:cstheme="minorHAnsi"/>
                <w:color w:val="000000" w:themeColor="text1"/>
                <w:sz w:val="24"/>
                <w:szCs w:val="24"/>
              </w:rPr>
              <w:t xml:space="preserve">z największą liczbą osób z </w:t>
            </w:r>
            <w:r w:rsidR="00821AC3" w:rsidRPr="00E04EB1">
              <w:rPr>
                <w:rFonts w:cstheme="minorHAnsi"/>
                <w:color w:val="000000" w:themeColor="text1"/>
                <w:sz w:val="24"/>
                <w:szCs w:val="24"/>
              </w:rPr>
              <w:t xml:space="preserve">Ukrainy </w:t>
            </w:r>
            <w:r w:rsidRPr="00E04EB1">
              <w:rPr>
                <w:rFonts w:cstheme="minorHAnsi"/>
                <w:color w:val="000000" w:themeColor="text1"/>
                <w:sz w:val="24"/>
                <w:szCs w:val="24"/>
              </w:rPr>
              <w:t>według nadanych numerów PESEL po 24 lut</w:t>
            </w:r>
            <w:r w:rsidR="00B873A4" w:rsidRPr="00E04EB1">
              <w:rPr>
                <w:rFonts w:cstheme="minorHAnsi"/>
                <w:color w:val="000000" w:themeColor="text1"/>
                <w:sz w:val="24"/>
                <w:szCs w:val="24"/>
              </w:rPr>
              <w:t>ego</w:t>
            </w:r>
            <w:r w:rsidRPr="00E04EB1">
              <w:rPr>
                <w:rFonts w:cstheme="minorHAnsi"/>
                <w:color w:val="000000" w:themeColor="text1"/>
                <w:sz w:val="24"/>
                <w:szCs w:val="24"/>
              </w:rPr>
              <w:t xml:space="preserve"> 2022 roku</w:t>
            </w:r>
            <w:r w:rsidR="00183673" w:rsidRPr="00E04EB1">
              <w:rPr>
                <w:rFonts w:cstheme="minorHAnsi"/>
                <w:color w:val="000000" w:themeColor="text1"/>
                <w:sz w:val="24"/>
                <w:szCs w:val="24"/>
              </w:rPr>
              <w:t xml:space="preserve"> oraz największą </w:t>
            </w:r>
            <w:r w:rsidRPr="00E04EB1">
              <w:rPr>
                <w:rFonts w:cstheme="minorHAnsi"/>
                <w:color w:val="000000" w:themeColor="text1"/>
                <w:sz w:val="24"/>
                <w:szCs w:val="24"/>
              </w:rPr>
              <w:t>liczb</w:t>
            </w:r>
            <w:r w:rsidR="00183673" w:rsidRPr="00E04EB1">
              <w:rPr>
                <w:rFonts w:cstheme="minorHAnsi"/>
                <w:color w:val="000000" w:themeColor="text1"/>
                <w:sz w:val="24"/>
                <w:szCs w:val="24"/>
              </w:rPr>
              <w:t>ą</w:t>
            </w:r>
            <w:r w:rsidRPr="00E04EB1">
              <w:rPr>
                <w:rFonts w:cstheme="minorHAnsi"/>
                <w:color w:val="000000" w:themeColor="text1"/>
                <w:sz w:val="24"/>
                <w:szCs w:val="24"/>
              </w:rPr>
              <w:t xml:space="preserve"> numerów PESEL</w:t>
            </w:r>
            <w:r w:rsidR="00D84789" w:rsidRPr="00E04EB1">
              <w:rPr>
                <w:rFonts w:cstheme="minorHAnsi"/>
                <w:color w:val="000000" w:themeColor="text1"/>
                <w:sz w:val="24"/>
                <w:szCs w:val="24"/>
              </w:rPr>
              <w:t xml:space="preserve"> osób z U</w:t>
            </w:r>
            <w:r w:rsidR="00821AC3" w:rsidRPr="00E04EB1">
              <w:rPr>
                <w:rFonts w:cstheme="minorHAnsi"/>
                <w:color w:val="000000" w:themeColor="text1"/>
                <w:sz w:val="24"/>
                <w:szCs w:val="24"/>
              </w:rPr>
              <w:t>krainy</w:t>
            </w:r>
            <w:r w:rsidRPr="00E04EB1">
              <w:rPr>
                <w:rFonts w:cstheme="minorHAnsi"/>
                <w:color w:val="000000" w:themeColor="text1"/>
                <w:sz w:val="24"/>
                <w:szCs w:val="24"/>
              </w:rPr>
              <w:t xml:space="preserve"> na 10 ty</w:t>
            </w:r>
            <w:r w:rsidR="00B873A4" w:rsidRPr="00E04EB1">
              <w:rPr>
                <w:rFonts w:cstheme="minorHAnsi"/>
                <w:color w:val="000000" w:themeColor="text1"/>
                <w:sz w:val="24"/>
                <w:szCs w:val="24"/>
              </w:rPr>
              <w:t>s.</w:t>
            </w:r>
            <w:r w:rsidRPr="00E04EB1">
              <w:rPr>
                <w:rFonts w:cstheme="minorHAnsi"/>
                <w:color w:val="000000" w:themeColor="text1"/>
                <w:sz w:val="24"/>
                <w:szCs w:val="24"/>
              </w:rPr>
              <w:t xml:space="preserve"> mieszkańców</w:t>
            </w:r>
            <w:r w:rsidR="00183673" w:rsidRPr="00E04EB1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1F7274" w14:paraId="4B382D9E" w14:textId="77777777" w:rsidTr="00E04EB1">
        <w:trPr>
          <w:trHeight w:val="434"/>
        </w:trPr>
        <w:tc>
          <w:tcPr>
            <w:tcW w:w="1200" w:type="pct"/>
            <w:gridSpan w:val="2"/>
            <w:shd w:val="clear" w:color="auto" w:fill="auto"/>
            <w:vAlign w:val="center"/>
            <w:hideMark/>
          </w:tcPr>
          <w:p w14:paraId="4D4B0DB9" w14:textId="2C3A4FA2" w:rsidR="001F7274" w:rsidRPr="00C87F99" w:rsidRDefault="001F7274" w:rsidP="00C87F99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sz w:val="24"/>
              </w:rPr>
              <w:t>Cel główny projekt</w:t>
            </w:r>
            <w:r w:rsidR="009C170C" w:rsidRPr="00C87F99">
              <w:rPr>
                <w:rFonts w:asciiTheme="minorHAnsi" w:hAnsiTheme="minorHAnsi" w:cstheme="minorHAnsi"/>
                <w:b/>
                <w:bCs/>
                <w:sz w:val="24"/>
              </w:rPr>
              <w:t>ów</w:t>
            </w:r>
          </w:p>
        </w:tc>
        <w:tc>
          <w:tcPr>
            <w:tcW w:w="3800" w:type="pct"/>
            <w:gridSpan w:val="6"/>
            <w:shd w:val="clear" w:color="auto" w:fill="auto"/>
            <w:vAlign w:val="center"/>
            <w:hideMark/>
          </w:tcPr>
          <w:p w14:paraId="535A533D" w14:textId="267FF09D" w:rsidR="001F7274" w:rsidRPr="00E04EB1" w:rsidRDefault="00317190" w:rsidP="00E04EB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Zapewnienie wsparcia dla dzieci i młodzieży </w:t>
            </w:r>
            <w:r w:rsidR="009500EE" w:rsidRPr="00E04EB1">
              <w:rPr>
                <w:rFonts w:asciiTheme="minorHAnsi" w:hAnsiTheme="minorHAnsi" w:cstheme="minorHAnsi"/>
                <w:sz w:val="24"/>
                <w:szCs w:val="24"/>
              </w:rPr>
              <w:t>w wieku szkolnym</w:t>
            </w: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500EE"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 które przybyły na terytorium Rzeczypospolitej Polskiej w związku z działaniami wojennymi prowadzonymi na terytorium Ukrainy.</w:t>
            </w:r>
          </w:p>
        </w:tc>
      </w:tr>
      <w:tr w:rsidR="001F7274" w14:paraId="1B22CF08" w14:textId="77777777" w:rsidTr="00E04EB1">
        <w:trPr>
          <w:trHeight w:val="434"/>
        </w:trPr>
        <w:tc>
          <w:tcPr>
            <w:tcW w:w="1200" w:type="pct"/>
            <w:gridSpan w:val="2"/>
            <w:shd w:val="clear" w:color="auto" w:fill="auto"/>
            <w:vAlign w:val="center"/>
            <w:hideMark/>
          </w:tcPr>
          <w:p w14:paraId="453AD3CD" w14:textId="7A83CD05" w:rsidR="001F7274" w:rsidRPr="00C87F99" w:rsidRDefault="001F7274" w:rsidP="00C87F99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Główne zadania przewidziane do realizacji w ramach projekt</w:t>
            </w:r>
            <w:r w:rsidR="009C170C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ów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 oraz 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lastRenderedPageBreak/>
              <w:t>wskazanie grupy docelowej</w:t>
            </w:r>
          </w:p>
        </w:tc>
        <w:tc>
          <w:tcPr>
            <w:tcW w:w="3800" w:type="pct"/>
            <w:gridSpan w:val="6"/>
            <w:shd w:val="clear" w:color="auto" w:fill="auto"/>
            <w:vAlign w:val="center"/>
            <w:hideMark/>
          </w:tcPr>
          <w:p w14:paraId="0CA4512F" w14:textId="5ACA1BF7" w:rsidR="000D0D18" w:rsidRPr="00E04EB1" w:rsidRDefault="00F54ADD" w:rsidP="00E04EB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</w:t>
            </w:r>
            <w:r w:rsidR="000D0D18"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 ramach projekt</w:t>
            </w:r>
            <w:r w:rsidR="00DD3E06" w:rsidRPr="00E04EB1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 przewiduje się</w:t>
            </w:r>
            <w:r w:rsidR="004A4249"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realizację typów 10.2.H i 10.2.I mających na celu pomoc </w:t>
            </w:r>
            <w:r w:rsidR="00821AC3"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dzieciom i młodzieży </w:t>
            </w: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 xml:space="preserve">z Ukrainy. </w:t>
            </w:r>
          </w:p>
          <w:p w14:paraId="3FF83429" w14:textId="77777777" w:rsidR="0093426A" w:rsidRPr="00E04EB1" w:rsidRDefault="0093426A" w:rsidP="00E04EB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5C5AFE" w14:textId="10439B2A" w:rsidR="001F7274" w:rsidRPr="00E04EB1" w:rsidRDefault="000D0D18" w:rsidP="00E04EB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sz w:val="24"/>
                <w:szCs w:val="24"/>
              </w:rPr>
              <w:t>Grupa docelowa:</w:t>
            </w:r>
          </w:p>
          <w:p w14:paraId="377C312F" w14:textId="5D492577" w:rsidR="004740A6" w:rsidRPr="00E04EB1" w:rsidRDefault="004740A6" w:rsidP="00E04EB1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72" w:hanging="284"/>
              <w:rPr>
                <w:rFonts w:asciiTheme="minorHAnsi" w:hAnsiTheme="minorHAnsi" w:cstheme="minorHAnsi"/>
                <w:sz w:val="24"/>
              </w:rPr>
            </w:pPr>
            <w:r w:rsidRPr="00E04EB1">
              <w:rPr>
                <w:rFonts w:asciiTheme="minorHAnsi" w:hAnsiTheme="minorHAnsi" w:cstheme="minorHAnsi"/>
                <w:sz w:val="24"/>
              </w:rPr>
              <w:lastRenderedPageBreak/>
              <w:t>uczniowie i wychowankowie szkół i placówek (w rozumieniu ustawy  Prawo oświatowe) prowadzących kształcenie ogólne (z wyłączeniem słuchaczy szkół dla dorosłych);</w:t>
            </w:r>
          </w:p>
          <w:p w14:paraId="3277AD58" w14:textId="144A792F" w:rsidR="004740A6" w:rsidRPr="00E04EB1" w:rsidRDefault="004740A6" w:rsidP="00E04EB1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72" w:hanging="284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E04EB1">
              <w:rPr>
                <w:rFonts w:asciiTheme="minorHAnsi" w:hAnsiTheme="minorHAnsi" w:cstheme="minorHAnsi"/>
                <w:color w:val="000000" w:themeColor="text1"/>
                <w:sz w:val="24"/>
              </w:rPr>
              <w:t>rodzice/opiekunowie prawni uczniów;</w:t>
            </w:r>
          </w:p>
          <w:p w14:paraId="3441D792" w14:textId="7F2AB886" w:rsidR="004740A6" w:rsidRPr="00E04EB1" w:rsidRDefault="004740A6" w:rsidP="00E04EB1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72" w:hanging="284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E04EB1">
              <w:rPr>
                <w:rFonts w:asciiTheme="minorHAnsi" w:hAnsiTheme="minorHAnsi" w:cstheme="minorHAnsi"/>
                <w:color w:val="000000" w:themeColor="text1"/>
                <w:sz w:val="24"/>
              </w:rPr>
              <w:t>publiczne i niepubliczne szkoły podstawowe, ponadpodstawowe lub placówki systemu oświaty prowadzące kształcenie ogólne;</w:t>
            </w:r>
          </w:p>
          <w:p w14:paraId="5CF7C445" w14:textId="55E71C11" w:rsidR="004740A6" w:rsidRPr="00E04EB1" w:rsidRDefault="004740A6" w:rsidP="00E04EB1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72" w:hanging="284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E04EB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nauczyciele i pracownicy pedagogiczni szkół i placówek oświatowych; </w:t>
            </w:r>
          </w:p>
          <w:p w14:paraId="0A8E633B" w14:textId="09B2B29C" w:rsidR="004740A6" w:rsidRPr="00E04EB1" w:rsidRDefault="004740A6" w:rsidP="00E04EB1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72" w:hanging="284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E04EB1">
              <w:rPr>
                <w:rFonts w:asciiTheme="minorHAnsi" w:hAnsiTheme="minorHAnsi" w:cstheme="minorHAnsi"/>
                <w:color w:val="000000" w:themeColor="text1"/>
                <w:sz w:val="24"/>
              </w:rPr>
              <w:t>dzieci i młodzież w wieku szkolnym, które przybyły na terytorium Rzeczypospolitej Polskiej w związku z działaniami wojennymi prowadzonymi na terytorium Ukrainy;</w:t>
            </w:r>
          </w:p>
          <w:p w14:paraId="7852CA2B" w14:textId="55A77E7B" w:rsidR="00AB2F42" w:rsidRPr="00E04EB1" w:rsidRDefault="004740A6" w:rsidP="00E04EB1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72" w:hanging="284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E04EB1">
              <w:rPr>
                <w:rFonts w:asciiTheme="minorHAnsi" w:hAnsiTheme="minorHAnsi" w:cstheme="minorHAnsi"/>
                <w:color w:val="000000" w:themeColor="text1"/>
                <w:sz w:val="24"/>
              </w:rPr>
              <w:t>społeczność lokalna.</w:t>
            </w:r>
          </w:p>
        </w:tc>
      </w:tr>
      <w:tr w:rsidR="001F7274" w14:paraId="297393A3" w14:textId="77777777" w:rsidTr="00E04EB1">
        <w:trPr>
          <w:trHeight w:val="434"/>
        </w:trPr>
        <w:tc>
          <w:tcPr>
            <w:tcW w:w="1200" w:type="pct"/>
            <w:gridSpan w:val="2"/>
            <w:shd w:val="clear" w:color="auto" w:fill="auto"/>
            <w:vAlign w:val="center"/>
            <w:hideMark/>
          </w:tcPr>
          <w:p w14:paraId="216D1FAE" w14:textId="302FEF5E" w:rsidR="001F7274" w:rsidRPr="00C87F99" w:rsidRDefault="001F7274" w:rsidP="00C87F99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lastRenderedPageBreak/>
              <w:t>Przewidywany termin złożenia wniosk</w:t>
            </w:r>
            <w:r w:rsidR="009C170C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ów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 o dofinansowanie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br/>
              <w:t>(kwartał albo miesiąc oraz rok)</w:t>
            </w:r>
          </w:p>
        </w:tc>
        <w:tc>
          <w:tcPr>
            <w:tcW w:w="3800" w:type="pct"/>
            <w:gridSpan w:val="6"/>
            <w:shd w:val="clear" w:color="auto" w:fill="auto"/>
            <w:vAlign w:val="center"/>
            <w:hideMark/>
          </w:tcPr>
          <w:p w14:paraId="72650B68" w14:textId="12C86AFA" w:rsidR="001F7274" w:rsidRPr="00E04EB1" w:rsidRDefault="001F7274" w:rsidP="00E04EB1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</w:t>
            </w:r>
            <w:r w:rsidR="00F54ADD" w:rsidRPr="00E04E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</w:t>
            </w:r>
            <w:r w:rsidRPr="00E04E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kwartał 20</w:t>
            </w:r>
            <w:r w:rsidR="0028591B" w:rsidRPr="00E04E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F7274" w14:paraId="790614FA" w14:textId="77777777" w:rsidTr="00E04EB1">
        <w:trPr>
          <w:trHeight w:val="469"/>
        </w:trPr>
        <w:tc>
          <w:tcPr>
            <w:tcW w:w="1200" w:type="pct"/>
            <w:gridSpan w:val="2"/>
            <w:shd w:val="clear" w:color="auto" w:fill="auto"/>
            <w:vAlign w:val="center"/>
            <w:hideMark/>
          </w:tcPr>
          <w:p w14:paraId="51F39B9F" w14:textId="1C73A3FC" w:rsidR="001F7274" w:rsidRPr="00C87F99" w:rsidRDefault="001F7274" w:rsidP="00C87F99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Przewidywany okres realizacji projekt</w:t>
            </w:r>
            <w:r w:rsidR="009C170C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ów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14:paraId="09A60093" w14:textId="77777777" w:rsidR="001F7274" w:rsidRPr="00C87F99" w:rsidRDefault="001F7274" w:rsidP="00E04E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Data rozpoczęcia (kwartał albo miesiąc oraz rok)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14:paraId="4070CAC3" w14:textId="3E37B2A4" w:rsidR="001F1E5D" w:rsidRPr="00C87F99" w:rsidRDefault="0028591B" w:rsidP="00E04E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I kwartał </w:t>
            </w:r>
            <w:r w:rsidR="001F7274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F1E5D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- po 24 lutego 2022 r.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  <w:hideMark/>
          </w:tcPr>
          <w:p w14:paraId="421F7FFE" w14:textId="77777777" w:rsidR="001F7274" w:rsidRPr="00C87F99" w:rsidRDefault="001F7274" w:rsidP="00E04E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Data zakończenia (kwartał albo miesiąc oraz rok)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4D7E155B" w14:textId="0C22E371" w:rsidR="001F7274" w:rsidRPr="00C87F99" w:rsidRDefault="0028591B" w:rsidP="00E04E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IV kwarta</w:t>
            </w:r>
            <w:r w:rsidR="000C059A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ł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F7274"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308F0" w14:paraId="7D9F6E52" w14:textId="77777777" w:rsidTr="00E04EB1">
        <w:trPr>
          <w:trHeight w:val="133"/>
        </w:trPr>
        <w:tc>
          <w:tcPr>
            <w:tcW w:w="1200" w:type="pct"/>
            <w:gridSpan w:val="2"/>
            <w:vMerge w:val="restart"/>
            <w:shd w:val="clear" w:color="auto" w:fill="auto"/>
            <w:vAlign w:val="center"/>
            <w:hideMark/>
          </w:tcPr>
          <w:p w14:paraId="795FC19D" w14:textId="2C925004" w:rsidR="00B308F0" w:rsidRPr="00C87F99" w:rsidRDefault="00B308F0" w:rsidP="00C87F99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Szacowany budżet projektów w podziale na lata</w:t>
            </w:r>
          </w:p>
        </w:tc>
        <w:tc>
          <w:tcPr>
            <w:tcW w:w="1901" w:type="pct"/>
            <w:gridSpan w:val="4"/>
            <w:shd w:val="clear" w:color="auto" w:fill="auto"/>
            <w:vAlign w:val="center"/>
            <w:hideMark/>
          </w:tcPr>
          <w:p w14:paraId="3FCDF246" w14:textId="77777777" w:rsidR="00B308F0" w:rsidRPr="00E04EB1" w:rsidRDefault="00B308F0" w:rsidP="00E04EB1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2022 rok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14:paraId="5EC318E8" w14:textId="18C56765" w:rsidR="00B308F0" w:rsidRPr="00E04EB1" w:rsidRDefault="00B308F0" w:rsidP="00E04EB1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2023 rok</w:t>
            </w:r>
          </w:p>
        </w:tc>
      </w:tr>
      <w:tr w:rsidR="0028591B" w14:paraId="51A63D15" w14:textId="77777777" w:rsidTr="00E04EB1">
        <w:trPr>
          <w:trHeight w:val="133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68582B29" w14:textId="77777777" w:rsidR="0028591B" w:rsidRPr="00E04EB1" w:rsidRDefault="0028591B" w:rsidP="00E04EB1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0" w:type="pct"/>
            <w:gridSpan w:val="6"/>
            <w:shd w:val="clear" w:color="auto" w:fill="auto"/>
            <w:vAlign w:val="center"/>
            <w:hideMark/>
          </w:tcPr>
          <w:p w14:paraId="5E6B3391" w14:textId="03F9DAA9" w:rsidR="0028591B" w:rsidRPr="00E04EB1" w:rsidRDefault="0047220D" w:rsidP="00E04EB1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E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Łączna wartość: 11 947 508,04 PLN</w:t>
            </w:r>
            <w:r w:rsidR="001F1E5D" w:rsidRPr="00E04E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Pr="00E04E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 tym środki UE: </w:t>
            </w:r>
            <w:r w:rsidR="00791FDD" w:rsidRPr="00E04E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10 155 381,83</w:t>
            </w:r>
            <w:r w:rsidR="00B43B08" w:rsidRPr="00E04E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74463" w:rsidRPr="00E04E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PLN</w:t>
            </w:r>
            <w:r w:rsidR="00854491" w:rsidRPr="00E04E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8591B" w14:paraId="2A45EA88" w14:textId="77777777" w:rsidTr="00E04EB1">
        <w:trPr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71822EAF" w14:textId="54E93085" w:rsidR="0028591B" w:rsidRDefault="0028591B" w:rsidP="00C87F99">
            <w:pPr>
              <w:pStyle w:val="Nagwek3"/>
            </w:pPr>
            <w:r>
              <w:t>II. ZAKŁADANE EFEKTY PROJEKT</w:t>
            </w:r>
            <w:r w:rsidR="009C170C">
              <w:t>ÓW</w:t>
            </w:r>
            <w:r>
              <w:t xml:space="preserve"> WYRAŻONE WSKAŹNIKAMI</w:t>
            </w:r>
          </w:p>
        </w:tc>
      </w:tr>
      <w:tr w:rsidR="0028591B" w14:paraId="49FEA6A5" w14:textId="77777777" w:rsidTr="00E04EB1">
        <w:trPr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57434017" w14:textId="77777777" w:rsidR="0028591B" w:rsidRPr="00C87F99" w:rsidRDefault="0028591B" w:rsidP="00C87F99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  <w:r w:rsidRPr="00C87F99"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  <w:t>WSKAŹNIKI PRODUKTU WYNIKAJĄCE Z RPO WD 2014-2020</w:t>
            </w:r>
          </w:p>
        </w:tc>
      </w:tr>
      <w:tr w:rsidR="0028591B" w14:paraId="6695DAD9" w14:textId="77777777" w:rsidTr="00E04EB1">
        <w:trPr>
          <w:trHeight w:val="908"/>
        </w:trPr>
        <w:tc>
          <w:tcPr>
            <w:tcW w:w="2531" w:type="pct"/>
            <w:gridSpan w:val="4"/>
            <w:shd w:val="clear" w:color="auto" w:fill="auto"/>
            <w:vAlign w:val="center"/>
            <w:hideMark/>
          </w:tcPr>
          <w:p w14:paraId="494BDE2F" w14:textId="77777777" w:rsidR="0028591B" w:rsidRPr="00C87F99" w:rsidRDefault="0028591B" w:rsidP="00C87F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Nazwa wskaźnika</w:t>
            </w:r>
          </w:p>
        </w:tc>
        <w:tc>
          <w:tcPr>
            <w:tcW w:w="2469" w:type="pct"/>
            <w:gridSpan w:val="4"/>
            <w:shd w:val="clear" w:color="auto" w:fill="auto"/>
            <w:vAlign w:val="center"/>
            <w:hideMark/>
          </w:tcPr>
          <w:p w14:paraId="7E978D88" w14:textId="77777777" w:rsidR="0028591B" w:rsidRPr="00C87F99" w:rsidRDefault="0028591B" w:rsidP="00C87F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Szacunkowa wartość docelowa wskaźnika</w:t>
            </w:r>
          </w:p>
          <w:p w14:paraId="171DA028" w14:textId="77777777" w:rsidR="0028591B" w:rsidRPr="00C87F99" w:rsidRDefault="0028591B" w:rsidP="00C87F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(Ogółem)</w:t>
            </w:r>
          </w:p>
        </w:tc>
      </w:tr>
      <w:tr w:rsidR="0028591B" w14:paraId="17FEDD92" w14:textId="77777777" w:rsidTr="00E04EB1">
        <w:trPr>
          <w:trHeight w:val="567"/>
        </w:trPr>
        <w:tc>
          <w:tcPr>
            <w:tcW w:w="2531" w:type="pct"/>
            <w:gridSpan w:val="4"/>
            <w:shd w:val="clear" w:color="auto" w:fill="auto"/>
            <w:vAlign w:val="center"/>
          </w:tcPr>
          <w:p w14:paraId="1DF99924" w14:textId="2B9652DD" w:rsidR="0028591B" w:rsidRPr="00C87F99" w:rsidRDefault="0028591B" w:rsidP="00C87F9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Wartość wydatków kwalifikowalnych przeznaczonych na działania mające na celu łagodzenie kryzysu wywołanego wojną na Ukrainie [PLN]</w:t>
            </w:r>
          </w:p>
        </w:tc>
        <w:tc>
          <w:tcPr>
            <w:tcW w:w="2469" w:type="pct"/>
            <w:gridSpan w:val="4"/>
            <w:shd w:val="clear" w:color="auto" w:fill="auto"/>
            <w:vAlign w:val="center"/>
          </w:tcPr>
          <w:p w14:paraId="0B74B98C" w14:textId="3A3FB5BD" w:rsidR="0047220D" w:rsidRPr="00C87F99" w:rsidRDefault="0047220D" w:rsidP="00C87F9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11 947 508,04 PLN</w:t>
            </w:r>
          </w:p>
        </w:tc>
      </w:tr>
      <w:tr w:rsidR="0028591B" w14:paraId="59B0BCAA" w14:textId="77777777" w:rsidTr="00E04EB1">
        <w:trPr>
          <w:trHeight w:val="567"/>
        </w:trPr>
        <w:tc>
          <w:tcPr>
            <w:tcW w:w="2531" w:type="pct"/>
            <w:gridSpan w:val="4"/>
            <w:shd w:val="clear" w:color="auto" w:fill="auto"/>
            <w:vAlign w:val="center"/>
          </w:tcPr>
          <w:p w14:paraId="2786D5E0" w14:textId="65C9EC12" w:rsidR="0028591B" w:rsidRPr="00C87F99" w:rsidRDefault="0028591B" w:rsidP="00C87F99">
            <w:pPr>
              <w:spacing w:line="360" w:lineRule="auto"/>
              <w:ind w:left="2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Liczba osób, którym udzielono ochrony czasowej w związku z wojną na Ukrainie, objętych wsparciem w programie</w:t>
            </w:r>
          </w:p>
        </w:tc>
        <w:tc>
          <w:tcPr>
            <w:tcW w:w="2469" w:type="pct"/>
            <w:gridSpan w:val="4"/>
            <w:shd w:val="clear" w:color="auto" w:fill="auto"/>
            <w:vAlign w:val="center"/>
          </w:tcPr>
          <w:p w14:paraId="7AC7AFD0" w14:textId="5911FCBE" w:rsidR="00B43B08" w:rsidRPr="00C87F99" w:rsidRDefault="0047220D" w:rsidP="00C87F9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2 860</w:t>
            </w:r>
          </w:p>
        </w:tc>
      </w:tr>
      <w:tr w:rsidR="00791FDD" w14:paraId="5B75EED0" w14:textId="77777777" w:rsidTr="00E04EB1">
        <w:trPr>
          <w:trHeight w:val="567"/>
        </w:trPr>
        <w:tc>
          <w:tcPr>
            <w:tcW w:w="2531" w:type="pct"/>
            <w:gridSpan w:val="4"/>
            <w:shd w:val="clear" w:color="auto" w:fill="auto"/>
            <w:vAlign w:val="center"/>
          </w:tcPr>
          <w:p w14:paraId="3D6FA89C" w14:textId="28A0EE3D" w:rsidR="00791FDD" w:rsidRPr="00C87F99" w:rsidRDefault="00556969" w:rsidP="00C87F99">
            <w:pPr>
              <w:spacing w:line="360" w:lineRule="auto"/>
              <w:ind w:left="2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Liczba uczniów objętych wsparciem w zakresie rozwijania kompetencji kluczowych lub umiejętności uniwersalnych w programie</w:t>
            </w:r>
          </w:p>
        </w:tc>
        <w:tc>
          <w:tcPr>
            <w:tcW w:w="2469" w:type="pct"/>
            <w:gridSpan w:val="4"/>
            <w:shd w:val="clear" w:color="auto" w:fill="auto"/>
            <w:vAlign w:val="center"/>
          </w:tcPr>
          <w:p w14:paraId="7FA4419C" w14:textId="0825692E" w:rsidR="00791FDD" w:rsidRPr="00C87F99" w:rsidRDefault="0047220D" w:rsidP="00C87F9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2 860</w:t>
            </w:r>
          </w:p>
        </w:tc>
      </w:tr>
      <w:tr w:rsidR="00556969" w14:paraId="3FE14A0A" w14:textId="77777777" w:rsidTr="00E04EB1">
        <w:trPr>
          <w:trHeight w:val="567"/>
        </w:trPr>
        <w:tc>
          <w:tcPr>
            <w:tcW w:w="2531" w:type="pct"/>
            <w:gridSpan w:val="4"/>
            <w:shd w:val="clear" w:color="auto" w:fill="auto"/>
            <w:vAlign w:val="center"/>
          </w:tcPr>
          <w:p w14:paraId="548F1E9A" w14:textId="69704C19" w:rsidR="00556969" w:rsidRPr="00C87F99" w:rsidRDefault="00556969" w:rsidP="00C87F99">
            <w:pPr>
              <w:spacing w:line="360" w:lineRule="auto"/>
              <w:ind w:left="2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Liczba nauczycieli objętych wsparciem w programie</w:t>
            </w:r>
          </w:p>
        </w:tc>
        <w:tc>
          <w:tcPr>
            <w:tcW w:w="2469" w:type="pct"/>
            <w:gridSpan w:val="4"/>
            <w:shd w:val="clear" w:color="auto" w:fill="auto"/>
            <w:vAlign w:val="center"/>
          </w:tcPr>
          <w:p w14:paraId="1195EE3D" w14:textId="3D4766A1" w:rsidR="00556969" w:rsidRPr="00C87F99" w:rsidRDefault="0047220D" w:rsidP="00C87F9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054D44" w14:paraId="534283CB" w14:textId="77777777" w:rsidTr="00E04EB1">
        <w:trPr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31D39E3" w14:textId="7221A138" w:rsidR="00054D44" w:rsidRPr="00C87F99" w:rsidRDefault="00054D44" w:rsidP="00C87F9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2. WSKAŹNIKI REZULTATU WYNIKAJĄCE Z RPO WD 2014-2020</w:t>
            </w:r>
          </w:p>
        </w:tc>
      </w:tr>
      <w:tr w:rsidR="00556969" w14:paraId="29B5B1CF" w14:textId="77777777" w:rsidTr="00E04EB1">
        <w:trPr>
          <w:trHeight w:val="567"/>
        </w:trPr>
        <w:tc>
          <w:tcPr>
            <w:tcW w:w="2531" w:type="pct"/>
            <w:gridSpan w:val="4"/>
            <w:shd w:val="clear" w:color="auto" w:fill="auto"/>
            <w:vAlign w:val="center"/>
          </w:tcPr>
          <w:p w14:paraId="570F3E57" w14:textId="28E66EA2" w:rsidR="00556969" w:rsidRPr="00C87F99" w:rsidRDefault="00556969" w:rsidP="00C87F99">
            <w:pPr>
              <w:spacing w:line="360" w:lineRule="auto"/>
              <w:ind w:left="2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Liczba uczniów, którzy nabyli kompetencje kluczowe lub umiejętności uniwersalne po opuszczeniu programu</w:t>
            </w:r>
          </w:p>
        </w:tc>
        <w:tc>
          <w:tcPr>
            <w:tcW w:w="2469" w:type="pct"/>
            <w:gridSpan w:val="4"/>
            <w:shd w:val="clear" w:color="auto" w:fill="auto"/>
            <w:vAlign w:val="center"/>
          </w:tcPr>
          <w:p w14:paraId="7ED76E76" w14:textId="63BEE535" w:rsidR="00556969" w:rsidRPr="00C87F99" w:rsidRDefault="00B43B08" w:rsidP="00C87F9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67%</w:t>
            </w:r>
          </w:p>
        </w:tc>
      </w:tr>
      <w:tr w:rsidR="00556969" w14:paraId="7375D4CD" w14:textId="77777777" w:rsidTr="00E04EB1">
        <w:trPr>
          <w:trHeight w:val="567"/>
        </w:trPr>
        <w:tc>
          <w:tcPr>
            <w:tcW w:w="2531" w:type="pct"/>
            <w:gridSpan w:val="4"/>
            <w:shd w:val="clear" w:color="auto" w:fill="auto"/>
            <w:vAlign w:val="center"/>
          </w:tcPr>
          <w:p w14:paraId="68D24A52" w14:textId="2B2F15F1" w:rsidR="00556969" w:rsidRPr="00C87F99" w:rsidRDefault="00556969" w:rsidP="00C87F99">
            <w:pPr>
              <w:spacing w:line="360" w:lineRule="auto"/>
              <w:ind w:left="2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Liczba nauczycieli, którzy uzyskali kwalifikacje lub nabyli kompetencje po opuszczeniu programu</w:t>
            </w:r>
          </w:p>
        </w:tc>
        <w:tc>
          <w:tcPr>
            <w:tcW w:w="2469" w:type="pct"/>
            <w:gridSpan w:val="4"/>
            <w:shd w:val="clear" w:color="auto" w:fill="auto"/>
            <w:vAlign w:val="center"/>
          </w:tcPr>
          <w:p w14:paraId="667A0DF1" w14:textId="2C74419B" w:rsidR="00556969" w:rsidRPr="00C87F99" w:rsidRDefault="00B43B08" w:rsidP="00C87F9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73%</w:t>
            </w:r>
          </w:p>
        </w:tc>
      </w:tr>
      <w:tr w:rsidR="00556969" w14:paraId="56FC53B2" w14:textId="77777777" w:rsidTr="00E04EB1">
        <w:trPr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6C42BA92" w14:textId="77777777" w:rsidR="00556969" w:rsidRPr="00C87F99" w:rsidRDefault="00556969" w:rsidP="00313820">
            <w:pPr>
              <w:pStyle w:val="Nagwek3"/>
            </w:pPr>
            <w:r w:rsidRPr="00C87F99">
              <w:t xml:space="preserve">III. KRYTERIA DOSTĘPU </w:t>
            </w:r>
          </w:p>
        </w:tc>
      </w:tr>
      <w:tr w:rsidR="00556969" w:rsidRPr="007F22B2" w14:paraId="0D0EC3DA" w14:textId="77777777" w:rsidTr="00E04EB1">
        <w:trPr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0C329F1D" w14:textId="26952B34" w:rsidR="00556969" w:rsidRPr="00313820" w:rsidRDefault="00556969" w:rsidP="00C87F9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Czy we wniosku o dofinansowanie projektu założono, że uczestnikami projektu będą dzieci i młodzież w wieku szkolnym,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</w:t>
            </w:r>
            <w:r w:rsidR="007D78CD"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organizowanych poza lekcjami w szkole lub poza szkołą</w:t>
            </w: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?</w:t>
            </w:r>
          </w:p>
        </w:tc>
      </w:tr>
      <w:tr w:rsidR="00556969" w14:paraId="69373BB0" w14:textId="77777777" w:rsidTr="00E04EB1">
        <w:trPr>
          <w:trHeight w:val="567"/>
        </w:trPr>
        <w:tc>
          <w:tcPr>
            <w:tcW w:w="1039" w:type="pct"/>
            <w:shd w:val="clear" w:color="auto" w:fill="auto"/>
            <w:vAlign w:val="center"/>
            <w:hideMark/>
          </w:tcPr>
          <w:p w14:paraId="0A7C2B09" w14:textId="77777777" w:rsidR="00556969" w:rsidRPr="00313820" w:rsidRDefault="00556969" w:rsidP="00C87F99">
            <w:pPr>
              <w:spacing w:line="360" w:lineRule="auto"/>
              <w:ind w:left="5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Definicja</w:t>
            </w:r>
          </w:p>
        </w:tc>
        <w:tc>
          <w:tcPr>
            <w:tcW w:w="3961" w:type="pct"/>
            <w:gridSpan w:val="7"/>
            <w:shd w:val="clear" w:color="auto" w:fill="auto"/>
            <w:vAlign w:val="center"/>
            <w:hideMark/>
          </w:tcPr>
          <w:p w14:paraId="4BF8FBE2" w14:textId="6B49C265" w:rsidR="00556969" w:rsidRPr="00C87F99" w:rsidRDefault="00556969" w:rsidP="00313820">
            <w:pPr>
              <w:spacing w:line="360" w:lineRule="auto"/>
              <w:ind w:left="5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Zastosowanie kryterium ma na celu zapewnienie wsparcia</w:t>
            </w:r>
            <w:r w:rsidR="004D5950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dla</w:t>
            </w: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7F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dzieci i młodzież</w:t>
            </w:r>
            <w:r w:rsidR="00821AC3" w:rsidRPr="00C87F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</w:t>
            </w:r>
            <w:r w:rsidRPr="00C87F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 wieku szkolnym przybyłych z terenów Ukrainy wskutek działań wojennych. </w:t>
            </w:r>
          </w:p>
          <w:p w14:paraId="013FF073" w14:textId="77777777" w:rsidR="00556969" w:rsidRPr="00C87F99" w:rsidRDefault="00556969" w:rsidP="0031382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0CF82B2C" w14:textId="77777777" w:rsidR="00556969" w:rsidRPr="00C87F99" w:rsidRDefault="00556969" w:rsidP="00313820">
            <w:pPr>
              <w:spacing w:line="360" w:lineRule="auto"/>
              <w:ind w:left="57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Kryterium będzie weryfikowane w oparciu o zapisy wniosku o dofinansowanie.</w:t>
            </w:r>
          </w:p>
          <w:p w14:paraId="47F2E407" w14:textId="77777777" w:rsidR="00556969" w:rsidRPr="00313820" w:rsidRDefault="00556969" w:rsidP="00313820">
            <w:pPr>
              <w:autoSpaceDE w:val="0"/>
              <w:autoSpaceDN w:val="0"/>
              <w:spacing w:line="360" w:lineRule="auto"/>
              <w:ind w:left="5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Opis znaczenia: Tak/Nie</w:t>
            </w:r>
          </w:p>
          <w:p w14:paraId="4C22AC42" w14:textId="77777777" w:rsidR="00556969" w:rsidRPr="00C87F99" w:rsidRDefault="00556969" w:rsidP="00313820">
            <w:pPr>
              <w:autoSpaceDE w:val="0"/>
              <w:autoSpaceDN w:val="0"/>
              <w:spacing w:line="360" w:lineRule="auto"/>
              <w:ind w:left="57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Dopuszcza się skierowanie projektu do poprawy/uzupełnienia w zakresie skutkującym spełnianiem kryterium. Niespełnienie kryterium po wezwaniu do uzupełnienia/ poprawy skutkuje jego odrzuceniem. Możliwości dwukrotnej korekty.</w:t>
            </w:r>
          </w:p>
        </w:tc>
      </w:tr>
      <w:tr w:rsidR="004D5950" w14:paraId="74C977F4" w14:textId="77777777" w:rsidTr="00E04EB1">
        <w:trPr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9DB68D6" w14:textId="35BE470C" w:rsidR="00E02A47" w:rsidRPr="00313820" w:rsidRDefault="00E02A47" w:rsidP="00313820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31382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Czy wnioskowana w projekcie wartość dofinansowania środków europejskich w PLN (przeliczona po kursie E</w:t>
            </w:r>
            <w:r w:rsidR="001B0F8E" w:rsidRPr="0031382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UR</w:t>
            </w:r>
            <w:r w:rsidRPr="0031382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 wskazanym w wezwaniu) nie przekracza alokacji przeznaczonej dla danej JST:</w:t>
            </w:r>
          </w:p>
          <w:p w14:paraId="2151D527" w14:textId="06A0ED36" w:rsidR="00E02A47" w:rsidRPr="00C87F99" w:rsidRDefault="00E02A47" w:rsidP="00313820">
            <w:pPr>
              <w:pStyle w:val="Akapitzlist"/>
              <w:numPr>
                <w:ilvl w:val="0"/>
                <w:numId w:val="18"/>
              </w:numPr>
              <w:spacing w:line="360" w:lineRule="auto"/>
              <w:ind w:left="1455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Gmina Wrocław </w:t>
            </w:r>
            <w:r w:rsidR="006862ED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–</w:t>
            </w: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</w:t>
            </w:r>
            <w:r w:rsidR="006862ED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7</w:t>
            </w:r>
            <w:r w:rsidR="00E95C07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29 630,37</w:t>
            </w: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EUR</w:t>
            </w:r>
            <w:r w:rsidR="001B0F8E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;</w:t>
            </w:r>
          </w:p>
          <w:p w14:paraId="30F3DCE1" w14:textId="1588D0D2" w:rsidR="00E02A47" w:rsidRPr="00C87F99" w:rsidRDefault="00E02A47" w:rsidP="00313820">
            <w:pPr>
              <w:pStyle w:val="Akapitzlist"/>
              <w:numPr>
                <w:ilvl w:val="0"/>
                <w:numId w:val="18"/>
              </w:numPr>
              <w:spacing w:line="360" w:lineRule="auto"/>
              <w:ind w:left="1455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Gmina  Jelenia Góra -  </w:t>
            </w:r>
            <w:r w:rsidR="00E95C07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300 436,04</w:t>
            </w: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EUR</w:t>
            </w:r>
            <w:r w:rsidR="001B0F8E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;</w:t>
            </w:r>
          </w:p>
          <w:p w14:paraId="166D805A" w14:textId="3CBFB399" w:rsidR="00E02A47" w:rsidRPr="00C87F99" w:rsidRDefault="00E02A47" w:rsidP="00313820">
            <w:pPr>
              <w:pStyle w:val="Akapitzlist"/>
              <w:numPr>
                <w:ilvl w:val="0"/>
                <w:numId w:val="18"/>
              </w:numPr>
              <w:spacing w:line="360" w:lineRule="auto"/>
              <w:ind w:left="1455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Gmina Wałbrzych -  </w:t>
            </w:r>
            <w:r w:rsidR="00E95C07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236 056,89</w:t>
            </w: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EUR</w:t>
            </w:r>
            <w:r w:rsidR="001B0F8E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;</w:t>
            </w:r>
          </w:p>
          <w:p w14:paraId="01E1C3A8" w14:textId="09E53474" w:rsidR="00E02A47" w:rsidRPr="00C87F99" w:rsidRDefault="00E02A47" w:rsidP="00313820">
            <w:pPr>
              <w:pStyle w:val="Akapitzlist"/>
              <w:numPr>
                <w:ilvl w:val="0"/>
                <w:numId w:val="18"/>
              </w:numPr>
              <w:spacing w:line="360" w:lineRule="auto"/>
              <w:ind w:left="1455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Gmina Miejska Bolesławiec </w:t>
            </w:r>
            <w:r w:rsidR="00E95C07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–</w:t>
            </w: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</w:t>
            </w:r>
            <w:r w:rsidR="006862ED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2</w:t>
            </w:r>
            <w:r w:rsidR="00E95C07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36 056,89</w:t>
            </w: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EUR</w:t>
            </w:r>
            <w:r w:rsidR="001B0F8E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;</w:t>
            </w:r>
          </w:p>
          <w:p w14:paraId="4D1BB808" w14:textId="456CC27E" w:rsidR="00E02A47" w:rsidRPr="00C87F99" w:rsidRDefault="00E02A47" w:rsidP="00313820">
            <w:pPr>
              <w:pStyle w:val="Akapitzlist"/>
              <w:numPr>
                <w:ilvl w:val="0"/>
                <w:numId w:val="18"/>
              </w:numPr>
              <w:spacing w:line="360" w:lineRule="auto"/>
              <w:ind w:left="1455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Gmina Miejska Świdnica -  </w:t>
            </w:r>
            <w:r w:rsidR="00E95C07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236 056,89</w:t>
            </w: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EUR</w:t>
            </w:r>
            <w:r w:rsidR="001B0F8E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;</w:t>
            </w:r>
          </w:p>
          <w:p w14:paraId="3B6FE6FF" w14:textId="786E3CA7" w:rsidR="00E02A47" w:rsidRPr="00C87F99" w:rsidRDefault="00E02A47" w:rsidP="00313820">
            <w:pPr>
              <w:pStyle w:val="Akapitzlist"/>
              <w:numPr>
                <w:ilvl w:val="0"/>
                <w:numId w:val="18"/>
              </w:numPr>
              <w:spacing w:line="360" w:lineRule="auto"/>
              <w:ind w:left="1455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Gmina Miejska Lubin -  </w:t>
            </w:r>
            <w:r w:rsidR="00E95C07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236 056,89</w:t>
            </w: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EUR</w:t>
            </w:r>
            <w:r w:rsidR="001B0F8E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;</w:t>
            </w:r>
          </w:p>
          <w:p w14:paraId="2A5E0A9A" w14:textId="7DD7DDE9" w:rsidR="004D5950" w:rsidRPr="00C87F99" w:rsidRDefault="00E02A47" w:rsidP="00313820">
            <w:pPr>
              <w:pStyle w:val="Akapitzlist"/>
              <w:numPr>
                <w:ilvl w:val="0"/>
                <w:numId w:val="18"/>
              </w:numPr>
              <w:spacing w:line="360" w:lineRule="auto"/>
              <w:ind w:left="1455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Gmina Szklarska Poręba - </w:t>
            </w:r>
            <w:r w:rsidR="00E95C07"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171 677,74 </w:t>
            </w:r>
            <w:r w:rsidRPr="00C87F9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EUR</w:t>
            </w:r>
          </w:p>
        </w:tc>
      </w:tr>
      <w:tr w:rsidR="004D5950" w14:paraId="35661D61" w14:textId="77777777" w:rsidTr="00E04EB1">
        <w:trPr>
          <w:trHeight w:val="567"/>
        </w:trPr>
        <w:tc>
          <w:tcPr>
            <w:tcW w:w="1039" w:type="pct"/>
            <w:shd w:val="clear" w:color="auto" w:fill="auto"/>
            <w:vAlign w:val="center"/>
          </w:tcPr>
          <w:p w14:paraId="1AF34C28" w14:textId="621B985C" w:rsidR="004D5950" w:rsidRPr="00313820" w:rsidRDefault="004D5950" w:rsidP="00C87F99">
            <w:pPr>
              <w:spacing w:line="360" w:lineRule="auto"/>
              <w:ind w:left="5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Definicja</w:t>
            </w:r>
          </w:p>
        </w:tc>
        <w:tc>
          <w:tcPr>
            <w:tcW w:w="3961" w:type="pct"/>
            <w:gridSpan w:val="7"/>
            <w:shd w:val="clear" w:color="auto" w:fill="auto"/>
            <w:vAlign w:val="center"/>
          </w:tcPr>
          <w:p w14:paraId="4B15E754" w14:textId="3BB0D9AA" w:rsidR="004D5950" w:rsidRPr="00C87F99" w:rsidRDefault="004D5950" w:rsidP="00313820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Cs/>
                <w:sz w:val="24"/>
                <w:szCs w:val="24"/>
              </w:rPr>
              <w:t>Kryterium ma na cel</w:t>
            </w:r>
            <w:r w:rsidR="00E02A47" w:rsidRPr="00C87F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 zapewnić zgodność wartości projektu z przyjętym przez IZ RPO WD algorytmem podziału środków. </w:t>
            </w:r>
          </w:p>
          <w:p w14:paraId="60C9F24C" w14:textId="77777777" w:rsidR="004D5950" w:rsidRPr="00C87F99" w:rsidRDefault="004D5950" w:rsidP="00313820">
            <w:pPr>
              <w:spacing w:line="360" w:lineRule="auto"/>
              <w:ind w:left="-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Cs/>
                <w:sz w:val="24"/>
                <w:szCs w:val="24"/>
              </w:rPr>
              <w:t>Kryterium będzie weryfikowane w oparciu o zapisy wniosku o dofinansowanie.</w:t>
            </w:r>
          </w:p>
          <w:p w14:paraId="3E6137A2" w14:textId="77777777" w:rsidR="004D5950" w:rsidRPr="00313820" w:rsidRDefault="004D5950" w:rsidP="00313820">
            <w:pPr>
              <w:autoSpaceDE w:val="0"/>
              <w:autoSpaceDN w:val="0"/>
              <w:spacing w:line="360" w:lineRule="auto"/>
              <w:ind w:left="-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sz w:val="24"/>
                <w:szCs w:val="24"/>
              </w:rPr>
              <w:t>Opis znaczenia: Tak/Nie</w:t>
            </w:r>
          </w:p>
          <w:p w14:paraId="35EE7E9D" w14:textId="32229A87" w:rsidR="004D5950" w:rsidRPr="00C87F99" w:rsidRDefault="004D5950" w:rsidP="00313820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Cs/>
                <w:sz w:val="24"/>
                <w:szCs w:val="24"/>
              </w:rPr>
              <w:t>Dopuszcza się skierowanie projektu do poprawy/uzupełnienia w zakresie skutkującym spełnianiem kryterium. Niespełnienie kryterium po wezwaniu do uzupełnienia/ poprawy skutkuje jego odrzuceniem. Możliwości dwukrotnej korekty.</w:t>
            </w:r>
          </w:p>
          <w:p w14:paraId="02BD5B59" w14:textId="6D784440" w:rsidR="004D5950" w:rsidRPr="00C87F99" w:rsidRDefault="004D5950" w:rsidP="00313820">
            <w:pPr>
              <w:spacing w:line="36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C87F99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W trakcie realizacji projektu IZ RPO WD dopuszcza</w:t>
            </w:r>
            <w:r w:rsidR="003310B4" w:rsidRPr="00C87F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się</w:t>
            </w:r>
            <w:r w:rsidRPr="00C87F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możliwość zwiększenia dofinasowania w miarę dostępności środków. </w:t>
            </w:r>
          </w:p>
        </w:tc>
      </w:tr>
    </w:tbl>
    <w:p w14:paraId="26A10BBE" w14:textId="0B4C3F82" w:rsidR="00482FFB" w:rsidRDefault="00482FFB"/>
    <w:p w14:paraId="072D1CA5" w14:textId="77777777" w:rsidR="00482FFB" w:rsidRDefault="00482FFB"/>
    <w:tbl>
      <w:tblPr>
        <w:tblW w:w="5006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87"/>
        <w:gridCol w:w="3038"/>
        <w:gridCol w:w="1203"/>
        <w:gridCol w:w="2415"/>
      </w:tblGrid>
      <w:tr w:rsidR="001F7274" w:rsidRPr="00313820" w14:paraId="5AE299BF" w14:textId="77777777" w:rsidTr="00313820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9032" w14:textId="40C1F085" w:rsidR="001F7274" w:rsidRPr="00313820" w:rsidRDefault="001F7274" w:rsidP="0031382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Kryteria formalne</w:t>
            </w:r>
          </w:p>
          <w:p w14:paraId="72479F94" w14:textId="53137CFA" w:rsidR="00B352F5" w:rsidRPr="00313820" w:rsidRDefault="001F7274" w:rsidP="00313820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Kryteria, których spełnienie jest konieczne do przyznania dofinansowania. Ocena spełnienia kryterium polega na przypisaniu wartości </w:t>
            </w:r>
            <w:r w:rsidRPr="0031382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tak</w:t>
            </w:r>
            <w:r w:rsidR="00184AF5" w:rsidRPr="0031382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, nie</w:t>
            </w:r>
            <w:r w:rsidR="00FC42F6" w:rsidRPr="0031382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C42F6"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lub</w:t>
            </w:r>
            <w:r w:rsidRPr="0031382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nie</w:t>
            </w:r>
            <w:r w:rsidR="00184AF5" w:rsidRPr="0031382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dotyczy</w:t>
            </w:r>
            <w:r w:rsidRPr="0031382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50747C0F" w14:textId="5BD62CD7" w:rsidR="001F7274" w:rsidRPr="00313820" w:rsidRDefault="001F7274" w:rsidP="00313820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Kryteria formalne są weryfikowane podczas oceny formalnej projektu.</w:t>
            </w:r>
          </w:p>
          <w:p w14:paraId="1FC81BE3" w14:textId="117E7969" w:rsidR="001F7274" w:rsidRPr="00313820" w:rsidRDefault="001F7274" w:rsidP="0031382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Do oceny formalnej zostaną dopuszczone wnioski o dofinansowanie, które wpłynęły do instytucji oceniającej wnioski w terminie i formie określon</w:t>
            </w:r>
            <w:r w:rsidR="00B308F0"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ej</w:t>
            </w: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w wezwaniu do złożenia wniosku o dofinansowanie. Kryteria oceny formalnej są weryfikowane na podstawie zapisów wniosku o dofinansowanie projektu oraz załączników. Nie wyklucza to wykorzystania w ocenie spełnienia kryteriów informacji udzielonych przez Wnioskodawcę/ Beneficjenta, pozyskanych na temat Wnioskodawcy/Beneficjenta lub projektu.</w:t>
            </w:r>
          </w:p>
        </w:tc>
      </w:tr>
      <w:tr w:rsidR="00AB3929" w:rsidRPr="00313820" w14:paraId="29DC0E96" w14:textId="77777777" w:rsidTr="00313820">
        <w:trPr>
          <w:trHeight w:val="708"/>
        </w:trPr>
        <w:tc>
          <w:tcPr>
            <w:tcW w:w="1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1CC3" w14:textId="77777777" w:rsidR="001F7274" w:rsidRPr="00313820" w:rsidRDefault="001F7274" w:rsidP="00313820">
            <w:pPr>
              <w:spacing w:line="360" w:lineRule="auto"/>
              <w:ind w:left="5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kryterium:</w:t>
            </w:r>
          </w:p>
          <w:p w14:paraId="567BC933" w14:textId="07BA8BA4" w:rsidR="001F7274" w:rsidRPr="00313820" w:rsidRDefault="001F7274" w:rsidP="0031382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Kwalifikowalność projektu i Wnioskodawcy/Beneficjenta 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9A24" w14:textId="77777777" w:rsidR="001F7274" w:rsidRPr="00313820" w:rsidRDefault="001F7274" w:rsidP="00313820">
            <w:pPr>
              <w:autoSpaceDE w:val="0"/>
              <w:autoSpaceDN w:val="0"/>
              <w:adjustRightInd w:val="0"/>
              <w:spacing w:before="120" w:after="120" w:line="360" w:lineRule="auto"/>
              <w:ind w:hanging="27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1. </w:t>
            </w: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Projekt jest zgodny z zapisami </w:t>
            </w:r>
            <w:proofErr w:type="spellStart"/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SzOOP</w:t>
            </w:r>
            <w:proofErr w:type="spellEnd"/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RPO WD 2014-2020 aktualnymi na dzień wezwania do złożenia wniosku.</w:t>
            </w:r>
          </w:p>
          <w:p w14:paraId="41405781" w14:textId="77777777" w:rsidR="001F7274" w:rsidRPr="00313820" w:rsidRDefault="001F7274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</w:rPr>
              <w:t xml:space="preserve">W ramach tego kryterium sprawdzane jest, czy projekt jest zgodny z zapisami </w:t>
            </w:r>
            <w:proofErr w:type="spellStart"/>
            <w:r w:rsidRPr="00313820">
              <w:rPr>
                <w:rFonts w:asciiTheme="minorHAnsi" w:hAnsiTheme="minorHAnsi" w:cstheme="minorHAnsi"/>
                <w:color w:val="000000" w:themeColor="text1"/>
              </w:rPr>
              <w:t>SzOOP</w:t>
            </w:r>
            <w:proofErr w:type="spellEnd"/>
            <w:r w:rsidRPr="00313820">
              <w:rPr>
                <w:rFonts w:asciiTheme="minorHAnsi" w:hAnsiTheme="minorHAnsi" w:cstheme="minorHAnsi"/>
                <w:color w:val="000000" w:themeColor="text1"/>
              </w:rPr>
              <w:t xml:space="preserve">. Dofinansowania nie może otrzymać projekt, który zakłada realizację działań niezgodnych z zapisami </w:t>
            </w:r>
            <w:proofErr w:type="spellStart"/>
            <w:r w:rsidRPr="00313820">
              <w:rPr>
                <w:rFonts w:asciiTheme="minorHAnsi" w:hAnsiTheme="minorHAnsi" w:cstheme="minorHAnsi"/>
                <w:color w:val="000000" w:themeColor="text1"/>
              </w:rPr>
              <w:t>SzOOP</w:t>
            </w:r>
            <w:proofErr w:type="spellEnd"/>
            <w:r w:rsidRPr="00313820">
              <w:rPr>
                <w:rFonts w:asciiTheme="minorHAnsi" w:hAnsiTheme="minorHAnsi" w:cstheme="minorHAnsi"/>
                <w:color w:val="000000" w:themeColor="text1"/>
              </w:rPr>
              <w:t xml:space="preserve">. Kryterium jest weryfikowane na podstawie zapisów wniosku o dofinansowanie. Dopuszcza się możliwość </w:t>
            </w:r>
            <w:r w:rsidRPr="00313820">
              <w:rPr>
                <w:rFonts w:asciiTheme="minorHAnsi" w:hAnsiTheme="minorHAnsi" w:cstheme="minorHAnsi"/>
                <w:color w:val="000000" w:themeColor="text1"/>
              </w:rPr>
              <w:lastRenderedPageBreak/>
              <w:t>poprawy/ uzupełnienia wniosku o dofinansowanie w zakresie skutkującym spełnieniem kryterium.</w:t>
            </w:r>
            <w:r w:rsidRPr="003138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D670" w14:textId="77777777" w:rsidR="001F7274" w:rsidRPr="00313820" w:rsidRDefault="001F7274" w:rsidP="0031382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Opis znaczenia kryterium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7A13" w14:textId="77777777" w:rsidR="001F7274" w:rsidRPr="00313820" w:rsidRDefault="001F7274" w:rsidP="0031382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Tak/Nie</w:t>
            </w:r>
          </w:p>
          <w:p w14:paraId="3ADC209E" w14:textId="4CE9604D" w:rsidR="001F7274" w:rsidRPr="00313820" w:rsidRDefault="001F7274" w:rsidP="0031382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2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Dopuszcza się możliwość </w:t>
            </w:r>
            <w:r w:rsidR="002E4FA3"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dwukrotnej </w:t>
            </w: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poprawy/uzupełnienia wniosku o dofinansowanie w zakresie skutkującym spełnieniem kryterium. Niespełnienie kryterium po wezwaniu do uzupełnienia/ poprawy skutkuje odrzuceniem projektu</w:t>
            </w:r>
          </w:p>
        </w:tc>
      </w:tr>
      <w:tr w:rsidR="00AB3929" w:rsidRPr="00313820" w14:paraId="402F6E57" w14:textId="77777777" w:rsidTr="00313820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6B61" w14:textId="77777777" w:rsidR="001F7274" w:rsidRPr="00313820" w:rsidRDefault="001F7274" w:rsidP="00313820">
            <w:pPr>
              <w:spacing w:line="360" w:lineRule="auto"/>
              <w:ind w:left="5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kryterium:</w:t>
            </w:r>
          </w:p>
          <w:p w14:paraId="1C559515" w14:textId="1A8BC814" w:rsidR="001F7274" w:rsidRPr="00313820" w:rsidRDefault="001F7274" w:rsidP="0031382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Niepodleganie wykluczeniu z możliwości otrzymania dofinansowania ze środków Unii Europejskiej 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51A2D" w14:textId="77777777" w:rsidR="001F7274" w:rsidRPr="00313820" w:rsidRDefault="001F7274" w:rsidP="00313820">
            <w:pPr>
              <w:pStyle w:val="Default"/>
              <w:spacing w:line="360" w:lineRule="auto"/>
              <w:ind w:left="-27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2. W ramach kryterium weryfikowane będzie czy Wnioskodawca/Beneficjent oraz partnerzy (jeśli dotyczy) nie podlegają wykluczeniu z możliwości otrzymania dofinansowania ze środków Unii Europejskiej na podstawie: </w:t>
            </w:r>
          </w:p>
          <w:p w14:paraId="6809F820" w14:textId="77777777" w:rsidR="001F7274" w:rsidRPr="00313820" w:rsidRDefault="001F7274" w:rsidP="00313820">
            <w:pPr>
              <w:pStyle w:val="Default"/>
              <w:spacing w:line="360" w:lineRule="auto"/>
              <w:ind w:left="-27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</w:rPr>
              <w:t xml:space="preserve">- art. 207 ust. 4 ustawy z dnia 27 sierpnia 2009 r. o finansach publicznych, </w:t>
            </w:r>
          </w:p>
          <w:p w14:paraId="6180E446" w14:textId="77777777" w:rsidR="001F7274" w:rsidRPr="00313820" w:rsidRDefault="001F7274" w:rsidP="00313820">
            <w:pPr>
              <w:pStyle w:val="Default"/>
              <w:spacing w:line="360" w:lineRule="auto"/>
              <w:ind w:left="-27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</w:rPr>
              <w:t xml:space="preserve">- art.12 ust. 1 pkt 1 ustawy z dnia 15 czerwca 2012 r. o skutkach powierzania wykonywania pracy cudzoziemcom przebywającym wbrew przepisom na terytorium Rzeczypospolitej Polskiej, </w:t>
            </w:r>
          </w:p>
          <w:p w14:paraId="28C24CEA" w14:textId="77777777" w:rsidR="001F7274" w:rsidRPr="00313820" w:rsidRDefault="001F7274" w:rsidP="00313820">
            <w:pPr>
              <w:pStyle w:val="Default"/>
              <w:spacing w:line="360" w:lineRule="auto"/>
              <w:ind w:left="-27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</w:rPr>
              <w:t>- art. 9 ust. 1 pkt 2a ustawy z dnia 28 października 2002 r. o odpowiedzialności podmiotów zbiorowych za czyny zabronione pod groźbą kary.</w:t>
            </w:r>
          </w:p>
          <w:p w14:paraId="410D6DAC" w14:textId="77777777" w:rsidR="001F7274" w:rsidRPr="00313820" w:rsidRDefault="001F7274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352FF5" w14:textId="77777777" w:rsidR="001F7274" w:rsidRPr="00313820" w:rsidRDefault="001F7274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Spełnienie kryterium jest weryfikowane na podstawie oświadczenia Wnioskodawcy/Beneficjenta zawartego we wniosku o dofinansowanie w sekcji Oświadczenia. Złożenie wniosku o dofinansowanie w systemie SOWA EFS RPDS oznacza potwierdzenie zgodności oświadczeń w niniejszej sekcji ze stanem faktycznym.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A6FE" w14:textId="77777777" w:rsidR="001F7274" w:rsidRPr="00313820" w:rsidRDefault="001F7274" w:rsidP="0031382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Opis znaczenia kryterium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21B6" w14:textId="77777777" w:rsidR="001F7274" w:rsidRPr="00313820" w:rsidRDefault="001F7274" w:rsidP="0031382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Tak/Nie</w:t>
            </w:r>
          </w:p>
          <w:p w14:paraId="1A2608E1" w14:textId="77777777" w:rsidR="001F7274" w:rsidRPr="00313820" w:rsidRDefault="001F7274" w:rsidP="0031382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</w:rPr>
              <w:t>(niespełnienie kryterium oznacza odrzucenie projektu)</w:t>
            </w:r>
          </w:p>
        </w:tc>
      </w:tr>
      <w:tr w:rsidR="00AB3929" w:rsidRPr="00313820" w14:paraId="16AE2BFF" w14:textId="77777777" w:rsidTr="00313820">
        <w:trPr>
          <w:trHeight w:val="3959"/>
        </w:trPr>
        <w:tc>
          <w:tcPr>
            <w:tcW w:w="1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C7D5" w14:textId="77777777" w:rsidR="001F7274" w:rsidRPr="00313820" w:rsidRDefault="001F7274" w:rsidP="00313820">
            <w:pPr>
              <w:spacing w:line="360" w:lineRule="auto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sz w:val="24"/>
                <w:szCs w:val="24"/>
              </w:rPr>
              <w:t>Nazwa kryterium:</w:t>
            </w:r>
          </w:p>
          <w:p w14:paraId="44073A7A" w14:textId="77777777" w:rsidR="001F7274" w:rsidRPr="00313820" w:rsidRDefault="001F7274" w:rsidP="00313820">
            <w:pPr>
              <w:spacing w:line="360" w:lineRule="auto"/>
              <w:ind w:lef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Prawidłowość wyboru partnerów w projekcie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B3D26" w14:textId="77777777" w:rsidR="001F7274" w:rsidRPr="00313820" w:rsidRDefault="001F7274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13820">
              <w:rPr>
                <w:rFonts w:asciiTheme="minorHAnsi" w:hAnsiTheme="minorHAnsi" w:cstheme="minorHAnsi"/>
                <w:b/>
                <w:bCs/>
              </w:rPr>
              <w:t>3. W ramach tego kryterium sprawdzane będzie czy wybór partnerów został dokonany w sposób prawidłowy i zgodny z obowiązującymi przepisami prawa.</w:t>
            </w:r>
          </w:p>
          <w:p w14:paraId="1B45CB0D" w14:textId="77777777" w:rsidR="001F7274" w:rsidRPr="00313820" w:rsidRDefault="001F7274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F8B68F1" w14:textId="77777777" w:rsidR="001F7274" w:rsidRPr="00313820" w:rsidRDefault="001F7274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13820">
              <w:rPr>
                <w:rFonts w:asciiTheme="minorHAnsi" w:hAnsiTheme="minorHAnsi" w:cstheme="minorHAnsi"/>
              </w:rPr>
              <w:t>Kryterium będzie weryfikowane na podstawie zapisów wniosku o dofinansowanie.</w:t>
            </w:r>
          </w:p>
          <w:p w14:paraId="0245E0BD" w14:textId="77777777" w:rsidR="001F7274" w:rsidRPr="00313820" w:rsidRDefault="001F7274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DCB5773" w14:textId="77777777" w:rsidR="001F7274" w:rsidRPr="00313820" w:rsidRDefault="001F7274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13820">
              <w:rPr>
                <w:rFonts w:asciiTheme="minorHAnsi" w:hAnsiTheme="minorHAnsi" w:cstheme="minorHAnsi"/>
              </w:rPr>
              <w:t>Kryterium dotyczy tylko projektów partnerskich.</w:t>
            </w:r>
          </w:p>
          <w:p w14:paraId="0CE6B7BE" w14:textId="77777777" w:rsidR="001F7274" w:rsidRPr="00313820" w:rsidRDefault="001F7274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</w:rPr>
              <w:t xml:space="preserve">Dopuszcza się możliwość poprawy/uzupełnienia wniosku o dofinansowanie w </w:t>
            </w:r>
            <w:r w:rsidRPr="00313820">
              <w:rPr>
                <w:rFonts w:asciiTheme="minorHAnsi" w:hAnsiTheme="minorHAnsi" w:cstheme="minorHAnsi"/>
              </w:rPr>
              <w:lastRenderedPageBreak/>
              <w:t>zakresie skutkującym spełnieniem kryterium.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99CA" w14:textId="77777777" w:rsidR="001F7274" w:rsidRPr="00313820" w:rsidRDefault="001F7274" w:rsidP="0031382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Opis znaczenia kryterium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A2D7" w14:textId="77777777" w:rsidR="001F7274" w:rsidRPr="00313820" w:rsidRDefault="001F7274" w:rsidP="0031382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3820">
              <w:rPr>
                <w:rFonts w:asciiTheme="minorHAnsi" w:hAnsiTheme="minorHAnsi" w:cstheme="minorHAnsi"/>
                <w:b/>
                <w:bCs/>
              </w:rPr>
              <w:t>Tak /Nie /Nie dotyczy</w:t>
            </w:r>
          </w:p>
          <w:p w14:paraId="42A6DE62" w14:textId="4C4D8757" w:rsidR="001F7274" w:rsidRPr="00313820" w:rsidRDefault="001F7274" w:rsidP="0031382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sz w:val="24"/>
                <w:szCs w:val="24"/>
              </w:rPr>
              <w:t xml:space="preserve">Dopuszcza się możliwość </w:t>
            </w:r>
            <w:r w:rsidR="002E4FA3" w:rsidRPr="00313820">
              <w:rPr>
                <w:rFonts w:asciiTheme="minorHAnsi" w:hAnsiTheme="minorHAnsi" w:cstheme="minorHAnsi"/>
                <w:sz w:val="24"/>
                <w:szCs w:val="24"/>
              </w:rPr>
              <w:t xml:space="preserve">dwukrotnej </w:t>
            </w:r>
            <w:r w:rsidRPr="00313820">
              <w:rPr>
                <w:rFonts w:asciiTheme="minorHAnsi" w:hAnsiTheme="minorHAnsi" w:cstheme="minorHAnsi"/>
                <w:sz w:val="24"/>
                <w:szCs w:val="24"/>
              </w:rPr>
              <w:t>poprawy/uzupełnienia wniosku o dofinansowanie w zakresie skutkującym spełnieniem kryterium. Niespełnienie kryterium po wezwaniu do uzupełnienia/ poprawy skutkuje odrzuceniem projektu</w:t>
            </w:r>
          </w:p>
        </w:tc>
      </w:tr>
      <w:tr w:rsidR="00AB3929" w:rsidRPr="00313820" w14:paraId="3A48FC15" w14:textId="77777777" w:rsidTr="00313820">
        <w:trPr>
          <w:trHeight w:val="3959"/>
        </w:trPr>
        <w:tc>
          <w:tcPr>
            <w:tcW w:w="1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0B40" w14:textId="77777777" w:rsidR="008F1439" w:rsidRPr="00313820" w:rsidRDefault="008F1439" w:rsidP="00313820">
            <w:pPr>
              <w:spacing w:line="360" w:lineRule="auto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sz w:val="24"/>
                <w:szCs w:val="24"/>
              </w:rPr>
              <w:t>Nazwa kryterium:</w:t>
            </w:r>
          </w:p>
          <w:p w14:paraId="3ACD1AC9" w14:textId="1A0C3867" w:rsidR="008F1439" w:rsidRPr="00313820" w:rsidRDefault="008F1439" w:rsidP="00313820">
            <w:pPr>
              <w:spacing w:line="360" w:lineRule="auto"/>
              <w:ind w:left="5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projektu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7834C" w14:textId="77777777" w:rsidR="008F1439" w:rsidRPr="00313820" w:rsidRDefault="008F1439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13820">
              <w:rPr>
                <w:rFonts w:asciiTheme="minorHAnsi" w:hAnsiTheme="minorHAnsi" w:cstheme="minorHAnsi"/>
                <w:b/>
                <w:bCs/>
              </w:rPr>
              <w:t xml:space="preserve">4. W ramach kryterium weryfikowane będzie czy jego </w:t>
            </w:r>
            <w:r w:rsidR="00B912E0" w:rsidRPr="00313820">
              <w:rPr>
                <w:rFonts w:asciiTheme="minorHAnsi" w:hAnsiTheme="minorHAnsi" w:cstheme="minorHAnsi"/>
                <w:b/>
                <w:bCs/>
              </w:rPr>
              <w:t xml:space="preserve">wartość jest zgodna z zapisami wezwania do złożenia wniosku. </w:t>
            </w:r>
          </w:p>
          <w:p w14:paraId="6114F8D3" w14:textId="77777777" w:rsidR="00B912E0" w:rsidRPr="00313820" w:rsidRDefault="00B912E0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C9A97E8" w14:textId="77777777" w:rsidR="00B912E0" w:rsidRPr="00313820" w:rsidRDefault="00B912E0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13820">
              <w:rPr>
                <w:rFonts w:asciiTheme="minorHAnsi" w:hAnsiTheme="minorHAnsi" w:cstheme="minorHAnsi"/>
              </w:rPr>
              <w:t>Kryterium będzie weryfikowane na podstawie zapisów wniosku o dofinansowanie.</w:t>
            </w:r>
          </w:p>
          <w:p w14:paraId="51C296A4" w14:textId="77777777" w:rsidR="00B912E0" w:rsidRPr="00313820" w:rsidRDefault="00B912E0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989641D" w14:textId="4C746201" w:rsidR="00B912E0" w:rsidRPr="00313820" w:rsidRDefault="00B912E0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13820">
              <w:rPr>
                <w:rFonts w:asciiTheme="minorHAnsi" w:hAnsiTheme="minorHAnsi" w:cstheme="minorHAnsi"/>
              </w:rPr>
              <w:t>Dopuszcza się możliwość poprawy/uzupełnienia wniosku o dofinansowanie w zakresie skutkującym spełnieniem kryterium.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AE3C" w14:textId="14BD7E1E" w:rsidR="008F1439" w:rsidRPr="00313820" w:rsidRDefault="00B912E0" w:rsidP="0031382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Opis znaczenia kryterium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B0C1D" w14:textId="4600C002" w:rsidR="00B912E0" w:rsidRPr="00313820" w:rsidRDefault="00B912E0" w:rsidP="0031382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3820">
              <w:rPr>
                <w:rFonts w:asciiTheme="minorHAnsi" w:hAnsiTheme="minorHAnsi" w:cstheme="minorHAnsi"/>
                <w:b/>
                <w:bCs/>
              </w:rPr>
              <w:t>Tak /Nie /Nie dotyczy</w:t>
            </w:r>
          </w:p>
          <w:p w14:paraId="25D2DDE0" w14:textId="77777777" w:rsidR="0004621C" w:rsidRPr="00313820" w:rsidRDefault="0004621C" w:rsidP="0031382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B731DBE" w14:textId="54865330" w:rsidR="008F1439" w:rsidRPr="00313820" w:rsidRDefault="00B912E0" w:rsidP="0031382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13820">
              <w:rPr>
                <w:rFonts w:asciiTheme="minorHAnsi" w:hAnsiTheme="minorHAnsi" w:cstheme="minorHAnsi"/>
              </w:rPr>
              <w:t xml:space="preserve">Dopuszcza się możliwość </w:t>
            </w:r>
            <w:r w:rsidR="002E4FA3" w:rsidRPr="00313820">
              <w:rPr>
                <w:rFonts w:asciiTheme="minorHAnsi" w:hAnsiTheme="minorHAnsi" w:cstheme="minorHAnsi"/>
              </w:rPr>
              <w:t xml:space="preserve">dwukrotnej </w:t>
            </w:r>
            <w:r w:rsidRPr="00313820">
              <w:rPr>
                <w:rFonts w:asciiTheme="minorHAnsi" w:hAnsiTheme="minorHAnsi" w:cstheme="minorHAnsi"/>
              </w:rPr>
              <w:t>poprawy/uzupełnienia wniosku o dofinansowanie w zakresie skutkującym spełnieniem kryterium. Niespełnienie kryterium po wezwaniu do uzupełnienia/ poprawy skutkuje odrzuceniem projektu</w:t>
            </w:r>
          </w:p>
        </w:tc>
      </w:tr>
      <w:tr w:rsidR="001F7274" w:rsidRPr="00313820" w14:paraId="2B11077B" w14:textId="77777777" w:rsidTr="00313820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99AC" w14:textId="77777777" w:rsidR="001F7274" w:rsidRPr="00313820" w:rsidRDefault="001F7274" w:rsidP="0031382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kern w:val="2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color w:val="000000" w:themeColor="text1"/>
                <w:kern w:val="2"/>
                <w:sz w:val="24"/>
                <w:szCs w:val="24"/>
              </w:rPr>
              <w:t xml:space="preserve">Kryteria horyzontalne </w:t>
            </w:r>
          </w:p>
          <w:p w14:paraId="074632A1" w14:textId="77777777" w:rsidR="001F7274" w:rsidRPr="00313820" w:rsidRDefault="001F7274" w:rsidP="0031382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Kryteria są weryfikowane na podstawie zapisów wniosku o dofinansowanie projektu. Nie wyklucza to wykorzystania w ocenie spełnienia kryteriów informacji udzielonych przez Wnioskodawcę</w:t>
            </w: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kern w:val="2"/>
                <w:sz w:val="24"/>
                <w:szCs w:val="24"/>
              </w:rPr>
              <w:t>/Beneficjenta</w:t>
            </w: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lub pozyskanych na temat Wnioskodawcy</w:t>
            </w: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kern w:val="2"/>
                <w:sz w:val="24"/>
                <w:szCs w:val="24"/>
              </w:rPr>
              <w:t>/Beneficjenta</w:t>
            </w: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lub projektu.</w:t>
            </w:r>
          </w:p>
        </w:tc>
      </w:tr>
      <w:tr w:rsidR="00AB3929" w:rsidRPr="00313820" w14:paraId="0D333826" w14:textId="77777777" w:rsidTr="00313820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CDFA" w14:textId="77777777" w:rsidR="001F7274" w:rsidRPr="00313820" w:rsidRDefault="001F7274" w:rsidP="00313820">
            <w:pPr>
              <w:spacing w:line="360" w:lineRule="auto"/>
              <w:ind w:left="5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Nazwa kryterium:</w:t>
            </w:r>
          </w:p>
          <w:p w14:paraId="34E2D6EC" w14:textId="77777777" w:rsidR="001F7274" w:rsidRPr="00313820" w:rsidRDefault="001F7274" w:rsidP="00313820">
            <w:pPr>
              <w:spacing w:line="360" w:lineRule="auto"/>
              <w:ind w:lef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Kryterium zgodności projektu z prawem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BF32C" w14:textId="77777777" w:rsidR="001F7274" w:rsidRPr="00313820" w:rsidRDefault="001F7274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Czy w trakcie oceny nie stwierdzono niezgodności z prawodawstwem krajowym i unijnym w zakresie odnoszącym się do sposobu realizacji i zakresu projektu?</w:t>
            </w:r>
          </w:p>
          <w:p w14:paraId="4B8CDE36" w14:textId="77777777" w:rsidR="001F7274" w:rsidRPr="00313820" w:rsidRDefault="001F7274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635A7F0" w14:textId="77777777" w:rsidR="001F7274" w:rsidRPr="00313820" w:rsidRDefault="001F7274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</w:rPr>
              <w:t>Kryterium ma na celu zapewnienie, że realizowane projekty będą zgodne z prawem. W sytuacji, gdy oceniający stwierdzi niezgodność zapisów wniosku o dofinansowanie projektu z prawem projekt zostanie odrzucony.</w:t>
            </w:r>
          </w:p>
          <w:p w14:paraId="037898BA" w14:textId="77777777" w:rsidR="001F7274" w:rsidRPr="00313820" w:rsidRDefault="001F7274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</w:rPr>
              <w:t>Dopuszcza się możliwość poprawy/uzupełnienia wniosku o dofinansowanie w zakresie skutkującym spełnieniem kryterium.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7D8D5" w14:textId="77777777" w:rsidR="001F7274" w:rsidRPr="00313820" w:rsidRDefault="001F7274" w:rsidP="0031382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Opis znaczenia kryterium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6453D" w14:textId="77777777" w:rsidR="001F7274" w:rsidRPr="00313820" w:rsidRDefault="001F7274" w:rsidP="0031382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Tak/Nie</w:t>
            </w:r>
          </w:p>
          <w:p w14:paraId="61EAF12D" w14:textId="42FF74DC" w:rsidR="001F7274" w:rsidRPr="00313820" w:rsidRDefault="001F7274" w:rsidP="0031382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2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Dopuszcza się możliwość </w:t>
            </w:r>
            <w:r w:rsidR="00AB3929"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dwukrotnej </w:t>
            </w: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poprawy/uzupełnienia wniosku o dofinansowanie w zakresie skutkującym spełnieniem kryterium. Niespełnienie kryterium po wezwaniu do uzupełnienia/ poprawy skutkuje odrzuceniem projektu</w:t>
            </w:r>
          </w:p>
        </w:tc>
      </w:tr>
      <w:tr w:rsidR="00AB3929" w:rsidRPr="00313820" w14:paraId="19E8EBAB" w14:textId="77777777" w:rsidTr="00313820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B365" w14:textId="77777777" w:rsidR="001F7274" w:rsidRPr="00313820" w:rsidRDefault="001F7274" w:rsidP="00313820">
            <w:pPr>
              <w:spacing w:line="360" w:lineRule="auto"/>
              <w:ind w:left="5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kryterium:</w:t>
            </w:r>
          </w:p>
          <w:p w14:paraId="1FD7D5E7" w14:textId="77777777" w:rsidR="001F7274" w:rsidRPr="00313820" w:rsidRDefault="001F7274" w:rsidP="00313820">
            <w:pPr>
              <w:spacing w:line="360" w:lineRule="auto"/>
              <w:ind w:lef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Kryterium zgodności z właściwymi politykami i zasadami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B8D7" w14:textId="77777777" w:rsidR="001F7274" w:rsidRPr="00313820" w:rsidRDefault="001F7274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2. Czy projekt jest zgodny z zasadą zrównoważonego rozwoju i zasadą równości szans kobiet i mężczyzn? </w:t>
            </w:r>
          </w:p>
          <w:p w14:paraId="4600DEBE" w14:textId="77777777" w:rsidR="001F7274" w:rsidRPr="00313820" w:rsidRDefault="001F7274" w:rsidP="00313820">
            <w:pPr>
              <w:pStyle w:val="Default"/>
              <w:spacing w:line="360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6DFDE2" w14:textId="77777777" w:rsidR="001F7274" w:rsidRPr="00313820" w:rsidRDefault="001F7274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</w:rPr>
              <w:t xml:space="preserve">Kryterium ma na celu zapewnić zgodność projektu z zasadą zrównoważonego rozwoju oraz równości szans kobiet i mężczyzn. W </w:t>
            </w:r>
            <w:r w:rsidRPr="00313820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zakresie równości szans kryterium będzie oceniane według standardu minimum. </w:t>
            </w:r>
          </w:p>
          <w:p w14:paraId="58B19F4A" w14:textId="77777777" w:rsidR="001F7274" w:rsidRPr="00313820" w:rsidRDefault="001F7274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38D212" w14:textId="77777777" w:rsidR="001F7274" w:rsidRPr="00313820" w:rsidRDefault="001F7274" w:rsidP="0031382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</w:rPr>
              <w:t>Kryterium zostanie zweryfikowane na podstawie zapisów zawartych we wniosku o dofinansowanie projektu. Wnioskodawca powinien co najmniej zadeklarować zgodność projektu z zasadą zrównoważonego rozwoju lub neutralność wobec tej zasady.</w:t>
            </w:r>
          </w:p>
          <w:p w14:paraId="6BDFBD80" w14:textId="77777777" w:rsidR="001F7274" w:rsidRPr="00313820" w:rsidRDefault="001F7274" w:rsidP="0031382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kern w:val="2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Dopuszcza się możliwość poprawy/uzupełnienia wniosku o dofinansowanie w zakresie skutkującym spełnieniem kryterium.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5C3DA" w14:textId="77777777" w:rsidR="001F7274" w:rsidRPr="00313820" w:rsidRDefault="001F7274" w:rsidP="0031382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Opis znaczenia kryterium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287C" w14:textId="77777777" w:rsidR="001F7274" w:rsidRPr="00313820" w:rsidRDefault="001F7274" w:rsidP="0031382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Tak/Nie</w:t>
            </w:r>
          </w:p>
          <w:p w14:paraId="4808EFEB" w14:textId="7123AC39" w:rsidR="001F7274" w:rsidRPr="00313820" w:rsidRDefault="001F7274" w:rsidP="0031382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2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Dopuszcza się możliwość </w:t>
            </w:r>
            <w:r w:rsidR="00AB3929"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dwukrotnej </w:t>
            </w: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poprawy/uzupełnienia wniosku o dofinansowanie w zakresie skutkującym spełnieniem kryterium. Niespełnienie </w:t>
            </w: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kryterium po wezwaniu do uzupełnienia/ poprawy skutkuje odrzuceniem projektu</w:t>
            </w:r>
          </w:p>
        </w:tc>
      </w:tr>
      <w:tr w:rsidR="00AB3929" w:rsidRPr="00313820" w14:paraId="177C9A85" w14:textId="77777777" w:rsidTr="00313820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C076" w14:textId="77777777" w:rsidR="001F7274" w:rsidRPr="00313820" w:rsidRDefault="001F7274" w:rsidP="00313820">
            <w:pPr>
              <w:spacing w:line="360" w:lineRule="auto"/>
              <w:ind w:left="5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Nazwa kryterium:</w:t>
            </w:r>
          </w:p>
          <w:p w14:paraId="4CD53154" w14:textId="77777777" w:rsidR="001F7274" w:rsidRPr="00313820" w:rsidRDefault="001F7274" w:rsidP="00313820">
            <w:pPr>
              <w:spacing w:line="360" w:lineRule="auto"/>
              <w:ind w:lef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Kryterium zgodności z właściwymi politykami i zasadami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241C7" w14:textId="77777777" w:rsidR="001F7274" w:rsidRPr="00313820" w:rsidRDefault="001F7274" w:rsidP="0031382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kern w:val="2"/>
              </w:rPr>
              <w:t>3. Czy projekt jest zgodny z zasadą równości szans i niedyskryminacji, w tym dostępności dla osób z niepełnosprawnościami?</w:t>
            </w:r>
          </w:p>
          <w:p w14:paraId="0232361B" w14:textId="77777777" w:rsidR="001F7274" w:rsidRPr="00313820" w:rsidRDefault="001F7274" w:rsidP="0031382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kern w:val="2"/>
                <w:sz w:val="24"/>
                <w:szCs w:val="24"/>
              </w:rPr>
            </w:pPr>
          </w:p>
          <w:p w14:paraId="5B524FDF" w14:textId="77777777" w:rsidR="001F7274" w:rsidRPr="00313820" w:rsidRDefault="001F7274" w:rsidP="00313820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szCs w:val="24"/>
              </w:rPr>
            </w:pPr>
            <w:r w:rsidRPr="00313820"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szCs w:val="24"/>
              </w:rPr>
              <w:t xml:space="preserve">Kryterium ma na celu zweryfikowanie dwóch elementów: </w:t>
            </w:r>
          </w:p>
          <w:p w14:paraId="7FCF0257" w14:textId="77777777" w:rsidR="001F7274" w:rsidRPr="00313820" w:rsidRDefault="001F7274" w:rsidP="00313820">
            <w:pPr>
              <w:pStyle w:val="Akapitzlist"/>
              <w:numPr>
                <w:ilvl w:val="0"/>
                <w:numId w:val="4"/>
              </w:numPr>
              <w:autoSpaceDE/>
              <w:spacing w:line="360" w:lineRule="auto"/>
              <w:ind w:left="454"/>
              <w:contextualSpacing/>
              <w:jc w:val="both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lang w:eastAsia="en-US"/>
              </w:rPr>
            </w:pPr>
            <w:r w:rsidRPr="00313820"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lang w:eastAsia="en-US"/>
              </w:rPr>
              <w:t xml:space="preserve">czy projekt jest otwarty na udział wszystkich </w:t>
            </w:r>
            <w:r w:rsidRPr="00313820"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lang w:eastAsia="en-US"/>
              </w:rPr>
              <w:lastRenderedPageBreak/>
              <w:t xml:space="preserve">osób zainteresowanych uczestnictwem (tj. nie dyskryminuje żadnych grup ze względu na posiadane cechy, tj. płeć, wiek, niepełnosprawność, rasę lub pochodzenie etniczne, wyznawaną religię lub światopogląd, orientację seksualną, miejsce zamieszkania) oraz </w:t>
            </w:r>
          </w:p>
          <w:p w14:paraId="4399BCC4" w14:textId="77777777" w:rsidR="001F7274" w:rsidRPr="00313820" w:rsidRDefault="001F7274" w:rsidP="00313820">
            <w:pPr>
              <w:pStyle w:val="Akapitzlist"/>
              <w:numPr>
                <w:ilvl w:val="0"/>
                <w:numId w:val="4"/>
              </w:numPr>
              <w:autoSpaceDE/>
              <w:spacing w:line="360" w:lineRule="auto"/>
              <w:ind w:left="454"/>
              <w:contextualSpacing/>
              <w:jc w:val="both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lang w:eastAsia="en-US"/>
              </w:rPr>
            </w:pPr>
            <w:r w:rsidRPr="00313820"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lang w:eastAsia="en-US"/>
              </w:rPr>
              <w:t>czy wszystkie produkty projektu (które nie zostały uznane za neutralne) będą dostępne dla wszystkich użytkowników w tym dla osób z niepełnosprawnościami.</w:t>
            </w:r>
          </w:p>
          <w:p w14:paraId="7BEB7A19" w14:textId="77777777" w:rsidR="001F7274" w:rsidRPr="00313820" w:rsidRDefault="001F7274" w:rsidP="00313820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szCs w:val="24"/>
                <w:lang w:eastAsia="en-US"/>
              </w:rPr>
            </w:pPr>
          </w:p>
          <w:p w14:paraId="13B81B8D" w14:textId="77777777" w:rsidR="001F7274" w:rsidRPr="00313820" w:rsidRDefault="001F7274" w:rsidP="00313820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szCs w:val="24"/>
              </w:rPr>
            </w:pPr>
            <w:r w:rsidRPr="00313820"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szCs w:val="24"/>
              </w:rPr>
              <w:t>Niedyskryminacja jest rozumiana jako faktyczne umożliwienie wszystkim osobom pełnego uczestnictwa w projekcie na jednakowych zasadach poprzez zaplanowanie:</w:t>
            </w:r>
          </w:p>
          <w:p w14:paraId="1905BD7A" w14:textId="77777777" w:rsidR="001F7274" w:rsidRPr="00313820" w:rsidRDefault="001F7274" w:rsidP="00313820">
            <w:pPr>
              <w:pStyle w:val="Akapitzlist"/>
              <w:numPr>
                <w:ilvl w:val="0"/>
                <w:numId w:val="5"/>
              </w:numPr>
              <w:autoSpaceDE/>
              <w:spacing w:line="360" w:lineRule="auto"/>
              <w:ind w:left="454"/>
              <w:contextualSpacing/>
              <w:jc w:val="both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lang w:eastAsia="en-US"/>
              </w:rPr>
            </w:pPr>
            <w:r w:rsidRPr="00313820"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lang w:eastAsia="en-US"/>
              </w:rPr>
              <w:t xml:space="preserve">odpowiednich działań (m.in. rekrutacyjnych, </w:t>
            </w:r>
            <w:r w:rsidRPr="00313820"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lang w:eastAsia="en-US"/>
              </w:rPr>
              <w:lastRenderedPageBreak/>
              <w:t xml:space="preserve">informacyjnych, promocyjnych, merytorycznych), które umożliwiają tym osobom faktyczną możliwość udziału w projekcie; </w:t>
            </w:r>
          </w:p>
          <w:p w14:paraId="6510D2C6" w14:textId="77777777" w:rsidR="00313820" w:rsidRPr="00313820" w:rsidRDefault="001F7274" w:rsidP="00313820">
            <w:pPr>
              <w:pStyle w:val="Akapitzlist"/>
              <w:numPr>
                <w:ilvl w:val="0"/>
                <w:numId w:val="5"/>
              </w:numPr>
              <w:autoSpaceDE/>
              <w:spacing w:line="360" w:lineRule="auto"/>
              <w:ind w:left="45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313820"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lang w:eastAsia="en-US"/>
              </w:rPr>
              <w:t xml:space="preserve">produktów projektu (np. strona internetowa, materiały promocyjne, platformy </w:t>
            </w:r>
            <w:r w:rsidR="00313820"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lang w:eastAsia="en-US"/>
              </w:rPr>
              <w:t> </w:t>
            </w:r>
          </w:p>
          <w:p w14:paraId="0C42AF37" w14:textId="5172D384" w:rsidR="001F7274" w:rsidRPr="00313820" w:rsidRDefault="00313820" w:rsidP="00313820">
            <w:pPr>
              <w:pStyle w:val="Akapitzlist"/>
              <w:autoSpaceDE/>
              <w:spacing w:line="360" w:lineRule="auto"/>
              <w:ind w:left="45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lang w:eastAsia="en-US"/>
              </w:rPr>
              <w:t xml:space="preserve"> </w:t>
            </w:r>
            <w:r w:rsidR="001F7274" w:rsidRPr="00313820"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lang w:eastAsia="en-US"/>
              </w:rPr>
              <w:t xml:space="preserve">e-learningowe, dokumenty elektroniczne, formularze rekrutacyjne) dostępnych dla osób z niepełnosprawnościami, tj. użytecznych w możliwie największym stopniu, bez potrzeby ich dodatkowej adaptacji. </w:t>
            </w:r>
          </w:p>
          <w:p w14:paraId="754885CD" w14:textId="77777777" w:rsidR="001F7274" w:rsidRPr="00313820" w:rsidRDefault="001F7274" w:rsidP="00313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</w:p>
          <w:p w14:paraId="7A420BD8" w14:textId="2ECC2804" w:rsidR="001F7274" w:rsidRPr="00313820" w:rsidRDefault="001F7274" w:rsidP="00313820">
            <w:pPr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</w:rPr>
              <w:t>Warunki</w:t>
            </w: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 będą weryfikowane w oparciu o standardy dostępności dla polityki spójności 2014-2020, stanowiące załącznik nr 2 do Wytycznych w zakresie realizacji zasady równości </w:t>
            </w: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szans i niedyskryminacji, w tym dostępności dla osób z niepełnosprawnościami oraz zasady równości szans kobiet i mężczyzn w ramach funduszy unijnych na lata 2014-2020 aktualnych na dzień przyjęcia kryterium. </w:t>
            </w:r>
          </w:p>
          <w:p w14:paraId="52CD5FC5" w14:textId="16A1ABE7" w:rsidR="001F7274" w:rsidRPr="00313820" w:rsidRDefault="001F7274" w:rsidP="0031382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szCs w:val="24"/>
              </w:rPr>
            </w:pPr>
            <w:r w:rsidRPr="00313820"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szCs w:val="24"/>
              </w:rPr>
              <w:t xml:space="preserve">Ponadto w przypadku podmiotów wymienionych w ustawie z 4 kwietnia 2019 r. </w:t>
            </w:r>
            <w:r w:rsidRPr="00313820">
              <w:rPr>
                <w:rFonts w:asciiTheme="minorHAnsi" w:eastAsia="Calibri" w:hAnsiTheme="minorHAnsi" w:cstheme="minorHAnsi"/>
                <w:i/>
                <w:iCs/>
                <w:color w:val="000000" w:themeColor="text1"/>
                <w:kern w:val="24"/>
                <w:sz w:val="24"/>
                <w:szCs w:val="24"/>
              </w:rPr>
              <w:t>o dostępności cyfrowej stron internetowych i aplikacji mobilnych podmiotów publicznych</w:t>
            </w:r>
            <w:r w:rsidRPr="00313820"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szCs w:val="24"/>
              </w:rPr>
              <w:t xml:space="preserve"> standard cyfrowy dot. dostępności stron internetowych i aplikacji mobilnych winien być zgodny z wytycznymi WCAG 2.1 określonymi w załączniku do ustawy.</w:t>
            </w:r>
          </w:p>
          <w:p w14:paraId="2BDFDD9D" w14:textId="3923347F" w:rsidR="001F7274" w:rsidRPr="00313820" w:rsidRDefault="001F7274" w:rsidP="00313820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kern w:val="24"/>
                <w:sz w:val="24"/>
                <w:szCs w:val="24"/>
              </w:rPr>
            </w:pPr>
            <w:r w:rsidRPr="00313820"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szCs w:val="24"/>
              </w:rPr>
              <w:t xml:space="preserve">Dopuszcza się, w uzasadnionych przypadkach, </w:t>
            </w: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</w:t>
            </w:r>
            <w:r w:rsidRPr="00313820"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szCs w:val="24"/>
              </w:rPr>
              <w:t>eutralność poszczególnych produktów projektu wobec zasady równości szans i niedyskryminacji, w tym</w:t>
            </w:r>
            <w:r w:rsidRPr="00313820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</w:rPr>
              <w:t xml:space="preserve"> dostępności dla osób z niepełnosprawnościami</w:t>
            </w:r>
            <w:r w:rsidRPr="00313820">
              <w:rPr>
                <w:rFonts w:asciiTheme="minorHAnsi" w:eastAsia="Calibri" w:hAnsiTheme="minorHAnsi" w:cstheme="minorHAnsi"/>
                <w:color w:val="000000" w:themeColor="text1"/>
                <w:kern w:val="24"/>
                <w:sz w:val="24"/>
                <w:szCs w:val="24"/>
              </w:rPr>
              <w:t>. W takim przypadku kryterium uznaje się za spełnione.</w:t>
            </w:r>
            <w:r w:rsidRPr="0031382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31382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 xml:space="preserve">Neutralność produktu jest sytuacją rzadką oraz wyjątkową, ponieważ obiorcą każdego z produktów projektu może być osoba z niepełnosprawnością. </w:t>
            </w:r>
            <w:r w:rsidRPr="00313820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</w:rPr>
              <w:t xml:space="preserve">Jeżeli jednak Wnioskodawca/Beneficjent uznaje, że produkty jego projektu mają neutralny wpływ na realizację tej zasady, wówczas musi zostać to udowodnione (wykazane)w treści wniosku o dofinansowanie projektu. Neutralność produktu musi wynikać wprost z zapisów wniosku o dofinansowanie projektu. </w:t>
            </w:r>
          </w:p>
          <w:p w14:paraId="464589BB" w14:textId="77777777" w:rsidR="001F7274" w:rsidRPr="00313820" w:rsidRDefault="001F7274" w:rsidP="003138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</w:rPr>
              <w:t>Kryterium zostanie zweryfikowane na podstawie zapisów zawartych w różnych częściach wniosku o dofinansowanie projektu (</w:t>
            </w:r>
            <w:r w:rsidRPr="00313820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np. opisu grupy docelowej, procesu rekrutacji, działań merytorycznych, budżetu)</w:t>
            </w:r>
            <w:r w:rsidRPr="00313820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</w:rPr>
              <w:t>.</w:t>
            </w:r>
          </w:p>
          <w:p w14:paraId="74C19F86" w14:textId="77777777" w:rsidR="001F7274" w:rsidRPr="00313820" w:rsidRDefault="001F7274" w:rsidP="0031382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kern w:val="2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Dopuszcza się możliwość poprawy/uzupełnienia wniosku o dofinansowanie w </w:t>
            </w: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zakresie skutkującym spełnieniem kryterium.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DAA8" w14:textId="77777777" w:rsidR="001F7274" w:rsidRPr="00313820" w:rsidRDefault="001F7274" w:rsidP="0031382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Opis znaczenia kryterium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25FE" w14:textId="77777777" w:rsidR="001F7274" w:rsidRPr="00313820" w:rsidRDefault="001F7274" w:rsidP="0031382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138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Tak/Nie</w:t>
            </w:r>
          </w:p>
          <w:p w14:paraId="17043547" w14:textId="311B1AB5" w:rsidR="001F7274" w:rsidRPr="00313820" w:rsidRDefault="001F7274" w:rsidP="0031382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2"/>
                <w:sz w:val="24"/>
                <w:szCs w:val="24"/>
              </w:rPr>
            </w:pP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Dopuszcza się możliwość </w:t>
            </w:r>
            <w:r w:rsidR="00AB3929"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dwukrotnej </w:t>
            </w: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poprawy/uzupełnienia wniosku o dofinansowanie w zakresie skutkującym spełnieniem kryterium. Niespełnienie </w:t>
            </w:r>
            <w:r w:rsidRPr="003138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kryterium po wezwaniu do uzupełnienia/ poprawy skutkuje odrzuceniem projektu</w:t>
            </w:r>
          </w:p>
        </w:tc>
      </w:tr>
    </w:tbl>
    <w:p w14:paraId="3B737BD0" w14:textId="615F186C" w:rsidR="00BF709B" w:rsidRDefault="00BF709B" w:rsidP="00375ACE"/>
    <w:sectPr w:rsidR="00BF709B" w:rsidSect="0046742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A97E" w14:textId="77777777" w:rsidR="00EA5603" w:rsidRDefault="00EA5603" w:rsidP="002A607C">
      <w:r>
        <w:separator/>
      </w:r>
    </w:p>
  </w:endnote>
  <w:endnote w:type="continuationSeparator" w:id="0">
    <w:p w14:paraId="4B8CBEA8" w14:textId="77777777" w:rsidR="00EA5603" w:rsidRDefault="00EA5603" w:rsidP="002A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8212"/>
      <w:docPartObj>
        <w:docPartGallery w:val="Page Numbers (Bottom of Page)"/>
        <w:docPartUnique/>
      </w:docPartObj>
    </w:sdtPr>
    <w:sdtEndPr/>
    <w:sdtContent>
      <w:p w14:paraId="1B26D263" w14:textId="77777777" w:rsidR="00CF66A2" w:rsidRDefault="00CF66A2">
        <w:pPr>
          <w:pStyle w:val="Stopka"/>
          <w:jc w:val="right"/>
        </w:pPr>
        <w:r w:rsidRPr="006E5046">
          <w:rPr>
            <w:rFonts w:ascii="Arial" w:hAnsi="Arial" w:cs="Arial"/>
            <w:sz w:val="18"/>
            <w:szCs w:val="18"/>
          </w:rPr>
          <w:fldChar w:fldCharType="begin"/>
        </w:r>
        <w:r w:rsidRPr="006E5046">
          <w:rPr>
            <w:rFonts w:ascii="Arial" w:hAnsi="Arial" w:cs="Arial"/>
            <w:sz w:val="18"/>
            <w:szCs w:val="18"/>
          </w:rPr>
          <w:instrText>PAGE   \* MERGEFORMAT</w:instrText>
        </w:r>
        <w:r w:rsidRPr="006E5046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149</w:t>
        </w:r>
        <w:r w:rsidRPr="006E504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61E20D" w14:textId="01B54564" w:rsidR="00CF66A2" w:rsidRDefault="00CF66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7339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BE6A760" w14:textId="77777777" w:rsidR="00CF66A2" w:rsidRPr="006E5046" w:rsidRDefault="00CF66A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E5046">
          <w:rPr>
            <w:rFonts w:ascii="Arial" w:hAnsi="Arial" w:cs="Arial"/>
            <w:sz w:val="18"/>
            <w:szCs w:val="18"/>
          </w:rPr>
          <w:fldChar w:fldCharType="begin"/>
        </w:r>
        <w:r w:rsidRPr="006E5046">
          <w:rPr>
            <w:rFonts w:ascii="Arial" w:hAnsi="Arial" w:cs="Arial"/>
            <w:sz w:val="18"/>
            <w:szCs w:val="18"/>
          </w:rPr>
          <w:instrText>PAGE   \* MERGEFORMAT</w:instrText>
        </w:r>
        <w:r w:rsidRPr="006E5046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130</w:t>
        </w:r>
        <w:r w:rsidRPr="006E504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AAFE7DE" w14:textId="77777777" w:rsidR="00CF66A2" w:rsidRDefault="00CF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9311" w14:textId="77777777" w:rsidR="00EA5603" w:rsidRDefault="00EA5603" w:rsidP="002A607C">
      <w:r>
        <w:separator/>
      </w:r>
    </w:p>
  </w:footnote>
  <w:footnote w:type="continuationSeparator" w:id="0">
    <w:p w14:paraId="0CE46A06" w14:textId="77777777" w:rsidR="00EA5603" w:rsidRDefault="00EA5603" w:rsidP="002A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A647" w14:textId="77777777" w:rsidR="00CF66A2" w:rsidRPr="00DC13F1" w:rsidRDefault="00CF66A2" w:rsidP="00467428">
    <w:pPr>
      <w:pStyle w:val="Nagwek"/>
      <w:rPr>
        <w:rFonts w:ascii="Arial" w:hAnsi="Arial" w:cs="Arial"/>
        <w:sz w:val="16"/>
        <w:szCs w:val="16"/>
      </w:rPr>
    </w:pPr>
  </w:p>
  <w:p w14:paraId="018ABC5A" w14:textId="58205917" w:rsidR="00CF66A2" w:rsidRPr="002A1C27" w:rsidRDefault="002A1C27" w:rsidP="002A1C27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2A1C27">
      <w:rPr>
        <w:rFonts w:asciiTheme="minorHAnsi" w:hAnsiTheme="minorHAnsi" w:cstheme="minorHAnsi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head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198B3276"/>
    <w:multiLevelType w:val="hybridMultilevel"/>
    <w:tmpl w:val="46D4993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3316"/>
    <w:multiLevelType w:val="hybridMultilevel"/>
    <w:tmpl w:val="27D807CA"/>
    <w:lvl w:ilvl="0" w:tplc="878C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46C3"/>
    <w:multiLevelType w:val="hybridMultilevel"/>
    <w:tmpl w:val="6CDA8A4C"/>
    <w:lvl w:ilvl="0" w:tplc="262CDC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186426C"/>
    <w:multiLevelType w:val="hybridMultilevel"/>
    <w:tmpl w:val="5E5EB43C"/>
    <w:lvl w:ilvl="0" w:tplc="EB060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4610"/>
    <w:multiLevelType w:val="hybridMultilevel"/>
    <w:tmpl w:val="1E4A6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70B59"/>
    <w:multiLevelType w:val="hybridMultilevel"/>
    <w:tmpl w:val="45D0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C0747"/>
    <w:multiLevelType w:val="hybridMultilevel"/>
    <w:tmpl w:val="F1F4CF80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A7D26"/>
    <w:multiLevelType w:val="hybridMultilevel"/>
    <w:tmpl w:val="DD9AF622"/>
    <w:lvl w:ilvl="0" w:tplc="6AE43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D55C4"/>
    <w:multiLevelType w:val="hybridMultilevel"/>
    <w:tmpl w:val="45D0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174E1"/>
    <w:multiLevelType w:val="hybridMultilevel"/>
    <w:tmpl w:val="03FC52B0"/>
    <w:lvl w:ilvl="0" w:tplc="5DF275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3356190"/>
    <w:multiLevelType w:val="hybridMultilevel"/>
    <w:tmpl w:val="4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F1CD4"/>
    <w:multiLevelType w:val="hybridMultilevel"/>
    <w:tmpl w:val="2E36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207C9"/>
    <w:multiLevelType w:val="hybridMultilevel"/>
    <w:tmpl w:val="C4AA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94FA7"/>
    <w:multiLevelType w:val="hybridMultilevel"/>
    <w:tmpl w:val="088C2E96"/>
    <w:lvl w:ilvl="0" w:tplc="4B1E0ABC">
      <w:start w:val="1"/>
      <w:numFmt w:val="decimal"/>
      <w:lvlText w:val="%1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3259F"/>
    <w:multiLevelType w:val="hybridMultilevel"/>
    <w:tmpl w:val="3788D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5BB8"/>
    <w:multiLevelType w:val="hybridMultilevel"/>
    <w:tmpl w:val="35740130"/>
    <w:lvl w:ilvl="0" w:tplc="E1507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E47E9"/>
    <w:multiLevelType w:val="hybridMultilevel"/>
    <w:tmpl w:val="FD24EC9E"/>
    <w:lvl w:ilvl="0" w:tplc="878C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306956">
    <w:abstractNumId w:val="0"/>
  </w:num>
  <w:num w:numId="2" w16cid:durableId="681316862">
    <w:abstractNumId w:val="12"/>
  </w:num>
  <w:num w:numId="3" w16cid:durableId="2052612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4509138">
    <w:abstractNumId w:val="2"/>
  </w:num>
  <w:num w:numId="5" w16cid:durableId="1665620497">
    <w:abstractNumId w:val="18"/>
  </w:num>
  <w:num w:numId="6" w16cid:durableId="1728528487">
    <w:abstractNumId w:val="14"/>
  </w:num>
  <w:num w:numId="7" w16cid:durableId="1443921347">
    <w:abstractNumId w:val="5"/>
  </w:num>
  <w:num w:numId="8" w16cid:durableId="1720200339">
    <w:abstractNumId w:val="9"/>
  </w:num>
  <w:num w:numId="9" w16cid:durableId="1867674491">
    <w:abstractNumId w:val="16"/>
  </w:num>
  <w:num w:numId="10" w16cid:durableId="2119327425">
    <w:abstractNumId w:val="13"/>
  </w:num>
  <w:num w:numId="11" w16cid:durableId="1718313680">
    <w:abstractNumId w:val="10"/>
  </w:num>
  <w:num w:numId="12" w16cid:durableId="560823936">
    <w:abstractNumId w:val="6"/>
  </w:num>
  <w:num w:numId="13" w16cid:durableId="1873373898">
    <w:abstractNumId w:val="17"/>
  </w:num>
  <w:num w:numId="14" w16cid:durableId="1921676434">
    <w:abstractNumId w:val="4"/>
  </w:num>
  <w:num w:numId="15" w16cid:durableId="427195764">
    <w:abstractNumId w:val="1"/>
  </w:num>
  <w:num w:numId="16" w16cid:durableId="1678382791">
    <w:abstractNumId w:val="3"/>
  </w:num>
  <w:num w:numId="17" w16cid:durableId="500587808">
    <w:abstractNumId w:val="11"/>
  </w:num>
  <w:num w:numId="18" w16cid:durableId="1595894880">
    <w:abstractNumId w:val="7"/>
  </w:num>
  <w:num w:numId="19" w16cid:durableId="1275601920">
    <w:abstractNumId w:val="8"/>
  </w:num>
  <w:num w:numId="20" w16cid:durableId="80126643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7C"/>
    <w:rsid w:val="00014B5C"/>
    <w:rsid w:val="0001548A"/>
    <w:rsid w:val="0003125F"/>
    <w:rsid w:val="000350B3"/>
    <w:rsid w:val="00037602"/>
    <w:rsid w:val="000419A6"/>
    <w:rsid w:val="0004621C"/>
    <w:rsid w:val="00054D44"/>
    <w:rsid w:val="00067913"/>
    <w:rsid w:val="00073041"/>
    <w:rsid w:val="00083B15"/>
    <w:rsid w:val="0009191C"/>
    <w:rsid w:val="000B1710"/>
    <w:rsid w:val="000B536F"/>
    <w:rsid w:val="000C059A"/>
    <w:rsid w:val="000D0D18"/>
    <w:rsid w:val="000D1840"/>
    <w:rsid w:val="000E17E1"/>
    <w:rsid w:val="000F15E2"/>
    <w:rsid w:val="00101FA3"/>
    <w:rsid w:val="00104E5D"/>
    <w:rsid w:val="00105B2D"/>
    <w:rsid w:val="00114E55"/>
    <w:rsid w:val="0012074F"/>
    <w:rsid w:val="001457E1"/>
    <w:rsid w:val="00156D2C"/>
    <w:rsid w:val="00162B6A"/>
    <w:rsid w:val="00172A4D"/>
    <w:rsid w:val="001751C7"/>
    <w:rsid w:val="00183673"/>
    <w:rsid w:val="00184AF5"/>
    <w:rsid w:val="0018790E"/>
    <w:rsid w:val="00190CAF"/>
    <w:rsid w:val="00197E51"/>
    <w:rsid w:val="001A2D94"/>
    <w:rsid w:val="001A44DA"/>
    <w:rsid w:val="001A4929"/>
    <w:rsid w:val="001B0F8E"/>
    <w:rsid w:val="001D01CE"/>
    <w:rsid w:val="001E5D71"/>
    <w:rsid w:val="001F0AE7"/>
    <w:rsid w:val="001F1E5D"/>
    <w:rsid w:val="001F3E14"/>
    <w:rsid w:val="001F7274"/>
    <w:rsid w:val="00220EB5"/>
    <w:rsid w:val="00223BE6"/>
    <w:rsid w:val="002252D8"/>
    <w:rsid w:val="002341F6"/>
    <w:rsid w:val="00234EAA"/>
    <w:rsid w:val="002465F0"/>
    <w:rsid w:val="00263FBA"/>
    <w:rsid w:val="00276EB4"/>
    <w:rsid w:val="0028591B"/>
    <w:rsid w:val="00297BB1"/>
    <w:rsid w:val="002A1C27"/>
    <w:rsid w:val="002A3361"/>
    <w:rsid w:val="002A607C"/>
    <w:rsid w:val="002B168C"/>
    <w:rsid w:val="002C3FBD"/>
    <w:rsid w:val="002C5F07"/>
    <w:rsid w:val="002C6DE6"/>
    <w:rsid w:val="002D1326"/>
    <w:rsid w:val="002E2C53"/>
    <w:rsid w:val="002E45E5"/>
    <w:rsid w:val="002E4FA3"/>
    <w:rsid w:val="002E5C51"/>
    <w:rsid w:val="002F784E"/>
    <w:rsid w:val="00301D75"/>
    <w:rsid w:val="00304411"/>
    <w:rsid w:val="00313820"/>
    <w:rsid w:val="00317190"/>
    <w:rsid w:val="003225D9"/>
    <w:rsid w:val="00323867"/>
    <w:rsid w:val="003310B4"/>
    <w:rsid w:val="00333739"/>
    <w:rsid w:val="00344CB4"/>
    <w:rsid w:val="00345D2F"/>
    <w:rsid w:val="00352286"/>
    <w:rsid w:val="003574CF"/>
    <w:rsid w:val="00362C6E"/>
    <w:rsid w:val="00375ACE"/>
    <w:rsid w:val="003A4FF0"/>
    <w:rsid w:val="003B5BB9"/>
    <w:rsid w:val="003D44B3"/>
    <w:rsid w:val="003D759C"/>
    <w:rsid w:val="003E1D1A"/>
    <w:rsid w:val="003E384E"/>
    <w:rsid w:val="003E42A6"/>
    <w:rsid w:val="003F082B"/>
    <w:rsid w:val="004111F6"/>
    <w:rsid w:val="004129BC"/>
    <w:rsid w:val="0041600F"/>
    <w:rsid w:val="00425500"/>
    <w:rsid w:val="00425AD3"/>
    <w:rsid w:val="004267BB"/>
    <w:rsid w:val="0045066A"/>
    <w:rsid w:val="004512F5"/>
    <w:rsid w:val="0045772B"/>
    <w:rsid w:val="00467428"/>
    <w:rsid w:val="00471CA3"/>
    <w:rsid w:val="0047220D"/>
    <w:rsid w:val="004740A6"/>
    <w:rsid w:val="00474463"/>
    <w:rsid w:val="004759A2"/>
    <w:rsid w:val="00477882"/>
    <w:rsid w:val="00482FFB"/>
    <w:rsid w:val="004936ED"/>
    <w:rsid w:val="00495606"/>
    <w:rsid w:val="004960EC"/>
    <w:rsid w:val="00497700"/>
    <w:rsid w:val="004A250E"/>
    <w:rsid w:val="004A2AB3"/>
    <w:rsid w:val="004A4249"/>
    <w:rsid w:val="004A4C22"/>
    <w:rsid w:val="004D5950"/>
    <w:rsid w:val="004D79BC"/>
    <w:rsid w:val="004E4C91"/>
    <w:rsid w:val="004E6C66"/>
    <w:rsid w:val="004F48AB"/>
    <w:rsid w:val="004F6E33"/>
    <w:rsid w:val="005014E1"/>
    <w:rsid w:val="00501ED6"/>
    <w:rsid w:val="00514DAB"/>
    <w:rsid w:val="0054063A"/>
    <w:rsid w:val="00550782"/>
    <w:rsid w:val="00556969"/>
    <w:rsid w:val="00557337"/>
    <w:rsid w:val="005608D4"/>
    <w:rsid w:val="00560F99"/>
    <w:rsid w:val="0059305A"/>
    <w:rsid w:val="00597BA0"/>
    <w:rsid w:val="005B42DD"/>
    <w:rsid w:val="005B4C82"/>
    <w:rsid w:val="005B7ECE"/>
    <w:rsid w:val="005C4CED"/>
    <w:rsid w:val="005F4C0D"/>
    <w:rsid w:val="005F6E08"/>
    <w:rsid w:val="0060307F"/>
    <w:rsid w:val="0062275D"/>
    <w:rsid w:val="00637876"/>
    <w:rsid w:val="00640425"/>
    <w:rsid w:val="006862ED"/>
    <w:rsid w:val="00691044"/>
    <w:rsid w:val="00691422"/>
    <w:rsid w:val="006A07BE"/>
    <w:rsid w:val="006A3EF0"/>
    <w:rsid w:val="006A5758"/>
    <w:rsid w:val="006B4905"/>
    <w:rsid w:val="006C1527"/>
    <w:rsid w:val="006C54E4"/>
    <w:rsid w:val="006C71CD"/>
    <w:rsid w:val="006D39A2"/>
    <w:rsid w:val="006E1CDC"/>
    <w:rsid w:val="006E3111"/>
    <w:rsid w:val="006E381E"/>
    <w:rsid w:val="006E4F90"/>
    <w:rsid w:val="006E5046"/>
    <w:rsid w:val="006F3103"/>
    <w:rsid w:val="006F600E"/>
    <w:rsid w:val="006F7FAF"/>
    <w:rsid w:val="00720B32"/>
    <w:rsid w:val="007337B5"/>
    <w:rsid w:val="00734D0B"/>
    <w:rsid w:val="0073531E"/>
    <w:rsid w:val="00742351"/>
    <w:rsid w:val="00744835"/>
    <w:rsid w:val="0074518D"/>
    <w:rsid w:val="00745284"/>
    <w:rsid w:val="00751230"/>
    <w:rsid w:val="0076046D"/>
    <w:rsid w:val="0076373B"/>
    <w:rsid w:val="007864A0"/>
    <w:rsid w:val="00791FDD"/>
    <w:rsid w:val="00797D5E"/>
    <w:rsid w:val="007A7F2F"/>
    <w:rsid w:val="007C4084"/>
    <w:rsid w:val="007C7AAC"/>
    <w:rsid w:val="007D376F"/>
    <w:rsid w:val="007D38FD"/>
    <w:rsid w:val="007D5C00"/>
    <w:rsid w:val="007D78CD"/>
    <w:rsid w:val="007E5B4F"/>
    <w:rsid w:val="007F0EC1"/>
    <w:rsid w:val="00801032"/>
    <w:rsid w:val="00812EAA"/>
    <w:rsid w:val="00821AC3"/>
    <w:rsid w:val="00844B78"/>
    <w:rsid w:val="00845909"/>
    <w:rsid w:val="00847DBF"/>
    <w:rsid w:val="00854491"/>
    <w:rsid w:val="008608F0"/>
    <w:rsid w:val="00895C58"/>
    <w:rsid w:val="008964C3"/>
    <w:rsid w:val="008A0BC4"/>
    <w:rsid w:val="008A2491"/>
    <w:rsid w:val="008A31DB"/>
    <w:rsid w:val="008A70D0"/>
    <w:rsid w:val="008B4E8E"/>
    <w:rsid w:val="008B5D1D"/>
    <w:rsid w:val="008C3002"/>
    <w:rsid w:val="008E4B93"/>
    <w:rsid w:val="008E592F"/>
    <w:rsid w:val="008F1439"/>
    <w:rsid w:val="008F180C"/>
    <w:rsid w:val="008F3EBE"/>
    <w:rsid w:val="00905C73"/>
    <w:rsid w:val="0091737A"/>
    <w:rsid w:val="0091798D"/>
    <w:rsid w:val="00921C35"/>
    <w:rsid w:val="00921F71"/>
    <w:rsid w:val="0093426A"/>
    <w:rsid w:val="009500EE"/>
    <w:rsid w:val="00970D8A"/>
    <w:rsid w:val="0098383C"/>
    <w:rsid w:val="00984915"/>
    <w:rsid w:val="009953B7"/>
    <w:rsid w:val="00996ECC"/>
    <w:rsid w:val="009A53F2"/>
    <w:rsid w:val="009A7136"/>
    <w:rsid w:val="009B17C0"/>
    <w:rsid w:val="009B359B"/>
    <w:rsid w:val="009B6875"/>
    <w:rsid w:val="009C10CD"/>
    <w:rsid w:val="009C170C"/>
    <w:rsid w:val="009C3E10"/>
    <w:rsid w:val="009D12CA"/>
    <w:rsid w:val="009D1CE6"/>
    <w:rsid w:val="009E0C66"/>
    <w:rsid w:val="009E729D"/>
    <w:rsid w:val="009F39D6"/>
    <w:rsid w:val="009F7F4C"/>
    <w:rsid w:val="009F7F59"/>
    <w:rsid w:val="00A07010"/>
    <w:rsid w:val="00A16439"/>
    <w:rsid w:val="00A16746"/>
    <w:rsid w:val="00A16798"/>
    <w:rsid w:val="00A21A6F"/>
    <w:rsid w:val="00A2234E"/>
    <w:rsid w:val="00A37A99"/>
    <w:rsid w:val="00A37B65"/>
    <w:rsid w:val="00A424EC"/>
    <w:rsid w:val="00A42C96"/>
    <w:rsid w:val="00A5339B"/>
    <w:rsid w:val="00A53DC0"/>
    <w:rsid w:val="00A57ADC"/>
    <w:rsid w:val="00A7180B"/>
    <w:rsid w:val="00A732DD"/>
    <w:rsid w:val="00A749B6"/>
    <w:rsid w:val="00A83693"/>
    <w:rsid w:val="00A906F3"/>
    <w:rsid w:val="00A95824"/>
    <w:rsid w:val="00AA65B7"/>
    <w:rsid w:val="00AB1732"/>
    <w:rsid w:val="00AB2F42"/>
    <w:rsid w:val="00AB3929"/>
    <w:rsid w:val="00AD1AC0"/>
    <w:rsid w:val="00AE7B69"/>
    <w:rsid w:val="00B12350"/>
    <w:rsid w:val="00B16A5C"/>
    <w:rsid w:val="00B178E2"/>
    <w:rsid w:val="00B308F0"/>
    <w:rsid w:val="00B34F23"/>
    <w:rsid w:val="00B352F5"/>
    <w:rsid w:val="00B43B08"/>
    <w:rsid w:val="00B44418"/>
    <w:rsid w:val="00B51CC1"/>
    <w:rsid w:val="00B65538"/>
    <w:rsid w:val="00B75200"/>
    <w:rsid w:val="00B81526"/>
    <w:rsid w:val="00B81E2C"/>
    <w:rsid w:val="00B826D1"/>
    <w:rsid w:val="00B867C0"/>
    <w:rsid w:val="00B873A4"/>
    <w:rsid w:val="00B912E0"/>
    <w:rsid w:val="00BA2AC6"/>
    <w:rsid w:val="00BA74BE"/>
    <w:rsid w:val="00BC0309"/>
    <w:rsid w:val="00BD1C83"/>
    <w:rsid w:val="00BD1E5A"/>
    <w:rsid w:val="00BD5027"/>
    <w:rsid w:val="00BE230F"/>
    <w:rsid w:val="00BF504A"/>
    <w:rsid w:val="00BF709B"/>
    <w:rsid w:val="00C00EA6"/>
    <w:rsid w:val="00C01A2A"/>
    <w:rsid w:val="00C153BE"/>
    <w:rsid w:val="00C15CBC"/>
    <w:rsid w:val="00C44E06"/>
    <w:rsid w:val="00C475FD"/>
    <w:rsid w:val="00C5520E"/>
    <w:rsid w:val="00C614BC"/>
    <w:rsid w:val="00C61DB0"/>
    <w:rsid w:val="00C632AB"/>
    <w:rsid w:val="00C86E46"/>
    <w:rsid w:val="00C87F99"/>
    <w:rsid w:val="00C941FC"/>
    <w:rsid w:val="00CA2FDF"/>
    <w:rsid w:val="00CA3AEA"/>
    <w:rsid w:val="00CB1BE2"/>
    <w:rsid w:val="00CC0E90"/>
    <w:rsid w:val="00CC21D7"/>
    <w:rsid w:val="00CE0888"/>
    <w:rsid w:val="00CE50CE"/>
    <w:rsid w:val="00CE6D44"/>
    <w:rsid w:val="00CF2822"/>
    <w:rsid w:val="00CF3D9D"/>
    <w:rsid w:val="00CF66A2"/>
    <w:rsid w:val="00D0282A"/>
    <w:rsid w:val="00D06A19"/>
    <w:rsid w:val="00D07C24"/>
    <w:rsid w:val="00D1033F"/>
    <w:rsid w:val="00D104D6"/>
    <w:rsid w:val="00D14FA4"/>
    <w:rsid w:val="00D2128A"/>
    <w:rsid w:val="00D215BC"/>
    <w:rsid w:val="00D45ADE"/>
    <w:rsid w:val="00D5501B"/>
    <w:rsid w:val="00D624DD"/>
    <w:rsid w:val="00D67ECF"/>
    <w:rsid w:val="00D74F1C"/>
    <w:rsid w:val="00D7512D"/>
    <w:rsid w:val="00D75C2C"/>
    <w:rsid w:val="00D76A6F"/>
    <w:rsid w:val="00D771B8"/>
    <w:rsid w:val="00D84789"/>
    <w:rsid w:val="00D914D8"/>
    <w:rsid w:val="00D944CD"/>
    <w:rsid w:val="00D9630A"/>
    <w:rsid w:val="00DA214B"/>
    <w:rsid w:val="00DD14CF"/>
    <w:rsid w:val="00DD3E06"/>
    <w:rsid w:val="00DD6217"/>
    <w:rsid w:val="00DE2B4D"/>
    <w:rsid w:val="00DF4682"/>
    <w:rsid w:val="00E0201E"/>
    <w:rsid w:val="00E02A47"/>
    <w:rsid w:val="00E03F21"/>
    <w:rsid w:val="00E04EB1"/>
    <w:rsid w:val="00E12302"/>
    <w:rsid w:val="00E20868"/>
    <w:rsid w:val="00E26934"/>
    <w:rsid w:val="00E301C7"/>
    <w:rsid w:val="00E33C8D"/>
    <w:rsid w:val="00E43E9F"/>
    <w:rsid w:val="00E443F3"/>
    <w:rsid w:val="00E52537"/>
    <w:rsid w:val="00E66D0B"/>
    <w:rsid w:val="00E71E05"/>
    <w:rsid w:val="00E7753B"/>
    <w:rsid w:val="00E950FA"/>
    <w:rsid w:val="00E95C07"/>
    <w:rsid w:val="00EA15B4"/>
    <w:rsid w:val="00EA5603"/>
    <w:rsid w:val="00EB12EF"/>
    <w:rsid w:val="00EE4664"/>
    <w:rsid w:val="00EF5138"/>
    <w:rsid w:val="00F00EB7"/>
    <w:rsid w:val="00F01C3F"/>
    <w:rsid w:val="00F021CF"/>
    <w:rsid w:val="00F04784"/>
    <w:rsid w:val="00F12D86"/>
    <w:rsid w:val="00F14A4A"/>
    <w:rsid w:val="00F2690D"/>
    <w:rsid w:val="00F35A21"/>
    <w:rsid w:val="00F41EC7"/>
    <w:rsid w:val="00F47AB1"/>
    <w:rsid w:val="00F54ADD"/>
    <w:rsid w:val="00F55043"/>
    <w:rsid w:val="00F645E6"/>
    <w:rsid w:val="00F74DF7"/>
    <w:rsid w:val="00F7599B"/>
    <w:rsid w:val="00F810E4"/>
    <w:rsid w:val="00FA3FF3"/>
    <w:rsid w:val="00FB724E"/>
    <w:rsid w:val="00FC42F6"/>
    <w:rsid w:val="00FC469D"/>
    <w:rsid w:val="00FD27D5"/>
    <w:rsid w:val="00FF1E82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3C8B2"/>
  <w15:chartTrackingRefBased/>
  <w15:docId w15:val="{222E50BC-9615-4588-814C-A72E840C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0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4EB1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04EB1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qFormat/>
    <w:rsid w:val="00E04EB1"/>
    <w:pPr>
      <w:spacing w:before="240" w:line="360" w:lineRule="auto"/>
      <w:ind w:left="1983" w:hanging="708"/>
      <w:jc w:val="both"/>
      <w:outlineLvl w:val="2"/>
    </w:pPr>
    <w:rPr>
      <w:rFonts w:ascii="Calibri" w:hAnsi="Calibri"/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2A607C"/>
    <w:pPr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A607C"/>
    <w:pPr>
      <w:spacing w:before="240" w:after="60"/>
      <w:ind w:left="3399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qFormat/>
    <w:rsid w:val="002A607C"/>
    <w:pPr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2A607C"/>
    <w:pPr>
      <w:spacing w:before="240" w:after="60"/>
      <w:ind w:left="4815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2A607C"/>
    <w:pPr>
      <w:spacing w:before="240" w:after="60"/>
      <w:ind w:left="5523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link w:val="Nagwek9Znak"/>
    <w:qFormat/>
    <w:rsid w:val="002A607C"/>
    <w:pPr>
      <w:spacing w:before="240" w:after="60"/>
      <w:ind w:left="6231" w:hanging="708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4EB1"/>
    <w:rPr>
      <w:rFonts w:asciiTheme="majorHAnsi" w:eastAsiaTheme="majorEastAsia" w:hAnsiTheme="majorHAnsi" w:cstheme="majorBidi"/>
      <w:b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4EB1"/>
    <w:rPr>
      <w:rFonts w:asciiTheme="majorHAnsi" w:eastAsiaTheme="majorEastAsia" w:hAnsiTheme="majorHAnsi" w:cstheme="majorBidi"/>
      <w:b/>
      <w:sz w:val="32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E04EB1"/>
    <w:rPr>
      <w:rFonts w:ascii="Calibri" w:eastAsia="Times New Roman" w:hAnsi="Calibri" w:cs="Times New Roman"/>
      <w:b/>
      <w:sz w:val="24"/>
      <w:szCs w:val="20"/>
      <w:lang w:eastAsia="pl-PL"/>
    </w:rPr>
  </w:style>
  <w:style w:type="paragraph" w:styleId="Wcicienormalne">
    <w:name w:val="Normal Indent"/>
    <w:basedOn w:val="Normalny"/>
    <w:semiHidden/>
    <w:unhideWhenUsed/>
    <w:rsid w:val="002A607C"/>
    <w:pPr>
      <w:spacing w:after="160" w:line="259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2A60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A607C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A60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A607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A607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A607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Spistreci2">
    <w:name w:val="toc 2"/>
    <w:basedOn w:val="Normalny"/>
    <w:next w:val="Normalny"/>
    <w:uiPriority w:val="39"/>
    <w:rsid w:val="002A607C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character" w:styleId="Hipercze">
    <w:name w:val="Hyperlink"/>
    <w:basedOn w:val="Domylnaczcionkaakapitu"/>
    <w:uiPriority w:val="99"/>
    <w:unhideWhenUsed/>
    <w:rsid w:val="002A607C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A607C"/>
    <w:pPr>
      <w:spacing w:before="480" w:line="276" w:lineRule="auto"/>
      <w:outlineLvl w:val="9"/>
    </w:pPr>
    <w:rPr>
      <w:rFonts w:ascii="Calibri Light" w:eastAsia="Times New Roman" w:hAnsi="Calibri Light" w:cs="Times New Roman"/>
      <w:b w:val="0"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A6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07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07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"/>
    <w:basedOn w:val="Normalny"/>
    <w:link w:val="AkapitzlistZnak"/>
    <w:uiPriority w:val="34"/>
    <w:qFormat/>
    <w:rsid w:val="002A607C"/>
    <w:pPr>
      <w:autoSpaceDE w:val="0"/>
      <w:autoSpaceDN w:val="0"/>
      <w:ind w:left="708"/>
    </w:pPr>
    <w:rPr>
      <w:sz w:val="20"/>
      <w:szCs w:val="24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"/>
    <w:link w:val="Akapitzlist"/>
    <w:uiPriority w:val="34"/>
    <w:qFormat/>
    <w:rsid w:val="002A607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2A60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2A6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07C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0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7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7C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607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A607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2A607C"/>
    <w:pPr>
      <w:ind w:left="567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60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head4">
    <w:name w:val="head 4"/>
    <w:basedOn w:val="Nagwek4"/>
    <w:rsid w:val="003D759C"/>
    <w:pPr>
      <w:numPr>
        <w:ilvl w:val="3"/>
        <w:numId w:val="1"/>
      </w:numPr>
      <w:ind w:firstLine="0"/>
      <w:outlineLvl w:val="9"/>
    </w:pPr>
  </w:style>
  <w:style w:type="paragraph" w:customStyle="1" w:styleId="head4pt">
    <w:name w:val="head 4 pt"/>
    <w:basedOn w:val="head4"/>
    <w:rsid w:val="003D759C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3D759C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rsid w:val="003D759C"/>
    <w:pPr>
      <w:ind w:left="1418" w:firstLine="567"/>
      <w:outlineLvl w:val="9"/>
    </w:pPr>
  </w:style>
  <w:style w:type="paragraph" w:customStyle="1" w:styleId="Tekstpodstawowy21">
    <w:name w:val="Tekst podstawowy 21"/>
    <w:basedOn w:val="Normalny"/>
    <w:rsid w:val="003D759C"/>
    <w:pPr>
      <w:spacing w:after="120"/>
      <w:ind w:left="1276"/>
    </w:pPr>
  </w:style>
  <w:style w:type="paragraph" w:customStyle="1" w:styleId="Tekstpodstawowywcity21">
    <w:name w:val="Tekst podstawowy wcięty 21"/>
    <w:basedOn w:val="Normalny"/>
    <w:rsid w:val="003D759C"/>
    <w:pPr>
      <w:ind w:left="567"/>
    </w:pPr>
  </w:style>
  <w:style w:type="paragraph" w:styleId="Tekstpodstawowywcity2">
    <w:name w:val="Body Text Indent 2"/>
    <w:basedOn w:val="Normalny"/>
    <w:link w:val="Tekstpodstawowywcity2Znak"/>
    <w:semiHidden/>
    <w:rsid w:val="003D759C"/>
    <w:pPr>
      <w:spacing w:after="120"/>
      <w:ind w:left="1276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D759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D759C"/>
    <w:pPr>
      <w:spacing w:after="120" w:line="360" w:lineRule="auto"/>
      <w:ind w:left="567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D75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D759C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759C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3D759C"/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3D7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3D759C"/>
    <w:rPr>
      <w:vertAlign w:val="superscript"/>
    </w:rPr>
  </w:style>
  <w:style w:type="paragraph" w:styleId="Poprawka">
    <w:name w:val="Revision"/>
    <w:hidden/>
    <w:uiPriority w:val="99"/>
    <w:semiHidden/>
    <w:rsid w:val="003D759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5AD3"/>
    <w:rPr>
      <w:rFonts w:ascii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5AD3"/>
    <w:rPr>
      <w:rFonts w:ascii="Calibri" w:eastAsiaTheme="minorHAns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425AD3"/>
    <w:pPr>
      <w:numPr>
        <w:numId w:val="2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25AD3"/>
    <w:rPr>
      <w:rFonts w:ascii="Tahoma" w:eastAsia="Times New Roman" w:hAnsi="Tahoma" w:cs="Tahoma"/>
      <w:b/>
      <w:bCs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5A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5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F709B"/>
    <w:pPr>
      <w:tabs>
        <w:tab w:val="right" w:leader="dot" w:pos="9912"/>
      </w:tabs>
      <w:spacing w:after="100"/>
    </w:pPr>
    <w:rPr>
      <w:b/>
      <w:bCs/>
      <w:noProof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64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01D75"/>
    <w:rPr>
      <w:color w:val="954F72" w:themeColor="followed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8964C3"/>
  </w:style>
  <w:style w:type="character" w:customStyle="1" w:styleId="Zakotwiczenieprzypisudolnego">
    <w:name w:val="Zakotwiczenie przypisu dolnego"/>
    <w:rsid w:val="00F2690D"/>
    <w:rPr>
      <w:vertAlign w:val="superscript"/>
    </w:rPr>
  </w:style>
  <w:style w:type="character" w:customStyle="1" w:styleId="FootnoteCharacters">
    <w:name w:val="Footnote Characters"/>
    <w:qFormat/>
    <w:rsid w:val="00F2690D"/>
    <w:rPr>
      <w:vertAlign w:val="superscript"/>
    </w:rPr>
  </w:style>
  <w:style w:type="character" w:customStyle="1" w:styleId="Znakiprzypiswdolnych">
    <w:name w:val="Znaki przypisów dolnych"/>
    <w:qFormat/>
    <w:rsid w:val="00F2690D"/>
  </w:style>
  <w:style w:type="paragraph" w:styleId="Spistreci3">
    <w:name w:val="toc 3"/>
    <w:basedOn w:val="Normalny"/>
    <w:next w:val="Normalny"/>
    <w:autoRedefine/>
    <w:uiPriority w:val="39"/>
    <w:unhideWhenUsed/>
    <w:rsid w:val="00B81E2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E02A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027D-62A8-4B36-A96D-7526814F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2449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Jolanta Kosarzycka</cp:lastModifiedBy>
  <cp:revision>5</cp:revision>
  <cp:lastPrinted>2022-11-09T07:23:00Z</cp:lastPrinted>
  <dcterms:created xsi:type="dcterms:W3CDTF">2022-10-28T12:39:00Z</dcterms:created>
  <dcterms:modified xsi:type="dcterms:W3CDTF">2022-11-09T07:38:00Z</dcterms:modified>
</cp:coreProperties>
</file>