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30AAA043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4273BC">
        <w:rPr>
          <w:sz w:val="20"/>
        </w:rPr>
        <w:t>25 października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lastRenderedPageBreak/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lastRenderedPageBreak/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 xml:space="preserve">li w ramach naboru przewiduje się zastosowanie stawki ryczałtowej dla wybranych kategorii kosztów, to są one kwalifikowalne wyłącznie w ramach tej stawki. Oznacza to, że nie ma możliwości </w:t>
      </w:r>
      <w:r w:rsidRPr="003B200E">
        <w:rPr>
          <w:b/>
        </w:rPr>
        <w:lastRenderedPageBreak/>
        <w:t>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273BC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10648</Words>
  <Characters>63891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2022-03-22T10:12:00Z</cp:lastPrinted>
  <dcterms:created xsi:type="dcterms:W3CDTF">2022-10-17T09:10:00Z</dcterms:created>
  <dcterms:modified xsi:type="dcterms:W3CDTF">2022-10-25T11:20:00Z</dcterms:modified>
</cp:coreProperties>
</file>