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C311" w14:textId="6E3FE06B" w:rsidR="009D3C56" w:rsidRPr="00896429" w:rsidRDefault="009D3C56" w:rsidP="007650AC">
      <w:pPr>
        <w:autoSpaceDE w:val="0"/>
        <w:autoSpaceDN w:val="0"/>
        <w:adjustRightInd w:val="0"/>
        <w:spacing w:line="240" w:lineRule="auto"/>
        <w:jc w:val="center"/>
        <w:rPr>
          <w:rFonts w:ascii="Calibri" w:hAnsi="Calibri" w:cs="Calibri"/>
          <w:b/>
          <w:sz w:val="24"/>
          <w:szCs w:val="24"/>
        </w:rPr>
      </w:pPr>
      <w:bookmarkStart w:id="0" w:name="_Toc426632922"/>
      <w:bookmarkStart w:id="1" w:name="_Toc430826826"/>
      <w:bookmarkStart w:id="2" w:name="_Toc432758974"/>
      <w:r w:rsidRPr="00AC0FA1">
        <w:rPr>
          <w:rFonts w:ascii="Calibri" w:hAnsi="Calibri" w:cs="Calibri"/>
          <w:b/>
          <w:sz w:val="24"/>
          <w:szCs w:val="24"/>
        </w:rPr>
        <w:t xml:space="preserve">Lista wskaźników na poziomie projektu dla </w:t>
      </w:r>
      <w:r w:rsidR="00AC0FA1" w:rsidRPr="00AC0FA1">
        <w:rPr>
          <w:rFonts w:ascii="Calibri" w:hAnsi="Calibri" w:cs="Calibri"/>
          <w:b/>
          <w:sz w:val="24"/>
          <w:szCs w:val="24"/>
        </w:rPr>
        <w:t>Działania</w:t>
      </w:r>
      <w:r w:rsidRPr="00AC0FA1">
        <w:rPr>
          <w:rFonts w:ascii="Calibri" w:hAnsi="Calibri" w:cs="Calibri"/>
          <w:b/>
          <w:sz w:val="24"/>
          <w:szCs w:val="24"/>
        </w:rPr>
        <w:t xml:space="preserve"> </w:t>
      </w:r>
      <w:r w:rsidR="006179F0">
        <w:rPr>
          <w:rFonts w:ascii="Calibri" w:hAnsi="Calibri" w:cs="Calibri"/>
          <w:b/>
          <w:sz w:val="24"/>
          <w:szCs w:val="24"/>
        </w:rPr>
        <w:t xml:space="preserve">12.1 </w:t>
      </w:r>
      <w:r w:rsidR="006179F0" w:rsidRPr="00896429">
        <w:rPr>
          <w:rFonts w:ascii="Calibri" w:hAnsi="Calibri" w:cs="Calibri"/>
          <w:b/>
          <w:sz w:val="24"/>
          <w:szCs w:val="24"/>
        </w:rPr>
        <w:t>Zwiększenie jakości i dostępności usług zdrowotnych w walce z pandemią COVID-19</w:t>
      </w:r>
    </w:p>
    <w:p w14:paraId="4DCA312D" w14:textId="77777777" w:rsidR="00CF69D1" w:rsidRPr="00896429" w:rsidRDefault="00CF69D1" w:rsidP="007650AC">
      <w:pPr>
        <w:autoSpaceDE w:val="0"/>
        <w:autoSpaceDN w:val="0"/>
        <w:spacing w:before="120" w:after="120" w:line="240" w:lineRule="auto"/>
        <w:jc w:val="both"/>
        <w:rPr>
          <w:rFonts w:ascii="Calibri" w:hAnsi="Calibri" w:cs="Calibri"/>
          <w:b/>
          <w:sz w:val="24"/>
          <w:szCs w:val="24"/>
        </w:rPr>
      </w:pPr>
    </w:p>
    <w:p w14:paraId="60CD688F" w14:textId="77777777" w:rsidR="005657D8" w:rsidRPr="00AC0FA1"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43310E4A" w14:textId="77777777" w:rsidR="005657D8" w:rsidRPr="00AC0FA1" w:rsidRDefault="005657D8" w:rsidP="007650AC">
      <w:pPr>
        <w:autoSpaceDE w:val="0"/>
        <w:autoSpaceDN w:val="0"/>
        <w:spacing w:before="120" w:after="120" w:line="240" w:lineRule="auto"/>
        <w:jc w:val="both"/>
        <w:rPr>
          <w:rFonts w:asciiTheme="minorHAnsi" w:hAnsiTheme="minorHAnsi"/>
          <w:szCs w:val="22"/>
        </w:rPr>
      </w:pPr>
      <w:r w:rsidRPr="00AC0FA1">
        <w:rPr>
          <w:rFonts w:asciiTheme="minorHAnsi" w:eastAsiaTheme="minorHAnsi" w:hAnsiTheme="minorHAnsi" w:cs="Calibri"/>
          <w:szCs w:val="22"/>
          <w:lang w:eastAsia="en-US"/>
        </w:rPr>
        <w:t xml:space="preserve">Wybór wskaźników projektu powinien być powiązany z typem realizowanego przedsięwzięcia </w:t>
      </w:r>
      <w:r w:rsidRPr="00AC0FA1">
        <w:rPr>
          <w:rFonts w:asciiTheme="minorHAnsi" w:eastAsiaTheme="minorHAnsi" w:hAnsiTheme="minorHAnsi" w:cs="Calibri"/>
          <w:szCs w:val="22"/>
          <w:lang w:eastAsia="en-US"/>
        </w:rPr>
        <w:br/>
        <w:t xml:space="preserve">i planowanymi działaniami, które </w:t>
      </w:r>
      <w:r w:rsidR="008E3F0D" w:rsidRPr="00AC0FA1">
        <w:rPr>
          <w:rFonts w:asciiTheme="minorHAnsi" w:eastAsiaTheme="minorHAnsi" w:hAnsiTheme="minorHAnsi" w:cs="Calibri"/>
          <w:szCs w:val="22"/>
          <w:lang w:eastAsia="en-US"/>
        </w:rPr>
        <w:t>Wnioskodawca</w:t>
      </w:r>
      <w:r w:rsidRPr="00AC0FA1">
        <w:rPr>
          <w:rFonts w:asciiTheme="minorHAnsi" w:eastAsiaTheme="minorHAnsi" w:hAnsiTheme="minorHAnsi" w:cs="Calibri"/>
          <w:szCs w:val="22"/>
          <w:lang w:eastAsia="en-US"/>
        </w:rPr>
        <w:t xml:space="preserve"> zamierza podjąć w ramach projektu. </w:t>
      </w:r>
      <w:r w:rsidRPr="00AC0FA1">
        <w:rPr>
          <w:rFonts w:asciiTheme="minorHAnsi" w:eastAsiaTheme="minorHAnsi" w:hAnsiTheme="minorHAnsi" w:cs="Calibri"/>
          <w:bCs/>
          <w:szCs w:val="22"/>
          <w:lang w:eastAsia="en-US"/>
        </w:rPr>
        <w:t xml:space="preserve">Do celu głównego projektu </w:t>
      </w:r>
      <w:r w:rsidR="008E3F0D" w:rsidRPr="00AC0FA1">
        <w:rPr>
          <w:rFonts w:asciiTheme="minorHAnsi" w:eastAsiaTheme="minorHAnsi" w:hAnsiTheme="minorHAnsi" w:cs="Calibri"/>
          <w:bCs/>
          <w:szCs w:val="22"/>
          <w:lang w:eastAsia="en-US"/>
        </w:rPr>
        <w:t>Wnioskodawca</w:t>
      </w:r>
      <w:r w:rsidRPr="00AC0FA1">
        <w:rPr>
          <w:rFonts w:asciiTheme="minorHAnsi" w:eastAsiaTheme="minorHAnsi" w:hAnsiTheme="minorHAnsi" w:cs="Calibri"/>
          <w:bCs/>
          <w:szCs w:val="22"/>
          <w:lang w:eastAsia="en-US"/>
        </w:rPr>
        <w:t xml:space="preserve"> powinien dobrać odpowiednie wskaźniki, produktu i rezultatu</w:t>
      </w:r>
      <w:r w:rsidRPr="00AC0FA1">
        <w:rPr>
          <w:rFonts w:asciiTheme="minorHAnsi" w:eastAsiaTheme="minorHAnsi" w:hAnsiTheme="minorHAnsi" w:cs="Calibri"/>
          <w:szCs w:val="22"/>
          <w:lang w:eastAsia="en-US"/>
        </w:rPr>
        <w:t xml:space="preserve"> bezpośredniego. Muszą być logicznie powiązane z projektem i spójne</w:t>
      </w:r>
      <w:r w:rsidR="008E3F0D" w:rsidRPr="00AC0FA1">
        <w:rPr>
          <w:rFonts w:asciiTheme="minorHAnsi" w:eastAsiaTheme="minorHAnsi" w:hAnsiTheme="minorHAnsi" w:cs="Calibri"/>
          <w:szCs w:val="22"/>
          <w:lang w:eastAsia="en-US"/>
        </w:rPr>
        <w:t>.</w:t>
      </w:r>
      <w:r w:rsidRPr="00AC0FA1">
        <w:rPr>
          <w:rFonts w:asciiTheme="minorHAnsi" w:eastAsiaTheme="minorHAnsi" w:hAnsiTheme="minorHAnsi" w:cs="Calibri"/>
          <w:szCs w:val="22"/>
          <w:lang w:eastAsia="en-US"/>
        </w:rPr>
        <w:t xml:space="preserve"> </w:t>
      </w:r>
    </w:p>
    <w:p w14:paraId="4BFE0CA4" w14:textId="77777777" w:rsidR="00620A45" w:rsidRPr="00AC0FA1"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AC0FA1">
        <w:rPr>
          <w:rFonts w:asciiTheme="minorHAnsi" w:hAnsiTheme="minorHAnsi"/>
          <w:szCs w:val="22"/>
        </w:rPr>
        <w:t>Każdy ze wskaźników powinien posiadać następujące cechy:</w:t>
      </w:r>
    </w:p>
    <w:p w14:paraId="6C37CEA9" w14:textId="77777777"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adekwatność – wskaźnik powinien być dostosowany do charakteru projektu oraz oczekiwanych efektów związanych z jego realizacją;</w:t>
      </w:r>
    </w:p>
    <w:p w14:paraId="3400167E" w14:textId="77777777"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mierzalność – wskaźnik powinien być kwantyfikowalny, tj. wyrażony w wartościach liczbowych</w:t>
      </w:r>
      <w:r w:rsidR="008E3F0D" w:rsidRPr="00AC0FA1">
        <w:rPr>
          <w:rFonts w:asciiTheme="minorHAnsi" w:hAnsiTheme="minorHAnsi"/>
          <w:szCs w:val="22"/>
        </w:rPr>
        <w:t xml:space="preserve"> bądź finansowych</w:t>
      </w:r>
      <w:r w:rsidRPr="00AC0FA1">
        <w:rPr>
          <w:rFonts w:asciiTheme="minorHAnsi" w:hAnsiTheme="minorHAnsi"/>
          <w:szCs w:val="22"/>
        </w:rPr>
        <w:t>;</w:t>
      </w:r>
    </w:p>
    <w:p w14:paraId="026BA53C" w14:textId="77777777"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wiarygodność – wskaźnik powinien być zdefiniowany w taki sposób, aby jego weryfikacja nie powodowała utrudnień;</w:t>
      </w:r>
    </w:p>
    <w:p w14:paraId="76AEB0E1" w14:textId="77777777"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dostępność – wskaźnik powinien być łatwy do określenia w wyniku realizacji projektu;</w:t>
      </w:r>
    </w:p>
    <w:p w14:paraId="26C4AFE3" w14:textId="77777777" w:rsidR="00620A45" w:rsidRPr="00AC0FA1"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AC0FA1">
        <w:rPr>
          <w:rFonts w:asciiTheme="minorHAnsi" w:hAnsiTheme="minorHAnsi"/>
          <w:szCs w:val="22"/>
        </w:rPr>
        <w:t>określony w czasie –wartość wskaźnika powinna zostać określona w czasie, tj. określony rok osiągnięcia wartości docelowej wskaźnika</w:t>
      </w:r>
      <w:r w:rsidR="00370466" w:rsidRPr="00AC0FA1">
        <w:rPr>
          <w:rFonts w:asciiTheme="minorHAnsi" w:hAnsiTheme="minorHAnsi"/>
          <w:szCs w:val="22"/>
        </w:rPr>
        <w:t xml:space="preserve"> oraz okres</w:t>
      </w:r>
      <w:r w:rsidRPr="00AC0FA1">
        <w:rPr>
          <w:rFonts w:asciiTheme="minorHAnsi" w:hAnsiTheme="minorHAnsi"/>
          <w:szCs w:val="22"/>
        </w:rPr>
        <w:t xml:space="preserve">, w którym będzie </w:t>
      </w:r>
      <w:r w:rsidR="00370466" w:rsidRPr="00AC0FA1">
        <w:rPr>
          <w:rFonts w:asciiTheme="minorHAnsi" w:hAnsiTheme="minorHAnsi"/>
          <w:szCs w:val="22"/>
        </w:rPr>
        <w:t>mierzony wskaźnik</w:t>
      </w:r>
    </w:p>
    <w:p w14:paraId="629C6384" w14:textId="77777777" w:rsidR="005657D8" w:rsidRPr="00AC0FA1"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AC0FA1">
        <w:rPr>
          <w:rFonts w:asciiTheme="minorHAnsi" w:eastAsiaTheme="minorHAnsi" w:hAnsiTheme="minorHAnsi" w:cs="Calibri"/>
          <w:szCs w:val="22"/>
          <w:lang w:eastAsia="en-US"/>
        </w:rPr>
        <w:t xml:space="preserve">Odpowiednio we wniosku </w:t>
      </w:r>
      <w:r w:rsidR="00370466" w:rsidRPr="00AC0FA1">
        <w:rPr>
          <w:rFonts w:asciiTheme="minorHAnsi" w:eastAsiaTheme="minorHAnsi" w:hAnsiTheme="minorHAnsi" w:cs="Calibri"/>
          <w:szCs w:val="22"/>
          <w:lang w:eastAsia="en-US"/>
        </w:rPr>
        <w:t xml:space="preserve">o dofinansowanie </w:t>
      </w:r>
      <w:r w:rsidRPr="00AC0FA1">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sidRPr="00AC0FA1">
        <w:rPr>
          <w:rFonts w:asciiTheme="minorHAnsi" w:eastAsiaTheme="minorHAnsi" w:hAnsiTheme="minorHAnsi" w:cs="Calibri"/>
          <w:szCs w:val="22"/>
          <w:lang w:eastAsia="en-US"/>
        </w:rPr>
        <w:t xml:space="preserve"> projektu</w:t>
      </w:r>
      <w:r w:rsidRPr="00AC0FA1">
        <w:rPr>
          <w:rFonts w:asciiTheme="minorHAnsi" w:eastAsiaTheme="minorHAnsi" w:hAnsiTheme="minorHAnsi" w:cs="Calibri"/>
          <w:szCs w:val="22"/>
          <w:lang w:eastAsia="en-US"/>
        </w:rPr>
        <w:t xml:space="preserve">. </w:t>
      </w:r>
    </w:p>
    <w:p w14:paraId="24A2A6CE" w14:textId="77777777" w:rsidR="009D3C56" w:rsidRPr="00AC0FA1" w:rsidRDefault="009D3C56" w:rsidP="007650AC">
      <w:pPr>
        <w:spacing w:before="120" w:after="120" w:line="240" w:lineRule="auto"/>
        <w:jc w:val="both"/>
        <w:rPr>
          <w:rFonts w:asciiTheme="minorHAnsi" w:hAnsiTheme="minorHAnsi"/>
          <w:b/>
          <w:szCs w:val="22"/>
        </w:rPr>
      </w:pPr>
    </w:p>
    <w:p w14:paraId="0EE5FD3D" w14:textId="77777777" w:rsidR="00370466" w:rsidRPr="00AC0FA1" w:rsidRDefault="00370466" w:rsidP="007650AC">
      <w:pPr>
        <w:spacing w:before="120" w:after="120" w:line="240" w:lineRule="auto"/>
        <w:jc w:val="both"/>
        <w:rPr>
          <w:rFonts w:asciiTheme="minorHAnsi" w:hAnsiTheme="minorHAnsi"/>
          <w:b/>
          <w:szCs w:val="22"/>
        </w:rPr>
      </w:pPr>
      <w:r w:rsidRPr="00AC0FA1">
        <w:rPr>
          <w:rFonts w:asciiTheme="minorHAnsi" w:hAnsiTheme="minorHAnsi"/>
          <w:b/>
          <w:szCs w:val="22"/>
        </w:rPr>
        <w:t>W ramach RPO WD 2014-2020 rozróżnia się następujące wskaźniki:</w:t>
      </w:r>
    </w:p>
    <w:p w14:paraId="2830BCD1" w14:textId="77777777"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C0FA1">
        <w:rPr>
          <w:rFonts w:asciiTheme="minorHAnsi" w:hAnsiTheme="minorHAnsi"/>
          <w:b/>
          <w:szCs w:val="22"/>
        </w:rPr>
        <w:t>obligatoryjne – wskaźniki ujęte w RPO WD 2014-2020,</w:t>
      </w:r>
      <w:r w:rsidR="008E3F0D" w:rsidRPr="00AC0FA1">
        <w:rPr>
          <w:rFonts w:asciiTheme="minorHAnsi" w:hAnsiTheme="minorHAnsi"/>
          <w:b/>
          <w:szCs w:val="22"/>
        </w:rPr>
        <w:t xml:space="preserve"> SZOOP RPO </w:t>
      </w:r>
      <w:r w:rsidR="00B40F0F" w:rsidRPr="00AC0FA1">
        <w:rPr>
          <w:rFonts w:asciiTheme="minorHAnsi" w:hAnsiTheme="minorHAnsi"/>
          <w:b/>
          <w:szCs w:val="22"/>
        </w:rPr>
        <w:t>W</w:t>
      </w:r>
      <w:r w:rsidR="008E3F0D" w:rsidRPr="00AC0FA1">
        <w:rPr>
          <w:rFonts w:asciiTheme="minorHAnsi" w:hAnsiTheme="minorHAnsi"/>
          <w:b/>
          <w:szCs w:val="22"/>
        </w:rPr>
        <w:t>D 2014-2020</w:t>
      </w:r>
    </w:p>
    <w:p w14:paraId="70C8657B" w14:textId="77777777"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C0FA1">
        <w:rPr>
          <w:rFonts w:asciiTheme="minorHAnsi" w:hAnsiTheme="minorHAnsi"/>
          <w:b/>
          <w:szCs w:val="22"/>
        </w:rPr>
        <w:t xml:space="preserve">horyzontalne </w:t>
      </w:r>
    </w:p>
    <w:p w14:paraId="52EA0B6E" w14:textId="77777777" w:rsidR="00370466" w:rsidRPr="00AC0FA1"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AC0FA1">
        <w:rPr>
          <w:rFonts w:asciiTheme="minorHAnsi" w:hAnsiTheme="minorHAnsi"/>
          <w:b/>
          <w:szCs w:val="22"/>
        </w:rPr>
        <w:t xml:space="preserve">dodatkowe </w:t>
      </w:r>
      <w:r w:rsidR="0015486C" w:rsidRPr="00AC0FA1">
        <w:rPr>
          <w:rFonts w:asciiTheme="minorHAnsi" w:hAnsiTheme="minorHAnsi"/>
          <w:b/>
          <w:szCs w:val="22"/>
        </w:rPr>
        <w:t>– wskaźniki projektowe</w:t>
      </w:r>
    </w:p>
    <w:p w14:paraId="77C55C97" w14:textId="77777777" w:rsidR="00370466" w:rsidRPr="00AC0FA1" w:rsidRDefault="00370466" w:rsidP="007650AC">
      <w:pPr>
        <w:pStyle w:val="Akapitzlist"/>
        <w:spacing w:before="120" w:after="120" w:line="240" w:lineRule="auto"/>
        <w:ind w:left="720"/>
        <w:jc w:val="both"/>
        <w:rPr>
          <w:rFonts w:asciiTheme="minorHAnsi" w:hAnsiTheme="minorHAnsi"/>
          <w:b/>
          <w:szCs w:val="22"/>
        </w:rPr>
      </w:pPr>
    </w:p>
    <w:p w14:paraId="697E00B1" w14:textId="77777777" w:rsidR="008C495E" w:rsidRPr="00AC0FA1" w:rsidRDefault="008C495E" w:rsidP="007650AC">
      <w:pPr>
        <w:pStyle w:val="Nagwek1"/>
        <w:spacing w:before="120" w:after="120" w:line="240" w:lineRule="auto"/>
        <w:jc w:val="both"/>
        <w:rPr>
          <w:rFonts w:asciiTheme="minorHAnsi" w:hAnsiTheme="minorHAnsi"/>
          <w:sz w:val="22"/>
          <w:szCs w:val="22"/>
        </w:rPr>
      </w:pPr>
      <w:r w:rsidRPr="00AC0FA1">
        <w:rPr>
          <w:rFonts w:asciiTheme="minorHAnsi" w:hAnsiTheme="minorHAnsi"/>
          <w:sz w:val="22"/>
          <w:szCs w:val="22"/>
        </w:rPr>
        <w:lastRenderedPageBreak/>
        <w:t>Wymagania w zakresie wskaźników w projekcie</w:t>
      </w:r>
      <w:bookmarkEnd w:id="0"/>
      <w:bookmarkEnd w:id="1"/>
      <w:bookmarkEnd w:id="2"/>
    </w:p>
    <w:p w14:paraId="21ED7F9D" w14:textId="7EAA2BAB" w:rsidR="00A459F4" w:rsidRPr="00717CB4" w:rsidRDefault="008C495E" w:rsidP="00A459F4">
      <w:pPr>
        <w:pStyle w:val="Default"/>
        <w:jc w:val="both"/>
        <w:rPr>
          <w:rFonts w:asciiTheme="minorHAnsi" w:eastAsiaTheme="minorHAnsi" w:hAnsiTheme="minorHAnsi" w:cs="Calibri"/>
          <w:sz w:val="22"/>
          <w:szCs w:val="22"/>
          <w:lang w:eastAsia="en-US"/>
        </w:rPr>
      </w:pPr>
      <w:r w:rsidRPr="00717CB4">
        <w:rPr>
          <w:rFonts w:asciiTheme="minorHAnsi" w:eastAsiaTheme="minorHAnsi" w:hAnsiTheme="minorHAnsi" w:cs="Calibri"/>
          <w:sz w:val="22"/>
          <w:szCs w:val="22"/>
          <w:lang w:eastAsia="en-US"/>
        </w:rPr>
        <w:t xml:space="preserve">W ramach wniosku o dofinansowanie projektu Wnioskodawca określa </w:t>
      </w:r>
      <w:r w:rsidRPr="00717CB4">
        <w:rPr>
          <w:rFonts w:asciiTheme="minorHAnsi" w:eastAsiaTheme="minorHAnsi" w:hAnsiTheme="minorHAnsi" w:cs="Calibri"/>
          <w:b/>
          <w:bCs/>
          <w:sz w:val="22"/>
          <w:szCs w:val="22"/>
          <w:lang w:eastAsia="en-US"/>
        </w:rPr>
        <w:t>wskaźniki służące pomiarowi działań i celów założonych w projekcie</w:t>
      </w:r>
      <w:r w:rsidRPr="00717CB4">
        <w:rPr>
          <w:rFonts w:asciiTheme="minorHAnsi" w:eastAsiaTheme="minorHAnsi" w:hAnsiTheme="minorHAnsi" w:cs="Calibri"/>
          <w:sz w:val="22"/>
          <w:szCs w:val="22"/>
          <w:lang w:eastAsia="en-US"/>
        </w:rPr>
        <w:t xml:space="preserve">. Wskaźniki w ramach projektu należy określić mając </w:t>
      </w:r>
      <w:r w:rsidR="00CF69D1" w:rsidRPr="00717CB4">
        <w:rPr>
          <w:rFonts w:asciiTheme="minorHAnsi" w:eastAsiaTheme="minorHAnsi" w:hAnsiTheme="minorHAnsi" w:cs="Calibri"/>
          <w:sz w:val="22"/>
          <w:szCs w:val="22"/>
          <w:lang w:eastAsia="en-US"/>
        </w:rPr>
        <w:br/>
      </w:r>
      <w:r w:rsidRPr="00717CB4">
        <w:rPr>
          <w:rFonts w:asciiTheme="minorHAnsi" w:eastAsiaTheme="minorHAnsi" w:hAnsiTheme="minorHAnsi" w:cs="Calibri"/>
          <w:sz w:val="22"/>
          <w:szCs w:val="22"/>
          <w:lang w:eastAsia="en-US"/>
        </w:rPr>
        <w:t xml:space="preserve">w szczególności na uwadze zapisy </w:t>
      </w:r>
      <w:r w:rsidR="00AD5451">
        <w:rPr>
          <w:rFonts w:asciiTheme="minorHAnsi" w:eastAsiaTheme="minorHAnsi" w:hAnsiTheme="minorHAnsi" w:cs="Calibri"/>
          <w:sz w:val="22"/>
          <w:szCs w:val="22"/>
          <w:lang w:eastAsia="en-US"/>
        </w:rPr>
        <w:t xml:space="preserve">niniejszych zasad ubiegania się o wsparcie w trybie pozakonkursowym </w:t>
      </w:r>
      <w:r w:rsidR="00A459F4" w:rsidRPr="00717CB4">
        <w:rPr>
          <w:rFonts w:asciiTheme="minorHAnsi" w:eastAsiaTheme="minorHAnsi" w:hAnsiTheme="minorHAnsi" w:cs="Calibri"/>
          <w:sz w:val="22"/>
          <w:szCs w:val="22"/>
          <w:lang w:eastAsia="en-US"/>
        </w:rPr>
        <w:t>.</w:t>
      </w:r>
    </w:p>
    <w:p w14:paraId="2F45606F" w14:textId="77777777" w:rsidR="00A459F4" w:rsidRPr="00AC0FA1" w:rsidRDefault="00A459F4" w:rsidP="00A459F4">
      <w:pPr>
        <w:pStyle w:val="Default"/>
        <w:jc w:val="both"/>
        <w:rPr>
          <w:rFonts w:asciiTheme="minorHAnsi" w:eastAsiaTheme="minorHAnsi" w:hAnsiTheme="minorHAnsi" w:cs="Calibri"/>
          <w:szCs w:val="22"/>
          <w:lang w:eastAsia="en-US"/>
        </w:rPr>
      </w:pPr>
    </w:p>
    <w:p w14:paraId="13915739" w14:textId="77777777" w:rsidR="009D3C56" w:rsidRPr="00AC0FA1" w:rsidRDefault="008C495E" w:rsidP="00A459F4">
      <w:pPr>
        <w:pStyle w:val="Default"/>
        <w:jc w:val="both"/>
        <w:rPr>
          <w:rFonts w:asciiTheme="minorHAnsi" w:hAnsiTheme="minorHAnsi"/>
          <w:b/>
          <w:sz w:val="22"/>
          <w:szCs w:val="22"/>
        </w:rPr>
      </w:pPr>
      <w:r w:rsidRPr="00AC0FA1">
        <w:rPr>
          <w:rFonts w:asciiTheme="minorHAnsi" w:eastAsiaTheme="minorHAnsi" w:hAnsiTheme="minorHAnsi" w:cs="Calibri"/>
          <w:szCs w:val="22"/>
          <w:lang w:eastAsia="en-US"/>
        </w:rPr>
        <w:t xml:space="preserve"> </w:t>
      </w:r>
      <w:r w:rsidR="00A459F4" w:rsidRPr="00AC0FA1">
        <w:rPr>
          <w:rFonts w:asciiTheme="minorHAnsi" w:hAnsiTheme="minorHAnsi"/>
          <w:b/>
          <w:sz w:val="22"/>
          <w:szCs w:val="22"/>
        </w:rPr>
        <w:t>W przypadku, gdy w ramach danego Działania uwzględniony został wskaźnik z RPO</w:t>
      </w:r>
      <w:r w:rsidR="00B40F0F" w:rsidRPr="00AC0FA1">
        <w:rPr>
          <w:rFonts w:asciiTheme="minorHAnsi" w:hAnsiTheme="minorHAnsi"/>
          <w:b/>
          <w:sz w:val="22"/>
          <w:szCs w:val="22"/>
        </w:rPr>
        <w:t xml:space="preserve"> WD 2014-2020</w:t>
      </w:r>
      <w:r w:rsidR="00A459F4" w:rsidRPr="00AC0FA1">
        <w:rPr>
          <w:rFonts w:asciiTheme="minorHAnsi" w:hAnsiTheme="minorHAnsi"/>
          <w:b/>
          <w:sz w:val="22"/>
          <w:szCs w:val="22"/>
        </w:rPr>
        <w:t xml:space="preserve">, który odzwierciedla zakres projektu, jego wykazanie dla Wnioskodawcy jest  obligatoryjne. </w:t>
      </w:r>
    </w:p>
    <w:p w14:paraId="5CF62B09" w14:textId="62BAAA1D" w:rsidR="008A09D1" w:rsidRDefault="008A09D1" w:rsidP="00717CB4">
      <w:pPr>
        <w:autoSpaceDE w:val="0"/>
        <w:autoSpaceDN w:val="0"/>
        <w:adjustRightInd w:val="0"/>
        <w:spacing w:line="240" w:lineRule="auto"/>
        <w:ind w:firstLine="708"/>
        <w:jc w:val="both"/>
        <w:rPr>
          <w:rFonts w:asciiTheme="minorHAnsi" w:hAnsiTheme="minorHAnsi" w:cs="Arial"/>
        </w:rPr>
      </w:pPr>
      <w:r w:rsidRPr="00AC0FA1">
        <w:rPr>
          <w:rFonts w:asciiTheme="minorHAnsi" w:hAnsiTheme="minorHAnsi" w:cs="Arial"/>
          <w:b/>
        </w:rPr>
        <w:t>W</w:t>
      </w:r>
      <w:r w:rsidRPr="00AC0FA1">
        <w:rPr>
          <w:rFonts w:asciiTheme="minorHAnsi" w:hAnsiTheme="minorHAnsi" w:cs="Arial"/>
          <w:b/>
          <w:bCs/>
        </w:rPr>
        <w:t>skaźniki produktu</w:t>
      </w:r>
      <w:r w:rsidRPr="00AC0FA1">
        <w:rPr>
          <w:rFonts w:asciiTheme="minorHAnsi" w:hAnsiTheme="minorHAnsi" w:cs="Arial"/>
          <w:bCs/>
        </w:rPr>
        <w:t xml:space="preserve"> są to wskaźniki powiązane bezpośrednio z wydatkami ponoszonymi w projekcie</w:t>
      </w:r>
      <w:r w:rsidRPr="00AC0FA1">
        <w:rPr>
          <w:rFonts w:asciiTheme="minorHAnsi" w:hAnsiTheme="minorHAnsi" w:cs="Arial"/>
        </w:rPr>
        <w:t xml:space="preserve">, mierzone konkretnymi wielkościami. Liczone są w jednostkach fizycznych </w:t>
      </w:r>
      <w:r w:rsidR="0015486C" w:rsidRPr="00AC0FA1">
        <w:rPr>
          <w:rFonts w:asciiTheme="minorHAnsi" w:hAnsiTheme="minorHAnsi" w:cs="Arial"/>
        </w:rPr>
        <w:t>lub monetarnych. Wybrane przez W</w:t>
      </w:r>
      <w:r w:rsidRPr="00AC0FA1">
        <w:rPr>
          <w:rFonts w:asciiTheme="minorHAnsi" w:hAnsiTheme="minorHAnsi" w:cs="Arial"/>
        </w:rPr>
        <w:t>nioskodawcę wskaźniki muszą być adekwatne do zakresu projektu oraz mają być powiązane z głównymi kategoriami wydatków w projekcie.</w:t>
      </w:r>
    </w:p>
    <w:p w14:paraId="2E1D10D9" w14:textId="77777777" w:rsidR="00717CB4" w:rsidRPr="00717CB4" w:rsidRDefault="00717CB4" w:rsidP="00717CB4">
      <w:pPr>
        <w:autoSpaceDE w:val="0"/>
        <w:autoSpaceDN w:val="0"/>
        <w:adjustRightInd w:val="0"/>
        <w:spacing w:line="240" w:lineRule="auto"/>
        <w:ind w:firstLine="708"/>
        <w:jc w:val="both"/>
        <w:rPr>
          <w:rFonts w:asciiTheme="minorHAnsi" w:hAnsiTheme="minorHAnsi" w:cs="Arial"/>
        </w:rPr>
      </w:pPr>
    </w:p>
    <w:p w14:paraId="6ADDECA2" w14:textId="77777777" w:rsidR="008A09D1" w:rsidRPr="00AC0FA1" w:rsidRDefault="008A09D1" w:rsidP="007650AC">
      <w:pPr>
        <w:pStyle w:val="Default"/>
        <w:jc w:val="both"/>
        <w:rPr>
          <w:rFonts w:asciiTheme="minorHAnsi" w:hAnsiTheme="minorHAnsi"/>
          <w:sz w:val="22"/>
          <w:szCs w:val="22"/>
        </w:rPr>
      </w:pPr>
      <w:r w:rsidRPr="00AC0FA1">
        <w:rPr>
          <w:rFonts w:asciiTheme="minorHAnsi" w:hAnsiTheme="minorHAnsi"/>
          <w:sz w:val="22"/>
          <w:szCs w:val="22"/>
        </w:rPr>
        <w:t xml:space="preserve">Dla każdego z wybranych wskaźników Wnioskodawca zobowiązany jest do wskazania </w:t>
      </w:r>
      <w:r w:rsidRPr="00AC0FA1">
        <w:rPr>
          <w:rFonts w:asciiTheme="minorHAnsi" w:hAnsiTheme="minorHAnsi"/>
          <w:i/>
          <w:sz w:val="22"/>
          <w:szCs w:val="22"/>
        </w:rPr>
        <w:t>„Jednostki miary”</w:t>
      </w:r>
      <w:r w:rsidRPr="00AC0FA1">
        <w:rPr>
          <w:rFonts w:asciiTheme="minorHAnsi" w:hAnsiTheme="minorHAnsi"/>
          <w:sz w:val="22"/>
          <w:szCs w:val="22"/>
        </w:rPr>
        <w:t xml:space="preserve">, </w:t>
      </w:r>
      <w:r w:rsidRPr="00AC0FA1">
        <w:rPr>
          <w:rFonts w:asciiTheme="minorHAnsi" w:hAnsiTheme="minorHAnsi"/>
          <w:i/>
          <w:sz w:val="22"/>
          <w:szCs w:val="22"/>
        </w:rPr>
        <w:t>„Wartości bazowej”</w:t>
      </w:r>
      <w:r w:rsidRPr="00AC0FA1">
        <w:rPr>
          <w:rFonts w:asciiTheme="minorHAnsi" w:hAnsiTheme="minorHAnsi"/>
          <w:sz w:val="22"/>
          <w:szCs w:val="22"/>
        </w:rPr>
        <w:t xml:space="preserve">, </w:t>
      </w:r>
      <w:r w:rsidRPr="00AC0FA1">
        <w:rPr>
          <w:rFonts w:asciiTheme="minorHAnsi" w:hAnsiTheme="minorHAnsi"/>
          <w:i/>
          <w:sz w:val="22"/>
          <w:szCs w:val="22"/>
        </w:rPr>
        <w:t>„Wartości docelowej wskaźnika”</w:t>
      </w:r>
      <w:r w:rsidRPr="00AC0FA1">
        <w:rPr>
          <w:rFonts w:asciiTheme="minorHAnsi" w:hAnsiTheme="minorHAnsi"/>
          <w:sz w:val="22"/>
          <w:szCs w:val="22"/>
        </w:rPr>
        <w:t xml:space="preserve">, a także </w:t>
      </w:r>
      <w:r w:rsidRPr="00AC0FA1">
        <w:rPr>
          <w:rFonts w:asciiTheme="minorHAnsi" w:hAnsiTheme="minorHAnsi"/>
          <w:i/>
          <w:sz w:val="22"/>
          <w:szCs w:val="22"/>
        </w:rPr>
        <w:t>„Źródła informacji o</w:t>
      </w:r>
      <w:r w:rsidR="007E025A" w:rsidRPr="00AC0FA1">
        <w:rPr>
          <w:rFonts w:asciiTheme="minorHAnsi" w:hAnsiTheme="minorHAnsi"/>
          <w:i/>
          <w:sz w:val="22"/>
          <w:szCs w:val="22"/>
        </w:rPr>
        <w:t> </w:t>
      </w:r>
      <w:r w:rsidRPr="00AC0FA1">
        <w:rPr>
          <w:rFonts w:asciiTheme="minorHAnsi" w:hAnsiTheme="minorHAnsi"/>
          <w:i/>
          <w:sz w:val="22"/>
          <w:szCs w:val="22"/>
        </w:rPr>
        <w:t>wskaźniku”</w:t>
      </w:r>
      <w:r w:rsidRPr="00AC0FA1">
        <w:rPr>
          <w:rFonts w:asciiTheme="minorHAnsi" w:hAnsiTheme="minorHAnsi"/>
          <w:sz w:val="22"/>
          <w:szCs w:val="22"/>
        </w:rPr>
        <w:t xml:space="preserve">. </w:t>
      </w:r>
    </w:p>
    <w:p w14:paraId="5ECBE010" w14:textId="77777777" w:rsidR="008A09D1" w:rsidRPr="00AC0FA1" w:rsidRDefault="008A09D1" w:rsidP="007650AC">
      <w:pPr>
        <w:pStyle w:val="Default"/>
        <w:jc w:val="both"/>
        <w:rPr>
          <w:rFonts w:asciiTheme="minorHAnsi" w:hAnsiTheme="minorHAnsi"/>
          <w:sz w:val="22"/>
          <w:szCs w:val="22"/>
        </w:rPr>
      </w:pPr>
      <w:r w:rsidRPr="00AC0FA1">
        <w:rPr>
          <w:rFonts w:asciiTheme="minorHAnsi" w:hAnsiTheme="minorHAnsi"/>
          <w:sz w:val="22"/>
          <w:szCs w:val="22"/>
        </w:rPr>
        <w:t xml:space="preserve">Wartość docelowa dla wskaźnika produktu to wyrażony liczbowo stan danego wskaźnika na moment zakończenia rzeczowej realizacji projektu. </w:t>
      </w:r>
    </w:p>
    <w:p w14:paraId="4E5F9E27" w14:textId="77777777" w:rsidR="008A09D1" w:rsidRPr="00AC0FA1" w:rsidRDefault="008A09D1" w:rsidP="007650AC">
      <w:pPr>
        <w:pStyle w:val="Default"/>
        <w:jc w:val="both"/>
        <w:rPr>
          <w:rFonts w:asciiTheme="minorHAnsi" w:hAnsiTheme="minorHAnsi"/>
          <w:sz w:val="22"/>
          <w:szCs w:val="22"/>
          <w:highlight w:val="yellow"/>
        </w:rPr>
      </w:pPr>
      <w:r w:rsidRPr="00AC0FA1">
        <w:rPr>
          <w:rFonts w:asciiTheme="minorHAnsi" w:hAnsiTheme="minorHAnsi"/>
          <w:sz w:val="22"/>
          <w:szCs w:val="22"/>
        </w:rPr>
        <w:t>Jako źródło informacji o wskaźniku wskazać należy odpowiedni dokument (np. protokół odbioru</w:t>
      </w:r>
      <w:r w:rsidR="007E025A" w:rsidRPr="00AC0FA1">
        <w:rPr>
          <w:rFonts w:asciiTheme="minorHAnsi" w:hAnsiTheme="minorHAnsi"/>
          <w:sz w:val="22"/>
          <w:szCs w:val="22"/>
        </w:rPr>
        <w:t xml:space="preserve"> robót</w:t>
      </w:r>
      <w:r w:rsidR="001D14B1">
        <w:rPr>
          <w:rFonts w:asciiTheme="minorHAnsi" w:hAnsiTheme="minorHAnsi"/>
          <w:sz w:val="22"/>
          <w:szCs w:val="22"/>
        </w:rPr>
        <w:t>, decyzje o pozwoleniu na użytkowanie lub zgłoszeniach o przystąpieniu do użytkowania</w:t>
      </w:r>
      <w:r w:rsidRPr="00AC0FA1">
        <w:rPr>
          <w:rFonts w:asciiTheme="minorHAnsi" w:hAnsiTheme="minorHAnsi"/>
          <w:sz w:val="22"/>
          <w:szCs w:val="22"/>
        </w:rPr>
        <w:t>).</w:t>
      </w:r>
      <w:r w:rsidRPr="00AC0FA1">
        <w:rPr>
          <w:rFonts w:asciiTheme="minorHAnsi" w:hAnsiTheme="minorHAnsi"/>
          <w:sz w:val="22"/>
          <w:szCs w:val="22"/>
          <w:highlight w:val="yellow"/>
        </w:rPr>
        <w:t xml:space="preserve"> </w:t>
      </w:r>
    </w:p>
    <w:p w14:paraId="45431DED" w14:textId="533318FC" w:rsidR="008C495E" w:rsidRPr="00AC0FA1" w:rsidRDefault="008C495E" w:rsidP="00DC184F">
      <w:pPr>
        <w:autoSpaceDE w:val="0"/>
        <w:autoSpaceDN w:val="0"/>
        <w:adjustRightInd w:val="0"/>
        <w:spacing w:before="120" w:after="120" w:line="240" w:lineRule="auto"/>
        <w:jc w:val="both"/>
        <w:rPr>
          <w:rFonts w:asciiTheme="minorHAnsi" w:hAnsiTheme="minorHAnsi"/>
          <w:b/>
          <w:szCs w:val="22"/>
        </w:rPr>
      </w:pPr>
      <w:r w:rsidRPr="00AC0FA1">
        <w:rPr>
          <w:rFonts w:asciiTheme="minorHAnsi" w:hAnsiTheme="minorHAnsi"/>
          <w:b/>
          <w:szCs w:val="22"/>
        </w:rPr>
        <w:t xml:space="preserve">W ramach Działania </w:t>
      </w:r>
      <w:r w:rsidR="006179F0">
        <w:rPr>
          <w:rFonts w:asciiTheme="minorHAnsi" w:hAnsiTheme="minorHAnsi"/>
          <w:b/>
          <w:szCs w:val="22"/>
        </w:rPr>
        <w:t>12</w:t>
      </w:r>
      <w:r w:rsidR="00AC0FA1" w:rsidRPr="00AC0FA1">
        <w:rPr>
          <w:rFonts w:asciiTheme="minorHAnsi" w:hAnsiTheme="minorHAnsi"/>
          <w:b/>
          <w:szCs w:val="22"/>
        </w:rPr>
        <w:t>.</w:t>
      </w:r>
      <w:r w:rsidR="006179F0">
        <w:rPr>
          <w:rFonts w:asciiTheme="minorHAnsi" w:hAnsiTheme="minorHAnsi"/>
          <w:b/>
          <w:szCs w:val="22"/>
        </w:rPr>
        <w:t>1</w:t>
      </w:r>
      <w:r w:rsidRPr="00AC0FA1">
        <w:rPr>
          <w:rFonts w:asciiTheme="minorHAnsi" w:hAnsiTheme="minorHAnsi"/>
          <w:b/>
          <w:szCs w:val="22"/>
        </w:rPr>
        <w:t xml:space="preserve"> określono poniższe wskaźniki produktu:</w:t>
      </w:r>
    </w:p>
    <w:p w14:paraId="3ADFEC2F" w14:textId="77777777" w:rsidR="008C495E" w:rsidRPr="00AC0FA1" w:rsidRDefault="008C495E" w:rsidP="007650AC">
      <w:pPr>
        <w:autoSpaceDE w:val="0"/>
        <w:autoSpaceDN w:val="0"/>
        <w:adjustRightInd w:val="0"/>
        <w:spacing w:before="120" w:after="120" w:line="240" w:lineRule="auto"/>
        <w:jc w:val="both"/>
        <w:rPr>
          <w:rFonts w:asciiTheme="minorHAnsi" w:hAnsiTheme="minorHAnsi"/>
          <w:color w:val="FF0000"/>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2"/>
        <w:gridCol w:w="895"/>
        <w:gridCol w:w="4421"/>
        <w:gridCol w:w="1757"/>
      </w:tblGrid>
      <w:tr w:rsidR="00370466" w:rsidRPr="00E46437" w14:paraId="7F53581A" w14:textId="77777777" w:rsidTr="008554A8">
        <w:trPr>
          <w:cantSplit/>
          <w:trHeight w:val="20"/>
          <w:jc w:val="center"/>
        </w:trPr>
        <w:tc>
          <w:tcPr>
            <w:tcW w:w="1120" w:type="pct"/>
            <w:shd w:val="clear" w:color="auto" w:fill="auto"/>
          </w:tcPr>
          <w:p w14:paraId="3B748DCF" w14:textId="77777777" w:rsidR="005657D8" w:rsidRPr="00E46437" w:rsidRDefault="005657D8" w:rsidP="007650AC">
            <w:pPr>
              <w:spacing w:before="0" w:line="240" w:lineRule="auto"/>
              <w:jc w:val="center"/>
              <w:rPr>
                <w:rFonts w:asciiTheme="minorHAnsi" w:hAnsiTheme="minorHAnsi"/>
                <w:b/>
                <w:szCs w:val="22"/>
              </w:rPr>
            </w:pPr>
            <w:r w:rsidRPr="00E46437">
              <w:rPr>
                <w:rFonts w:asciiTheme="minorHAnsi" w:hAnsiTheme="minorHAnsi"/>
                <w:b/>
                <w:szCs w:val="22"/>
              </w:rPr>
              <w:t>Nazwa wskaźnika produktu</w:t>
            </w:r>
          </w:p>
        </w:tc>
        <w:tc>
          <w:tcPr>
            <w:tcW w:w="491" w:type="pct"/>
          </w:tcPr>
          <w:p w14:paraId="017103A9" w14:textId="77777777" w:rsidR="005657D8" w:rsidRPr="00E46437" w:rsidRDefault="005657D8" w:rsidP="007650AC">
            <w:pPr>
              <w:suppressAutoHyphens/>
              <w:spacing w:before="0" w:line="240" w:lineRule="auto"/>
              <w:jc w:val="center"/>
              <w:rPr>
                <w:rFonts w:asciiTheme="minorHAnsi" w:hAnsiTheme="minorHAnsi"/>
                <w:b/>
                <w:bCs/>
                <w:szCs w:val="22"/>
              </w:rPr>
            </w:pPr>
            <w:r w:rsidRPr="00E46437">
              <w:rPr>
                <w:rFonts w:asciiTheme="minorHAnsi" w:hAnsiTheme="minorHAnsi"/>
                <w:b/>
                <w:bCs/>
                <w:szCs w:val="22"/>
              </w:rPr>
              <w:t>Jednostka miary</w:t>
            </w:r>
          </w:p>
        </w:tc>
        <w:tc>
          <w:tcPr>
            <w:tcW w:w="2425" w:type="pct"/>
            <w:shd w:val="clear" w:color="auto" w:fill="auto"/>
          </w:tcPr>
          <w:p w14:paraId="67A62C7B" w14:textId="77777777" w:rsidR="005657D8" w:rsidRPr="00E46437" w:rsidRDefault="005657D8" w:rsidP="007650AC">
            <w:pPr>
              <w:suppressAutoHyphens/>
              <w:spacing w:before="0" w:line="240" w:lineRule="auto"/>
              <w:jc w:val="center"/>
              <w:rPr>
                <w:rFonts w:asciiTheme="minorHAnsi" w:hAnsiTheme="minorHAnsi"/>
                <w:b/>
                <w:szCs w:val="22"/>
              </w:rPr>
            </w:pPr>
            <w:r w:rsidRPr="00E46437">
              <w:rPr>
                <w:rFonts w:asciiTheme="minorHAnsi" w:hAnsiTheme="minorHAnsi"/>
                <w:b/>
                <w:bCs/>
                <w:szCs w:val="22"/>
              </w:rPr>
              <w:t>Definicja wskaźnika</w:t>
            </w:r>
          </w:p>
        </w:tc>
        <w:tc>
          <w:tcPr>
            <w:tcW w:w="964" w:type="pct"/>
          </w:tcPr>
          <w:p w14:paraId="6D054C77" w14:textId="77777777" w:rsidR="005657D8" w:rsidRPr="00E46437" w:rsidRDefault="005657D8" w:rsidP="007650AC">
            <w:pPr>
              <w:suppressAutoHyphens/>
              <w:spacing w:before="0" w:line="240" w:lineRule="auto"/>
              <w:jc w:val="center"/>
              <w:rPr>
                <w:rFonts w:asciiTheme="minorHAnsi" w:hAnsiTheme="minorHAnsi"/>
                <w:b/>
                <w:bCs/>
                <w:szCs w:val="22"/>
              </w:rPr>
            </w:pPr>
            <w:r w:rsidRPr="00E46437">
              <w:rPr>
                <w:rFonts w:asciiTheme="minorHAnsi" w:hAnsiTheme="minorHAnsi"/>
                <w:b/>
                <w:bCs/>
                <w:szCs w:val="22"/>
              </w:rPr>
              <w:t>Rodzaj dokumentu, w</w:t>
            </w:r>
            <w:r w:rsidR="007E025A" w:rsidRPr="00E46437">
              <w:rPr>
                <w:rFonts w:asciiTheme="minorHAnsi" w:hAnsiTheme="minorHAnsi"/>
                <w:b/>
                <w:bCs/>
                <w:szCs w:val="22"/>
              </w:rPr>
              <w:t> </w:t>
            </w:r>
            <w:r w:rsidRPr="00E46437">
              <w:rPr>
                <w:rFonts w:asciiTheme="minorHAnsi" w:hAnsiTheme="minorHAnsi"/>
                <w:b/>
                <w:bCs/>
                <w:szCs w:val="22"/>
              </w:rPr>
              <w:t>którym określono wskaźnik</w:t>
            </w:r>
          </w:p>
        </w:tc>
      </w:tr>
      <w:tr w:rsidR="00896429" w:rsidRPr="00896429" w14:paraId="1A7439E9" w14:textId="77777777" w:rsidTr="00AC0FA1">
        <w:trPr>
          <w:trHeight w:val="20"/>
          <w:jc w:val="center"/>
        </w:trPr>
        <w:tc>
          <w:tcPr>
            <w:tcW w:w="1120" w:type="pct"/>
            <w:shd w:val="clear" w:color="auto" w:fill="auto"/>
          </w:tcPr>
          <w:p w14:paraId="3B67ECC9" w14:textId="5BF71690" w:rsidR="009609F6" w:rsidRPr="00896429" w:rsidRDefault="00BD79B0" w:rsidP="00E46437">
            <w:pPr>
              <w:spacing w:before="60" w:after="60" w:line="240" w:lineRule="auto"/>
              <w:rPr>
                <w:rFonts w:asciiTheme="minorHAnsi" w:hAnsiTheme="minorHAnsi" w:cstheme="minorHAnsi"/>
                <w:szCs w:val="22"/>
              </w:rPr>
            </w:pPr>
            <w:r w:rsidRPr="00896429">
              <w:rPr>
                <w:rFonts w:asciiTheme="minorHAnsi" w:hAnsiTheme="minorHAnsi" w:cstheme="minorHAnsi"/>
                <w:bCs/>
                <w:szCs w:val="22"/>
              </w:rPr>
              <w:t xml:space="preserve">Liczba podmiotów objętych wsparciem w zakresie zwalczania lub przeciwdziałania skutkom pandemii COVID-19 </w:t>
            </w:r>
          </w:p>
        </w:tc>
        <w:tc>
          <w:tcPr>
            <w:tcW w:w="491" w:type="pct"/>
          </w:tcPr>
          <w:p w14:paraId="1CF3A0EE" w14:textId="77777777" w:rsidR="009609F6" w:rsidRPr="00896429" w:rsidRDefault="009609F6" w:rsidP="00AC0FA1">
            <w:pPr>
              <w:spacing w:line="240" w:lineRule="auto"/>
              <w:jc w:val="both"/>
              <w:rPr>
                <w:rFonts w:asciiTheme="minorHAnsi" w:hAnsiTheme="minorHAnsi" w:cstheme="minorHAnsi"/>
                <w:szCs w:val="22"/>
              </w:rPr>
            </w:pPr>
            <w:r w:rsidRPr="00896429">
              <w:rPr>
                <w:rFonts w:asciiTheme="minorHAnsi" w:hAnsiTheme="minorHAnsi" w:cstheme="minorHAnsi"/>
                <w:szCs w:val="22"/>
              </w:rPr>
              <w:t>szt.</w:t>
            </w:r>
          </w:p>
        </w:tc>
        <w:tc>
          <w:tcPr>
            <w:tcW w:w="2425" w:type="pct"/>
            <w:shd w:val="clear" w:color="auto" w:fill="auto"/>
          </w:tcPr>
          <w:p w14:paraId="1D396E8B" w14:textId="31FBA380" w:rsidR="009F5D9E" w:rsidRPr="00896429" w:rsidRDefault="009F5D9E" w:rsidP="009F5D9E">
            <w:pPr>
              <w:spacing w:before="60" w:after="60" w:line="240" w:lineRule="auto"/>
              <w:rPr>
                <w:rFonts w:asciiTheme="minorHAnsi" w:hAnsiTheme="minorHAnsi" w:cstheme="minorHAnsi"/>
                <w:szCs w:val="22"/>
              </w:rPr>
            </w:pPr>
            <w:r w:rsidRPr="00896429">
              <w:rPr>
                <w:rFonts w:asciiTheme="minorHAnsi" w:hAnsiTheme="minorHAnsi" w:cstheme="minorHAnsi"/>
                <w:szCs w:val="22"/>
              </w:rPr>
              <w:t>Wskaźnik odnosi się do podmiotów leczniczych, w których wykonano roboty budowlane, obiekty doposażono w aparaturę i sprzęt medyczny, w zakresie zwalczania lub przeciwdziałania skutkom z pandemii COVID-19.</w:t>
            </w:r>
          </w:p>
          <w:p w14:paraId="3F527A13" w14:textId="77777777" w:rsidR="009F5D9E" w:rsidRPr="00896429" w:rsidRDefault="009F5D9E" w:rsidP="009F5D9E">
            <w:pPr>
              <w:spacing w:before="60" w:after="60" w:line="240" w:lineRule="auto"/>
              <w:rPr>
                <w:rFonts w:asciiTheme="minorHAnsi" w:hAnsiTheme="minorHAnsi" w:cstheme="minorHAnsi"/>
                <w:szCs w:val="22"/>
              </w:rPr>
            </w:pPr>
            <w:r w:rsidRPr="00896429">
              <w:rPr>
                <w:rFonts w:asciiTheme="minorHAnsi" w:hAnsiTheme="minorHAnsi" w:cstheme="minorHAnsi"/>
                <w:szCs w:val="22"/>
              </w:rPr>
              <w:t>W ramach wskaźnika należy wykazać:</w:t>
            </w:r>
          </w:p>
          <w:p w14:paraId="5A2211DA" w14:textId="77777777" w:rsidR="009F5D9E" w:rsidRPr="00896429" w:rsidRDefault="009F5D9E" w:rsidP="009F5D9E">
            <w:pPr>
              <w:spacing w:before="60" w:after="60" w:line="240" w:lineRule="auto"/>
              <w:rPr>
                <w:rFonts w:asciiTheme="minorHAnsi" w:hAnsiTheme="minorHAnsi" w:cstheme="minorHAnsi"/>
                <w:szCs w:val="22"/>
              </w:rPr>
            </w:pPr>
            <w:r w:rsidRPr="00896429">
              <w:rPr>
                <w:rFonts w:asciiTheme="minorHAnsi" w:hAnsiTheme="minorHAnsi" w:cstheme="minorHAnsi"/>
                <w:szCs w:val="22"/>
              </w:rPr>
              <w:t>- podmioty lecznicze, w których wykonano roboty budowlane,</w:t>
            </w:r>
          </w:p>
          <w:p w14:paraId="6813C810" w14:textId="77777777" w:rsidR="009F5D9E" w:rsidRPr="00896429" w:rsidRDefault="009F5D9E" w:rsidP="009F5D9E">
            <w:pPr>
              <w:spacing w:before="60" w:after="60" w:line="240" w:lineRule="auto"/>
              <w:rPr>
                <w:rFonts w:asciiTheme="minorHAnsi" w:hAnsiTheme="minorHAnsi" w:cstheme="minorHAnsi"/>
                <w:szCs w:val="22"/>
              </w:rPr>
            </w:pPr>
            <w:r w:rsidRPr="00896429">
              <w:rPr>
                <w:rFonts w:asciiTheme="minorHAnsi" w:hAnsiTheme="minorHAnsi" w:cstheme="minorHAnsi"/>
                <w:szCs w:val="22"/>
              </w:rPr>
              <w:t>- podmioty lecznicze, które doposażono,</w:t>
            </w:r>
          </w:p>
          <w:p w14:paraId="029F073F" w14:textId="59EEEEEB" w:rsidR="009F5D9E" w:rsidRPr="00896429" w:rsidRDefault="009F5D9E" w:rsidP="009F5D9E">
            <w:pPr>
              <w:spacing w:before="60" w:after="60" w:line="240" w:lineRule="auto"/>
              <w:rPr>
                <w:rFonts w:asciiTheme="minorHAnsi" w:hAnsiTheme="minorHAnsi" w:cstheme="minorHAnsi"/>
                <w:szCs w:val="22"/>
              </w:rPr>
            </w:pPr>
            <w:r w:rsidRPr="00896429">
              <w:rPr>
                <w:rFonts w:asciiTheme="minorHAnsi" w:hAnsiTheme="minorHAnsi" w:cstheme="minorHAnsi"/>
                <w:szCs w:val="22"/>
              </w:rPr>
              <w:t>- podmioty lecznicze, w których łącznie wykonano roboty budowlane i doposażono.</w:t>
            </w:r>
          </w:p>
          <w:p w14:paraId="71A0ACFC" w14:textId="77777777" w:rsidR="009F5D9E" w:rsidRPr="00896429" w:rsidRDefault="009F5D9E" w:rsidP="009F5D9E">
            <w:pPr>
              <w:spacing w:before="60" w:after="60" w:line="240" w:lineRule="auto"/>
              <w:rPr>
                <w:rFonts w:asciiTheme="minorHAnsi" w:hAnsiTheme="minorHAnsi" w:cstheme="minorHAnsi"/>
                <w:szCs w:val="22"/>
              </w:rPr>
            </w:pPr>
          </w:p>
          <w:p w14:paraId="33126F90" w14:textId="24086894" w:rsidR="009609F6" w:rsidRPr="00896429" w:rsidRDefault="00E46437" w:rsidP="00896429">
            <w:pPr>
              <w:spacing w:before="60" w:after="60" w:line="240" w:lineRule="auto"/>
              <w:rPr>
                <w:rFonts w:asciiTheme="minorHAnsi" w:hAnsiTheme="minorHAnsi" w:cstheme="minorHAnsi"/>
                <w:szCs w:val="22"/>
              </w:rPr>
            </w:pPr>
            <w:r w:rsidRPr="00896429">
              <w:rPr>
                <w:rFonts w:asciiTheme="minorHAnsi" w:hAnsiTheme="minorHAnsi" w:cstheme="minorHAnsi"/>
                <w:szCs w:val="22"/>
              </w:rPr>
              <w:t xml:space="preserve"> </w:t>
            </w:r>
          </w:p>
        </w:tc>
        <w:tc>
          <w:tcPr>
            <w:tcW w:w="964" w:type="pct"/>
          </w:tcPr>
          <w:p w14:paraId="654EC8A4" w14:textId="77777777" w:rsidR="009609F6" w:rsidRPr="00896429" w:rsidRDefault="00506413" w:rsidP="007650AC">
            <w:pPr>
              <w:spacing w:line="240" w:lineRule="auto"/>
              <w:jc w:val="both"/>
              <w:rPr>
                <w:rFonts w:asciiTheme="minorHAnsi" w:hAnsiTheme="minorHAnsi" w:cstheme="minorHAnsi"/>
                <w:szCs w:val="22"/>
              </w:rPr>
            </w:pPr>
            <w:r w:rsidRPr="00896429">
              <w:rPr>
                <w:rFonts w:asciiTheme="minorHAnsi" w:hAnsiTheme="minorHAnsi" w:cstheme="minorHAnsi"/>
                <w:szCs w:val="22"/>
              </w:rPr>
              <w:t>RPO WD 2014-2020</w:t>
            </w:r>
          </w:p>
        </w:tc>
      </w:tr>
      <w:tr w:rsidR="009F5D9E" w:rsidRPr="009F5D9E" w14:paraId="2D9DB554" w14:textId="77777777" w:rsidTr="008554A8">
        <w:trPr>
          <w:trHeight w:val="20"/>
          <w:jc w:val="center"/>
        </w:trPr>
        <w:tc>
          <w:tcPr>
            <w:tcW w:w="1120" w:type="pct"/>
            <w:shd w:val="clear" w:color="auto" w:fill="auto"/>
            <w:vAlign w:val="center"/>
          </w:tcPr>
          <w:p w14:paraId="610F8777" w14:textId="03796829" w:rsidR="00BD79B0" w:rsidRPr="00896429" w:rsidRDefault="00BD79B0" w:rsidP="00BD79B0">
            <w:pPr>
              <w:spacing w:before="40" w:after="40" w:line="240" w:lineRule="auto"/>
              <w:rPr>
                <w:rFonts w:asciiTheme="minorHAnsi" w:hAnsiTheme="minorHAnsi" w:cstheme="minorHAnsi"/>
                <w:noProof/>
                <w:szCs w:val="22"/>
              </w:rPr>
            </w:pPr>
            <w:r w:rsidRPr="00896429">
              <w:rPr>
                <w:rFonts w:asciiTheme="minorHAnsi" w:hAnsiTheme="minorHAnsi" w:cstheme="minorHAnsi"/>
                <w:noProof/>
                <w:szCs w:val="22"/>
              </w:rPr>
              <w:t xml:space="preserve">Wartość zakupionego sprzętu medycznego </w:t>
            </w:r>
          </w:p>
          <w:p w14:paraId="6561A237" w14:textId="77777777" w:rsidR="00BD79B0" w:rsidRPr="009F5D9E" w:rsidRDefault="00BD79B0" w:rsidP="00AC0FA1">
            <w:pPr>
              <w:spacing w:before="0" w:line="240" w:lineRule="auto"/>
              <w:rPr>
                <w:rFonts w:asciiTheme="minorHAnsi" w:eastAsiaTheme="minorHAnsi" w:hAnsiTheme="minorHAnsi" w:cstheme="minorHAnsi"/>
                <w:szCs w:val="22"/>
                <w:lang w:eastAsia="en-US"/>
              </w:rPr>
            </w:pPr>
          </w:p>
        </w:tc>
        <w:tc>
          <w:tcPr>
            <w:tcW w:w="491" w:type="pct"/>
            <w:vAlign w:val="center"/>
          </w:tcPr>
          <w:p w14:paraId="6D98F7F6" w14:textId="605E42DC" w:rsidR="00BD79B0" w:rsidRPr="009F5D9E" w:rsidRDefault="00C21D50" w:rsidP="001D14B1">
            <w:pPr>
              <w:spacing w:before="0"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PLN</w:t>
            </w:r>
          </w:p>
        </w:tc>
        <w:tc>
          <w:tcPr>
            <w:tcW w:w="2425" w:type="pct"/>
            <w:shd w:val="clear" w:color="auto" w:fill="auto"/>
          </w:tcPr>
          <w:p w14:paraId="2AA18866" w14:textId="77777777" w:rsidR="009F5D9E" w:rsidRPr="009F5D9E" w:rsidRDefault="009F5D9E" w:rsidP="009F5D9E">
            <w:pPr>
              <w:spacing w:before="60" w:after="60" w:line="240" w:lineRule="auto"/>
              <w:rPr>
                <w:rFonts w:asciiTheme="minorHAnsi" w:hAnsiTheme="minorHAnsi" w:cstheme="minorHAnsi"/>
                <w:szCs w:val="22"/>
              </w:rPr>
            </w:pPr>
            <w:r w:rsidRPr="009F5D9E">
              <w:rPr>
                <w:rFonts w:asciiTheme="minorHAnsi" w:hAnsiTheme="minorHAnsi" w:cstheme="minorHAnsi"/>
                <w:szCs w:val="22"/>
              </w:rPr>
              <w:t>Wydatki przeznaczone na zakup sprzętu medycznego wspomagającego działania związane ze zwalczaniem lub przeciwdziałaniem skutkom pandemii COVID-19.</w:t>
            </w:r>
          </w:p>
          <w:p w14:paraId="11FA75EB" w14:textId="7171CE4C" w:rsidR="009F5D9E" w:rsidRPr="009F5D9E" w:rsidRDefault="009F5D9E" w:rsidP="009F5D9E">
            <w:pPr>
              <w:spacing w:before="60" w:after="60" w:line="240" w:lineRule="auto"/>
              <w:rPr>
                <w:rFonts w:asciiTheme="minorHAnsi" w:hAnsiTheme="minorHAnsi" w:cstheme="minorHAnsi"/>
                <w:szCs w:val="22"/>
              </w:rPr>
            </w:pPr>
            <w:r w:rsidRPr="009F5D9E">
              <w:rPr>
                <w:rFonts w:asciiTheme="minorHAnsi" w:hAnsiTheme="minorHAnsi" w:cstheme="minorHAnsi"/>
                <w:szCs w:val="22"/>
              </w:rPr>
              <w:lastRenderedPageBreak/>
              <w:t xml:space="preserve">Sprzęt medyczny został wymieniony w załączniku nr 1 </w:t>
            </w:r>
          </w:p>
          <w:p w14:paraId="206D8C5C" w14:textId="508A6913" w:rsidR="00BD79B0" w:rsidRPr="009F5D9E" w:rsidRDefault="009F5D9E" w:rsidP="009F5D9E">
            <w:pPr>
              <w:spacing w:before="60" w:after="60" w:line="240" w:lineRule="auto"/>
              <w:rPr>
                <w:rFonts w:asciiTheme="minorHAnsi" w:hAnsiTheme="minorHAnsi" w:cstheme="minorHAnsi"/>
                <w:szCs w:val="22"/>
              </w:rPr>
            </w:pPr>
            <w:r w:rsidRPr="009F5D9E">
              <w:rPr>
                <w:rFonts w:asciiTheme="minorHAnsi" w:hAnsiTheme="minorHAnsi" w:cstheme="minorHAnsi"/>
                <w:szCs w:val="22"/>
              </w:rPr>
              <w:t>Wydatki obejmują jedynie całkowite wydatki kwalifikowalne ze źródeł publicznych, tj. środki UE oraz środki z krajowych źródeł publicznych.</w:t>
            </w:r>
          </w:p>
        </w:tc>
        <w:tc>
          <w:tcPr>
            <w:tcW w:w="964" w:type="pct"/>
          </w:tcPr>
          <w:p w14:paraId="25AE5FCB" w14:textId="7C95D4AF" w:rsidR="00BD79B0" w:rsidRPr="009F5D9E" w:rsidRDefault="00BD79B0" w:rsidP="007650AC">
            <w:pPr>
              <w:spacing w:line="240" w:lineRule="auto"/>
              <w:jc w:val="both"/>
              <w:rPr>
                <w:rFonts w:asciiTheme="minorHAnsi" w:hAnsiTheme="minorHAnsi" w:cstheme="minorHAnsi"/>
                <w:szCs w:val="22"/>
              </w:rPr>
            </w:pPr>
            <w:r w:rsidRPr="009F5D9E">
              <w:rPr>
                <w:rFonts w:asciiTheme="minorHAnsi" w:hAnsiTheme="minorHAnsi" w:cstheme="minorHAnsi"/>
                <w:szCs w:val="22"/>
              </w:rPr>
              <w:lastRenderedPageBreak/>
              <w:t>RPO WD 2014-2020</w:t>
            </w:r>
          </w:p>
        </w:tc>
      </w:tr>
      <w:tr w:rsidR="009F5D9E" w:rsidRPr="009F5D9E" w14:paraId="0ED1A4A7" w14:textId="77777777" w:rsidTr="008554A8">
        <w:trPr>
          <w:trHeight w:val="20"/>
          <w:jc w:val="center"/>
        </w:trPr>
        <w:tc>
          <w:tcPr>
            <w:tcW w:w="1120" w:type="pct"/>
            <w:shd w:val="clear" w:color="auto" w:fill="auto"/>
            <w:vAlign w:val="center"/>
          </w:tcPr>
          <w:p w14:paraId="77DE5C8F" w14:textId="77777777" w:rsidR="00380861" w:rsidRPr="009F5D9E" w:rsidRDefault="00E46437" w:rsidP="00AC0FA1">
            <w:pPr>
              <w:spacing w:before="0" w:line="240" w:lineRule="auto"/>
              <w:rPr>
                <w:rFonts w:asciiTheme="minorHAnsi" w:eastAsiaTheme="minorHAnsi" w:hAnsiTheme="minorHAnsi" w:cstheme="minorHAnsi"/>
                <w:szCs w:val="22"/>
                <w:lang w:eastAsia="en-US"/>
              </w:rPr>
            </w:pPr>
            <w:r w:rsidRPr="009F5D9E">
              <w:rPr>
                <w:rFonts w:asciiTheme="minorHAnsi" w:eastAsiaTheme="minorHAnsi" w:hAnsiTheme="minorHAnsi" w:cstheme="minorHAnsi"/>
                <w:szCs w:val="22"/>
                <w:lang w:eastAsia="en-US"/>
              </w:rPr>
              <w:t xml:space="preserve">Nakłady inwestycyjne na zakup aparatury medycznej </w:t>
            </w:r>
          </w:p>
        </w:tc>
        <w:tc>
          <w:tcPr>
            <w:tcW w:w="491" w:type="pct"/>
            <w:vAlign w:val="center"/>
          </w:tcPr>
          <w:p w14:paraId="2891CDA4" w14:textId="011B12F1" w:rsidR="00380861" w:rsidRPr="009F5D9E" w:rsidRDefault="00C21D50" w:rsidP="001D14B1">
            <w:pPr>
              <w:spacing w:before="0"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PLN</w:t>
            </w:r>
          </w:p>
        </w:tc>
        <w:tc>
          <w:tcPr>
            <w:tcW w:w="2425" w:type="pct"/>
            <w:shd w:val="clear" w:color="auto" w:fill="auto"/>
          </w:tcPr>
          <w:p w14:paraId="3489EE8C" w14:textId="1DBC2F15" w:rsidR="009F5D9E" w:rsidRPr="00896429" w:rsidRDefault="009F5D9E" w:rsidP="009F5D9E">
            <w:pPr>
              <w:spacing w:before="60" w:after="60" w:line="240" w:lineRule="auto"/>
              <w:rPr>
                <w:rFonts w:asciiTheme="minorHAnsi" w:hAnsiTheme="minorHAnsi" w:cstheme="minorHAnsi"/>
                <w:szCs w:val="22"/>
              </w:rPr>
            </w:pPr>
            <w:r w:rsidRPr="00896429">
              <w:rPr>
                <w:rFonts w:asciiTheme="minorHAnsi" w:eastAsiaTheme="minorHAnsi" w:hAnsiTheme="minorHAnsi" w:cstheme="minorHAnsi"/>
                <w:szCs w:val="22"/>
                <w:lang w:eastAsia="en-US"/>
              </w:rPr>
              <w:t xml:space="preserve">Nakłady poniesione przez beneficjenta  na zakup aparatury medycznej w związku z realizowanym projektem. </w:t>
            </w:r>
          </w:p>
          <w:p w14:paraId="7C8AD16F" w14:textId="2A914827" w:rsidR="009F5D9E" w:rsidRPr="00896429" w:rsidRDefault="009F5D9E" w:rsidP="009F5D9E">
            <w:pPr>
              <w:spacing w:before="60" w:after="60" w:line="240" w:lineRule="auto"/>
              <w:rPr>
                <w:rFonts w:asciiTheme="minorHAnsi" w:eastAsiaTheme="minorHAnsi" w:hAnsiTheme="minorHAnsi" w:cstheme="minorHAnsi"/>
                <w:szCs w:val="22"/>
                <w:lang w:eastAsia="en-US"/>
              </w:rPr>
            </w:pPr>
            <w:r w:rsidRPr="00896429">
              <w:rPr>
                <w:rFonts w:asciiTheme="minorHAnsi" w:eastAsiaTheme="minorHAnsi" w:hAnsiTheme="minorHAnsi" w:cstheme="minorHAnsi"/>
                <w:szCs w:val="22"/>
                <w:lang w:eastAsia="en-US"/>
              </w:rPr>
              <w:t>Nakłady obejmują dofinansowanie i wkład własny w projekcie.</w:t>
            </w:r>
          </w:p>
        </w:tc>
        <w:tc>
          <w:tcPr>
            <w:tcW w:w="964" w:type="pct"/>
          </w:tcPr>
          <w:p w14:paraId="74918CC0" w14:textId="77777777" w:rsidR="00380861" w:rsidRPr="009F5D9E" w:rsidRDefault="00F079A2" w:rsidP="007650AC">
            <w:pPr>
              <w:spacing w:line="240" w:lineRule="auto"/>
              <w:jc w:val="both"/>
              <w:rPr>
                <w:rFonts w:asciiTheme="minorHAnsi" w:hAnsiTheme="minorHAnsi" w:cstheme="minorHAnsi"/>
                <w:szCs w:val="22"/>
              </w:rPr>
            </w:pPr>
            <w:r w:rsidRPr="009F5D9E">
              <w:rPr>
                <w:rFonts w:asciiTheme="minorHAnsi" w:hAnsiTheme="minorHAnsi" w:cstheme="minorHAnsi"/>
                <w:szCs w:val="22"/>
              </w:rPr>
              <w:t>SZOOP RPO WD 2014-2020</w:t>
            </w:r>
          </w:p>
        </w:tc>
      </w:tr>
      <w:tr w:rsidR="009F5D9E" w:rsidRPr="009F5D9E" w14:paraId="08A9C78B" w14:textId="77777777" w:rsidTr="008554A8">
        <w:trPr>
          <w:trHeight w:val="20"/>
          <w:jc w:val="center"/>
        </w:trPr>
        <w:tc>
          <w:tcPr>
            <w:tcW w:w="1120" w:type="pct"/>
            <w:shd w:val="clear" w:color="auto" w:fill="auto"/>
            <w:vAlign w:val="center"/>
          </w:tcPr>
          <w:p w14:paraId="38FDE4F1" w14:textId="2E2FEFF0" w:rsidR="00BD79B0" w:rsidRPr="009F5D9E" w:rsidRDefault="00BD79B0" w:rsidP="00896429">
            <w:pPr>
              <w:spacing w:before="40" w:after="40" w:line="240" w:lineRule="auto"/>
              <w:rPr>
                <w:rFonts w:asciiTheme="minorHAnsi" w:eastAsiaTheme="minorHAnsi" w:hAnsiTheme="minorHAnsi" w:cstheme="minorHAnsi"/>
                <w:szCs w:val="22"/>
                <w:lang w:eastAsia="en-US"/>
              </w:rPr>
            </w:pPr>
            <w:r w:rsidRPr="00896429">
              <w:rPr>
                <w:rFonts w:asciiTheme="minorHAnsi" w:hAnsiTheme="minorHAnsi" w:cstheme="minorHAnsi"/>
                <w:noProof/>
                <w:szCs w:val="22"/>
              </w:rPr>
              <w:t xml:space="preserve">Wartość wydatków kwalifikowalnych przeznaczonych na działania związane z pandemią COVID-19  </w:t>
            </w:r>
          </w:p>
        </w:tc>
        <w:tc>
          <w:tcPr>
            <w:tcW w:w="491" w:type="pct"/>
            <w:vAlign w:val="center"/>
          </w:tcPr>
          <w:p w14:paraId="7F44BAC1" w14:textId="7C18FAFE" w:rsidR="00BD79B0" w:rsidRPr="009F5D9E" w:rsidRDefault="007E7019" w:rsidP="001D14B1">
            <w:pPr>
              <w:spacing w:before="0" w:line="240" w:lineRule="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 PLN</w:t>
            </w:r>
          </w:p>
        </w:tc>
        <w:tc>
          <w:tcPr>
            <w:tcW w:w="2425" w:type="pct"/>
            <w:shd w:val="clear" w:color="auto" w:fill="auto"/>
          </w:tcPr>
          <w:p w14:paraId="3B96C54E" w14:textId="77777777" w:rsidR="009F5D9E" w:rsidRPr="009F5D9E" w:rsidRDefault="009F5D9E" w:rsidP="009F5D9E">
            <w:pPr>
              <w:spacing w:before="60" w:after="60" w:line="240" w:lineRule="auto"/>
              <w:rPr>
                <w:rFonts w:asciiTheme="minorHAnsi" w:hAnsiTheme="minorHAnsi" w:cstheme="minorHAnsi"/>
                <w:szCs w:val="22"/>
              </w:rPr>
            </w:pPr>
            <w:r w:rsidRPr="009F5D9E">
              <w:rPr>
                <w:rFonts w:asciiTheme="minorHAnsi" w:hAnsiTheme="minorHAnsi" w:cstheme="minorHAnsi"/>
                <w:szCs w:val="22"/>
              </w:rPr>
              <w:t>We wskaźniku należy ująć całkowite koszty kwalifikowalne przeznaczone na zadania służące zwalczaniu lub przeciwdziałaniu skutkom z pandemią COVID-19.</w:t>
            </w:r>
          </w:p>
          <w:p w14:paraId="221C1050" w14:textId="34486BE9" w:rsidR="009F5D9E" w:rsidRPr="009F5D9E" w:rsidRDefault="009F5D9E" w:rsidP="009F5D9E">
            <w:pPr>
              <w:spacing w:before="60" w:after="60" w:line="240" w:lineRule="auto"/>
              <w:rPr>
                <w:rFonts w:asciiTheme="minorHAnsi" w:hAnsiTheme="minorHAnsi" w:cstheme="minorHAnsi"/>
                <w:szCs w:val="22"/>
              </w:rPr>
            </w:pPr>
            <w:r w:rsidRPr="009F5D9E">
              <w:rPr>
                <w:rFonts w:asciiTheme="minorHAnsi" w:hAnsiTheme="minorHAnsi" w:cstheme="minorHAnsi"/>
                <w:szCs w:val="22"/>
              </w:rPr>
              <w:t xml:space="preserve">We wskaźniku należy ująć koszty w zależności od tego, czy projekt jest w całości </w:t>
            </w:r>
            <w:r w:rsidR="00AD3839" w:rsidRPr="009F5D9E">
              <w:rPr>
                <w:rFonts w:asciiTheme="minorHAnsi" w:hAnsiTheme="minorHAnsi" w:cstheme="minorHAnsi"/>
                <w:szCs w:val="22"/>
              </w:rPr>
              <w:t>poświęcony</w:t>
            </w:r>
            <w:r w:rsidRPr="009F5D9E">
              <w:rPr>
                <w:rFonts w:asciiTheme="minorHAnsi" w:hAnsiTheme="minorHAnsi" w:cstheme="minorHAnsi"/>
                <w:szCs w:val="22"/>
              </w:rPr>
              <w:t xml:space="preserve"> przeciwdziałaniu skutkom pandemii COVID-19 (całość kosztów), czy projekt obejmuje też zadania związane z przeciwdziałaniem skutkom pandemii COVID-19 (tylko koszty związane z tymi zadaniami).</w:t>
            </w:r>
          </w:p>
          <w:p w14:paraId="0ABD69B7" w14:textId="29AA91C6" w:rsidR="00BD79B0" w:rsidRPr="009F5D9E" w:rsidRDefault="009F5D9E" w:rsidP="009F5D9E">
            <w:pPr>
              <w:spacing w:before="60" w:after="60" w:line="240" w:lineRule="auto"/>
              <w:rPr>
                <w:rFonts w:asciiTheme="minorHAnsi" w:hAnsiTheme="minorHAnsi" w:cstheme="minorHAnsi"/>
                <w:szCs w:val="22"/>
              </w:rPr>
            </w:pPr>
            <w:r w:rsidRPr="009F5D9E">
              <w:rPr>
                <w:rFonts w:asciiTheme="minorHAnsi" w:hAnsiTheme="minorHAnsi" w:cstheme="minorHAnsi"/>
                <w:szCs w:val="22"/>
              </w:rPr>
              <w:t>Wydatki obejmują jedynie całkowite wydatki kwalifikowalne ze źródeł publicznych, tj. środki UE oraz środki z krajowych źródeł publicznych.</w:t>
            </w:r>
          </w:p>
        </w:tc>
        <w:tc>
          <w:tcPr>
            <w:tcW w:w="964" w:type="pct"/>
          </w:tcPr>
          <w:p w14:paraId="1F8D3EAA" w14:textId="3481DFC9" w:rsidR="00BD79B0" w:rsidRPr="009F5D9E" w:rsidRDefault="009F5D9E" w:rsidP="007650AC">
            <w:pPr>
              <w:spacing w:line="240" w:lineRule="auto"/>
              <w:jc w:val="both"/>
              <w:rPr>
                <w:rFonts w:asciiTheme="minorHAnsi" w:hAnsiTheme="minorHAnsi" w:cstheme="minorHAnsi"/>
                <w:szCs w:val="22"/>
              </w:rPr>
            </w:pPr>
            <w:r w:rsidRPr="009F5D9E">
              <w:rPr>
                <w:rFonts w:asciiTheme="minorHAnsi" w:hAnsiTheme="minorHAnsi" w:cstheme="minorHAnsi"/>
                <w:szCs w:val="22"/>
              </w:rPr>
              <w:t>SZOOP RPO WD 2014-2020</w:t>
            </w:r>
          </w:p>
        </w:tc>
      </w:tr>
      <w:tr w:rsidR="00F079A2" w:rsidRPr="00896429" w14:paraId="327B7C86" w14:textId="77777777" w:rsidTr="00F079A2">
        <w:trPr>
          <w:trHeight w:val="20"/>
          <w:jc w:val="center"/>
        </w:trPr>
        <w:tc>
          <w:tcPr>
            <w:tcW w:w="1120" w:type="pct"/>
            <w:shd w:val="clear" w:color="auto" w:fill="auto"/>
            <w:vAlign w:val="center"/>
          </w:tcPr>
          <w:p w14:paraId="1BA65ABC" w14:textId="77777777" w:rsidR="00F079A2" w:rsidRPr="008C1B3A" w:rsidRDefault="00F079A2" w:rsidP="00F079A2">
            <w:pPr>
              <w:spacing w:before="0" w:line="240" w:lineRule="auto"/>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t>Liczba obiektów dostosowanych do potrzeb osób z niepełnosprawnościami</w:t>
            </w:r>
          </w:p>
        </w:tc>
        <w:tc>
          <w:tcPr>
            <w:tcW w:w="491" w:type="pct"/>
            <w:vAlign w:val="center"/>
          </w:tcPr>
          <w:p w14:paraId="57F39D63" w14:textId="77777777" w:rsidR="00F079A2" w:rsidRPr="008C1B3A" w:rsidRDefault="00F079A2" w:rsidP="00F079A2">
            <w:pPr>
              <w:spacing w:before="0" w:line="240" w:lineRule="auto"/>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t>szt.</w:t>
            </w:r>
          </w:p>
        </w:tc>
        <w:tc>
          <w:tcPr>
            <w:tcW w:w="2425" w:type="pct"/>
            <w:shd w:val="clear" w:color="auto" w:fill="auto"/>
          </w:tcPr>
          <w:p w14:paraId="37E9B68F" w14:textId="77777777" w:rsidR="00F079A2" w:rsidRPr="008C1B3A" w:rsidRDefault="00F079A2" w:rsidP="00F079A2">
            <w:pPr>
              <w:spacing w:before="0" w:line="240" w:lineRule="auto"/>
              <w:jc w:val="both"/>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1C0D4C64" w14:textId="77777777" w:rsidR="00F079A2" w:rsidRPr="008C1B3A" w:rsidRDefault="00F079A2" w:rsidP="00F079A2">
            <w:pPr>
              <w:spacing w:before="0" w:line="240" w:lineRule="auto"/>
              <w:jc w:val="both"/>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t>Jako obiekty budowlane należy rozumieć konstrukcje połączone z gruntem w sposób trwały, wykonane z materiałów budowlanych i elementów składowych, będące wynikiem prac budowlanych (wg. def. PKOB).</w:t>
            </w:r>
          </w:p>
          <w:p w14:paraId="453853E5" w14:textId="77777777" w:rsidR="00F079A2" w:rsidRPr="008C1B3A" w:rsidRDefault="00F079A2" w:rsidP="00F079A2">
            <w:pPr>
              <w:spacing w:before="0" w:line="240" w:lineRule="auto"/>
              <w:jc w:val="both"/>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t>Należy podać liczbę obiektów, a nie sprzętów, urządzeń itp., w które obiekty zaopatrzono.</w:t>
            </w:r>
          </w:p>
          <w:p w14:paraId="1CF7618B" w14:textId="77777777" w:rsidR="00F079A2" w:rsidRPr="008C1B3A" w:rsidRDefault="00F079A2" w:rsidP="00F079A2">
            <w:pPr>
              <w:spacing w:before="0" w:line="240" w:lineRule="auto"/>
              <w:jc w:val="both"/>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t>Jeśli instytucja, zakład itp. składa się z kilku obiektów, należy zliczyć wszystkie, które dostosowano do potrzeb osób niepełnosprawnych.</w:t>
            </w:r>
          </w:p>
        </w:tc>
        <w:tc>
          <w:tcPr>
            <w:tcW w:w="964" w:type="pct"/>
          </w:tcPr>
          <w:p w14:paraId="5965D3CE" w14:textId="77777777" w:rsidR="00F079A2" w:rsidRPr="008C1B3A" w:rsidRDefault="001D14B1" w:rsidP="001D14B1">
            <w:pPr>
              <w:spacing w:line="240" w:lineRule="auto"/>
              <w:jc w:val="both"/>
              <w:rPr>
                <w:rFonts w:asciiTheme="minorHAnsi" w:hAnsiTheme="minorHAnsi" w:cstheme="minorHAnsi"/>
                <w:szCs w:val="22"/>
              </w:rPr>
            </w:pPr>
            <w:r w:rsidRPr="008C1B3A">
              <w:rPr>
                <w:rFonts w:asciiTheme="minorHAnsi" w:hAnsiTheme="minorHAnsi" w:cstheme="minorHAnsi"/>
                <w:szCs w:val="22"/>
              </w:rPr>
              <w:t>h</w:t>
            </w:r>
            <w:r w:rsidR="00F079A2" w:rsidRPr="008C1B3A">
              <w:rPr>
                <w:rFonts w:asciiTheme="minorHAnsi" w:hAnsiTheme="minorHAnsi" w:cstheme="minorHAnsi"/>
                <w:szCs w:val="22"/>
              </w:rPr>
              <w:t>oryzontalny</w:t>
            </w:r>
          </w:p>
        </w:tc>
      </w:tr>
      <w:tr w:rsidR="00F079A2" w:rsidRPr="00896429" w14:paraId="0E7CEA49" w14:textId="77777777" w:rsidTr="00F079A2">
        <w:trPr>
          <w:trHeight w:val="20"/>
          <w:jc w:val="center"/>
        </w:trPr>
        <w:tc>
          <w:tcPr>
            <w:tcW w:w="1120" w:type="pct"/>
            <w:shd w:val="clear" w:color="auto" w:fill="auto"/>
          </w:tcPr>
          <w:p w14:paraId="4664EFBB" w14:textId="77777777" w:rsidR="00F079A2" w:rsidRPr="008C1B3A" w:rsidRDefault="00F079A2" w:rsidP="00F079A2">
            <w:pPr>
              <w:spacing w:before="0" w:line="240" w:lineRule="auto"/>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t xml:space="preserve">Liczba osób objętych szkoleniami / doradztwem w zakresie </w:t>
            </w:r>
            <w:r w:rsidRPr="008C1B3A">
              <w:rPr>
                <w:rFonts w:asciiTheme="minorHAnsi" w:eastAsiaTheme="minorHAnsi" w:hAnsiTheme="minorHAnsi" w:cstheme="minorHAnsi"/>
                <w:szCs w:val="22"/>
                <w:lang w:eastAsia="en-US"/>
              </w:rPr>
              <w:lastRenderedPageBreak/>
              <w:t>kompetencji cyfrowych O/K/M</w:t>
            </w:r>
          </w:p>
        </w:tc>
        <w:tc>
          <w:tcPr>
            <w:tcW w:w="491" w:type="pct"/>
          </w:tcPr>
          <w:p w14:paraId="294DA49D" w14:textId="77777777" w:rsidR="00F079A2" w:rsidRPr="008C1B3A" w:rsidRDefault="00F079A2" w:rsidP="00F079A2">
            <w:pPr>
              <w:spacing w:before="0" w:line="240" w:lineRule="auto"/>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lastRenderedPageBreak/>
              <w:t>os.</w:t>
            </w:r>
          </w:p>
        </w:tc>
        <w:tc>
          <w:tcPr>
            <w:tcW w:w="2425" w:type="pct"/>
            <w:shd w:val="clear" w:color="auto" w:fill="auto"/>
          </w:tcPr>
          <w:p w14:paraId="22B0E00C" w14:textId="77777777" w:rsidR="00F079A2" w:rsidRPr="008C1B3A" w:rsidRDefault="00F079A2" w:rsidP="00F079A2">
            <w:pPr>
              <w:spacing w:before="0" w:line="240" w:lineRule="auto"/>
              <w:jc w:val="both"/>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w:t>
            </w:r>
            <w:r w:rsidRPr="008C1B3A">
              <w:rPr>
                <w:rFonts w:asciiTheme="minorHAnsi" w:eastAsiaTheme="minorHAnsi" w:hAnsiTheme="minorHAnsi" w:cstheme="minorHAnsi"/>
                <w:szCs w:val="22"/>
                <w:lang w:eastAsia="en-US"/>
              </w:rPr>
              <w:lastRenderedPageBreak/>
              <w:t xml:space="preserve">oprogramowania, </w:t>
            </w:r>
            <w:proofErr w:type="spellStart"/>
            <w:r w:rsidRPr="008C1B3A">
              <w:rPr>
                <w:rFonts w:asciiTheme="minorHAnsi" w:eastAsiaTheme="minorHAnsi" w:hAnsiTheme="minorHAnsi" w:cstheme="minorHAnsi"/>
                <w:szCs w:val="22"/>
                <w:lang w:eastAsia="en-US"/>
              </w:rPr>
              <w:t>internetu</w:t>
            </w:r>
            <w:proofErr w:type="spellEnd"/>
            <w:r w:rsidRPr="008C1B3A">
              <w:rPr>
                <w:rFonts w:asciiTheme="minorHAnsi" w:eastAsiaTheme="minorHAnsi" w:hAnsiTheme="minorHAnsi" w:cstheme="minorHAnsi"/>
                <w:szCs w:val="22"/>
                <w:lang w:eastAsia="en-US"/>
              </w:rPr>
              <w:t xml:space="preserve"> oraz kompetencji ściśle informatycznych (np. programowanie, zarządzanie bazami danych, administracja sieciami, administracja witrynami internetowymi). </w:t>
            </w:r>
          </w:p>
          <w:p w14:paraId="768FEAFF" w14:textId="77777777" w:rsidR="00AD64EC" w:rsidRPr="008C1B3A" w:rsidRDefault="00AD64EC" w:rsidP="00F079A2">
            <w:pPr>
              <w:spacing w:before="0" w:line="240" w:lineRule="auto"/>
              <w:jc w:val="both"/>
              <w:rPr>
                <w:rFonts w:asciiTheme="minorHAnsi" w:eastAsiaTheme="minorHAnsi" w:hAnsiTheme="minorHAnsi" w:cstheme="minorHAnsi"/>
                <w:szCs w:val="22"/>
                <w:lang w:eastAsia="en-US"/>
              </w:rPr>
            </w:pPr>
          </w:p>
          <w:p w14:paraId="0A373326" w14:textId="77777777" w:rsidR="00AD64EC" w:rsidRPr="008C1B3A" w:rsidRDefault="00AD64EC" w:rsidP="00F079A2">
            <w:pPr>
              <w:spacing w:before="0" w:line="240" w:lineRule="auto"/>
              <w:jc w:val="both"/>
              <w:rPr>
                <w:rFonts w:asciiTheme="minorHAnsi" w:eastAsiaTheme="minorHAnsi" w:hAnsiTheme="minorHAnsi" w:cstheme="minorHAnsi"/>
                <w:szCs w:val="22"/>
                <w:lang w:eastAsia="en-US"/>
              </w:rPr>
            </w:pPr>
          </w:p>
          <w:p w14:paraId="02B1EBAF" w14:textId="77777777" w:rsidR="00F079A2" w:rsidRPr="008C1B3A" w:rsidRDefault="00AD64EC" w:rsidP="001D14B1">
            <w:pPr>
              <w:spacing w:before="0" w:line="240" w:lineRule="auto"/>
              <w:jc w:val="both"/>
              <w:rPr>
                <w:rFonts w:asciiTheme="minorHAnsi" w:eastAsiaTheme="minorHAnsi" w:hAnsiTheme="minorHAnsi" w:cstheme="minorHAnsi"/>
                <w:szCs w:val="22"/>
                <w:lang w:eastAsia="en-US"/>
              </w:rPr>
            </w:pPr>
            <w:r w:rsidRPr="008C1B3A">
              <w:rPr>
                <w:rFonts w:asciiTheme="minorHAnsi" w:eastAsiaTheme="minorHAnsi" w:hAnsiTheme="minorHAnsi" w:cstheme="minorHAnsi"/>
                <w:szCs w:val="22"/>
                <w:lang w:eastAsia="en-US"/>
              </w:rPr>
              <w:t>Wskaźnik ma agregować wszystkie osoby objęte wsparciem w zakresie TIK we wszystkich projektach, także tych, gdzie szkolenie dotyczy obsługi specyficznego systemu teleinformatycznego, którego wdrożenia dotyczy projekt. Taka sytuacja może wystąpić przy cross-</w:t>
            </w:r>
            <w:proofErr w:type="spellStart"/>
            <w:r w:rsidRPr="008C1B3A">
              <w:rPr>
                <w:rFonts w:asciiTheme="minorHAnsi" w:eastAsiaTheme="minorHAnsi" w:hAnsiTheme="minorHAnsi" w:cstheme="minorHAnsi"/>
                <w:szCs w:val="22"/>
                <w:lang w:eastAsia="en-US"/>
              </w:rPr>
              <w:t>financingu</w:t>
            </w:r>
            <w:proofErr w:type="spellEnd"/>
            <w:r w:rsidRPr="008C1B3A">
              <w:rPr>
                <w:rFonts w:asciiTheme="minorHAnsi" w:eastAsiaTheme="minorHAnsi" w:hAnsiTheme="minorHAnsi" w:cstheme="minorHAnsi"/>
                <w:szCs w:val="22"/>
                <w:lang w:eastAsia="en-US"/>
              </w:rPr>
              <w:t xml:space="preserve"> w projektach dotyczących e-usług publicznych,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64" w:type="pct"/>
          </w:tcPr>
          <w:p w14:paraId="7EAB58DC" w14:textId="77777777" w:rsidR="00F079A2" w:rsidRPr="008C1B3A" w:rsidRDefault="001D14B1" w:rsidP="00F079A2">
            <w:pPr>
              <w:spacing w:line="240" w:lineRule="auto"/>
              <w:jc w:val="both"/>
              <w:rPr>
                <w:rFonts w:asciiTheme="minorHAnsi" w:hAnsiTheme="minorHAnsi" w:cstheme="minorHAnsi"/>
                <w:szCs w:val="22"/>
              </w:rPr>
            </w:pPr>
            <w:r w:rsidRPr="008C1B3A">
              <w:rPr>
                <w:rFonts w:asciiTheme="minorHAnsi" w:hAnsiTheme="minorHAnsi" w:cstheme="minorHAnsi"/>
                <w:szCs w:val="22"/>
              </w:rPr>
              <w:lastRenderedPageBreak/>
              <w:t>h</w:t>
            </w:r>
            <w:r w:rsidR="00F079A2" w:rsidRPr="008C1B3A">
              <w:rPr>
                <w:rFonts w:asciiTheme="minorHAnsi" w:hAnsiTheme="minorHAnsi" w:cstheme="minorHAnsi"/>
                <w:szCs w:val="22"/>
              </w:rPr>
              <w:t>oryzontalny</w:t>
            </w:r>
          </w:p>
        </w:tc>
      </w:tr>
      <w:tr w:rsidR="001D14B1" w:rsidRPr="00911273" w14:paraId="7BAB5E1C" w14:textId="77777777" w:rsidTr="00F079A2">
        <w:trPr>
          <w:trHeight w:val="20"/>
          <w:jc w:val="center"/>
        </w:trPr>
        <w:tc>
          <w:tcPr>
            <w:tcW w:w="1120" w:type="pct"/>
            <w:shd w:val="clear" w:color="auto" w:fill="auto"/>
          </w:tcPr>
          <w:p w14:paraId="6934AE63" w14:textId="77777777" w:rsidR="001D14B1" w:rsidRPr="001D14B1" w:rsidRDefault="001D14B1" w:rsidP="00F079A2">
            <w:pPr>
              <w:spacing w:before="0" w:line="240" w:lineRule="auto"/>
              <w:rPr>
                <w:rFonts w:asciiTheme="minorHAnsi" w:eastAsiaTheme="minorHAnsi" w:hAnsiTheme="minorHAnsi" w:cs="Arial"/>
                <w:color w:val="000000"/>
                <w:szCs w:val="22"/>
                <w:lang w:eastAsia="en-US"/>
              </w:rPr>
            </w:pPr>
            <w:r w:rsidRPr="001D14B1">
              <w:rPr>
                <w:rFonts w:asciiTheme="minorHAnsi" w:hAnsiTheme="minorHAnsi"/>
                <w:sz w:val="20"/>
              </w:rPr>
              <w:t>Liczba podmiotów wykorzystujących technologie informacyjno-komunikacyjne (TIK</w:t>
            </w:r>
            <w:r>
              <w:rPr>
                <w:rFonts w:asciiTheme="minorHAnsi" w:hAnsiTheme="minorHAnsi"/>
                <w:sz w:val="20"/>
              </w:rPr>
              <w:t>)</w:t>
            </w:r>
          </w:p>
        </w:tc>
        <w:tc>
          <w:tcPr>
            <w:tcW w:w="491" w:type="pct"/>
          </w:tcPr>
          <w:p w14:paraId="2512EAD3" w14:textId="77777777" w:rsidR="001D14B1" w:rsidRDefault="001D14B1" w:rsidP="00F079A2">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14:paraId="61C778D7" w14:textId="77777777" w:rsidR="001D14B1" w:rsidRPr="007E73B8" w:rsidRDefault="001D14B1" w:rsidP="001D14B1">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C73C84A" w14:textId="77777777" w:rsidR="001D14B1" w:rsidRPr="007E73B8" w:rsidRDefault="001D14B1" w:rsidP="001D14B1">
            <w:pPr>
              <w:spacing w:before="0" w:line="240" w:lineRule="auto"/>
              <w:jc w:val="both"/>
              <w:rPr>
                <w:rFonts w:asciiTheme="minorHAnsi" w:eastAsiaTheme="minorHAnsi" w:hAnsiTheme="minorHAnsi"/>
                <w:szCs w:val="22"/>
                <w:lang w:eastAsia="en-US"/>
              </w:rPr>
            </w:pPr>
          </w:p>
          <w:p w14:paraId="40D7A636" w14:textId="77777777" w:rsidR="001D14B1" w:rsidRPr="007E73B8" w:rsidRDefault="001D14B1" w:rsidP="001D14B1">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2C102B9A" w14:textId="77777777" w:rsidR="001D14B1" w:rsidRPr="007E73B8" w:rsidRDefault="001D14B1" w:rsidP="001D14B1">
            <w:pPr>
              <w:spacing w:before="0" w:line="240" w:lineRule="auto"/>
              <w:jc w:val="both"/>
              <w:rPr>
                <w:rFonts w:asciiTheme="minorHAnsi" w:eastAsiaTheme="minorHAnsi" w:hAnsiTheme="minorHAnsi"/>
                <w:szCs w:val="22"/>
                <w:lang w:eastAsia="en-US"/>
              </w:rPr>
            </w:pPr>
          </w:p>
          <w:p w14:paraId="03657F73" w14:textId="77777777" w:rsidR="001D14B1" w:rsidRPr="007E73B8" w:rsidRDefault="001D14B1" w:rsidP="001D14B1">
            <w:pPr>
              <w:spacing w:before="0" w:line="240" w:lineRule="auto"/>
              <w:jc w:val="both"/>
              <w:rPr>
                <w:rFonts w:asciiTheme="minorHAnsi" w:eastAsiaTheme="minorHAnsi" w:hAnsiTheme="minorHAnsi"/>
                <w:szCs w:val="22"/>
                <w:lang w:eastAsia="en-US"/>
              </w:rPr>
            </w:pPr>
            <w:r w:rsidRPr="007E73B8">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67D723B6" w14:textId="77777777" w:rsidR="001D14B1" w:rsidRPr="007E73B8" w:rsidRDefault="001D14B1" w:rsidP="001D14B1">
            <w:pPr>
              <w:spacing w:before="0" w:line="240" w:lineRule="auto"/>
              <w:jc w:val="both"/>
              <w:rPr>
                <w:rFonts w:asciiTheme="minorHAnsi" w:eastAsiaTheme="minorHAnsi" w:hAnsiTheme="minorHAnsi"/>
                <w:szCs w:val="22"/>
                <w:lang w:eastAsia="en-US"/>
              </w:rPr>
            </w:pPr>
          </w:p>
          <w:p w14:paraId="4381DB27" w14:textId="77777777" w:rsidR="001D14B1" w:rsidRPr="00911273" w:rsidRDefault="001D14B1" w:rsidP="001D14B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7E73B8">
              <w:rPr>
                <w:rFonts w:asciiTheme="minorHAnsi" w:eastAsiaTheme="minorHAnsi" w:hAnsiTheme="minorHAnsi"/>
                <w:szCs w:val="22"/>
                <w:lang w:eastAsia="en-US"/>
              </w:rPr>
              <w:t>W przypadku, gdy beneficjentem pozostaje jede</w:t>
            </w:r>
            <w:r>
              <w:rPr>
                <w:rFonts w:asciiTheme="minorHAnsi" w:eastAsiaTheme="minorHAnsi" w:hAnsiTheme="minorHAnsi"/>
                <w:szCs w:val="22"/>
                <w:lang w:eastAsia="en-US"/>
              </w:rPr>
              <w:t>n</w:t>
            </w:r>
            <w:r w:rsidRPr="007E73B8">
              <w:rPr>
                <w:rFonts w:asciiTheme="minorHAnsi" w:eastAsiaTheme="minorHAnsi" w:hAnsiTheme="minorHAnsi"/>
                <w:szCs w:val="22"/>
                <w:lang w:eastAsia="en-US"/>
              </w:rPr>
              <w:t xml:space="preserve"> podmiot, we wskaźniku należy ująć </w:t>
            </w:r>
            <w:r w:rsidRPr="007E73B8">
              <w:rPr>
                <w:rFonts w:asciiTheme="minorHAnsi" w:eastAsiaTheme="minorHAnsi" w:hAnsiTheme="minorHAnsi"/>
                <w:szCs w:val="22"/>
                <w:lang w:eastAsia="en-US"/>
              </w:rPr>
              <w:lastRenderedPageBreak/>
              <w:t>wartość „1”. W przypadku, gdy projekt jest realizowany przez partnerstwo podmiotów, w wartości wskaźnika należy ująć każdy z podmiotów wchodzących w skład partnerstwa, który wdrożył w swojej działalności narzędzia TIK.</w:t>
            </w:r>
          </w:p>
        </w:tc>
        <w:tc>
          <w:tcPr>
            <w:tcW w:w="964" w:type="pct"/>
          </w:tcPr>
          <w:p w14:paraId="67C13F6E" w14:textId="77777777" w:rsidR="001D14B1" w:rsidRDefault="001D14B1" w:rsidP="001D14B1">
            <w:pPr>
              <w:spacing w:line="240" w:lineRule="auto"/>
              <w:jc w:val="both"/>
              <w:rPr>
                <w:rFonts w:asciiTheme="minorHAnsi" w:hAnsiTheme="minorHAnsi"/>
                <w:szCs w:val="22"/>
              </w:rPr>
            </w:pPr>
            <w:r>
              <w:rPr>
                <w:rFonts w:asciiTheme="minorHAnsi" w:hAnsiTheme="minorHAnsi"/>
                <w:szCs w:val="22"/>
              </w:rPr>
              <w:lastRenderedPageBreak/>
              <w:t>horyzontalny</w:t>
            </w:r>
          </w:p>
        </w:tc>
      </w:tr>
      <w:tr w:rsidR="00F079A2" w:rsidRPr="00911273" w14:paraId="1C22544D" w14:textId="77777777" w:rsidTr="00F079A2">
        <w:trPr>
          <w:trHeight w:val="20"/>
          <w:jc w:val="center"/>
        </w:trPr>
        <w:tc>
          <w:tcPr>
            <w:tcW w:w="1120" w:type="pct"/>
            <w:shd w:val="clear" w:color="auto" w:fill="auto"/>
          </w:tcPr>
          <w:p w14:paraId="784661BD" w14:textId="77777777" w:rsidR="00F079A2" w:rsidRPr="00911273" w:rsidRDefault="00F079A2" w:rsidP="00F079A2">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14:paraId="3F207C62" w14:textId="77777777" w:rsidR="00F079A2" w:rsidRPr="00911273" w:rsidRDefault="00F079A2" w:rsidP="00F079A2">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14:paraId="5C5084A8" w14:textId="77777777" w:rsidR="00F079A2" w:rsidRPr="00911273" w:rsidRDefault="00F079A2" w:rsidP="00F079A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17FDFEB2" w14:textId="77777777" w:rsidR="00F079A2" w:rsidRPr="00911273" w:rsidRDefault="00F079A2" w:rsidP="00F079A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0620A817" w14:textId="77777777" w:rsidR="00F079A2" w:rsidRPr="00911273" w:rsidRDefault="00F079A2" w:rsidP="00F079A2">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14:paraId="2DDD4164" w14:textId="77777777" w:rsidR="00F079A2" w:rsidRPr="0061737E" w:rsidRDefault="001D14B1" w:rsidP="001D14B1">
            <w:pPr>
              <w:spacing w:line="240" w:lineRule="auto"/>
              <w:jc w:val="both"/>
              <w:rPr>
                <w:rFonts w:asciiTheme="minorHAnsi" w:hAnsiTheme="minorHAnsi"/>
                <w:szCs w:val="22"/>
              </w:rPr>
            </w:pPr>
            <w:r>
              <w:rPr>
                <w:rFonts w:asciiTheme="minorHAnsi" w:hAnsiTheme="minorHAnsi"/>
                <w:szCs w:val="22"/>
              </w:rPr>
              <w:t>h</w:t>
            </w:r>
            <w:r w:rsidR="00F079A2" w:rsidRPr="000B05C7">
              <w:rPr>
                <w:rFonts w:asciiTheme="minorHAnsi" w:hAnsiTheme="minorHAnsi"/>
                <w:szCs w:val="22"/>
              </w:rPr>
              <w:t>oryzontalny</w:t>
            </w:r>
          </w:p>
        </w:tc>
      </w:tr>
    </w:tbl>
    <w:p w14:paraId="4F207AB3" w14:textId="77777777" w:rsidR="00717CB4" w:rsidRDefault="00717CB4" w:rsidP="00896429">
      <w:pPr>
        <w:spacing w:line="240" w:lineRule="auto"/>
        <w:jc w:val="both"/>
        <w:rPr>
          <w:rFonts w:asciiTheme="minorHAnsi" w:hAnsiTheme="minorHAnsi"/>
          <w:b/>
          <w:szCs w:val="22"/>
        </w:rPr>
      </w:pPr>
    </w:p>
    <w:p w14:paraId="6E72FFF9" w14:textId="2C1C2768" w:rsidR="003D3BC5" w:rsidRPr="00E46437" w:rsidRDefault="008C495E" w:rsidP="00896429">
      <w:pPr>
        <w:spacing w:line="240" w:lineRule="auto"/>
        <w:jc w:val="both"/>
        <w:rPr>
          <w:rFonts w:asciiTheme="minorHAnsi" w:hAnsiTheme="minorHAnsi" w:cs="Arial"/>
          <w:szCs w:val="22"/>
        </w:rPr>
      </w:pPr>
      <w:r w:rsidRPr="00E46437">
        <w:rPr>
          <w:rFonts w:asciiTheme="minorHAnsi" w:hAnsiTheme="minorHAnsi"/>
          <w:b/>
          <w:szCs w:val="22"/>
        </w:rPr>
        <w:t>Wskaźniki rezultatu bezpośredniego</w:t>
      </w:r>
      <w:r w:rsidR="007300ED" w:rsidRPr="00E46437">
        <w:rPr>
          <w:rFonts w:asciiTheme="minorHAnsi" w:hAnsiTheme="minorHAnsi"/>
          <w:szCs w:val="22"/>
        </w:rPr>
        <w:t xml:space="preserve"> są to </w:t>
      </w:r>
      <w:r w:rsidR="003D3BC5" w:rsidRPr="00E46437">
        <w:rPr>
          <w:rFonts w:asciiTheme="minorHAnsi" w:hAnsiTheme="minorHAnsi"/>
          <w:szCs w:val="22"/>
        </w:rPr>
        <w:t>w</w:t>
      </w:r>
      <w:r w:rsidR="003D3BC5" w:rsidRPr="00E46437">
        <w:rPr>
          <w:rFonts w:asciiTheme="minorHAnsi" w:hAnsiTheme="minorHAnsi" w:cs="Arial"/>
          <w:szCs w:val="22"/>
        </w:rPr>
        <w:t>skaźniki odnoszące się</w:t>
      </w:r>
      <w:r w:rsidR="0015486C" w:rsidRPr="00E46437">
        <w:rPr>
          <w:rFonts w:asciiTheme="minorHAnsi" w:hAnsiTheme="minorHAnsi" w:cs="Arial"/>
          <w:szCs w:val="22"/>
        </w:rPr>
        <w:t xml:space="preserve"> </w:t>
      </w:r>
      <w:r w:rsidR="003D3BC5" w:rsidRPr="00E46437">
        <w:rPr>
          <w:rFonts w:asciiTheme="minorHAnsi" w:hAnsiTheme="minorHAnsi" w:cs="Arial"/>
          <w:szCs w:val="22"/>
        </w:rPr>
        <w:t xml:space="preserve">do bezpośrednich efektów projektu, </w:t>
      </w:r>
      <w:r w:rsidR="008E3F0D" w:rsidRPr="00E46437">
        <w:rPr>
          <w:rFonts w:asciiTheme="minorHAnsi" w:hAnsiTheme="minorHAnsi" w:cs="Arial"/>
          <w:szCs w:val="22"/>
        </w:rPr>
        <w:t xml:space="preserve">stanowią </w:t>
      </w:r>
      <w:r w:rsidR="003D3BC5" w:rsidRPr="00E46437">
        <w:rPr>
          <w:rFonts w:asciiTheme="minorHAnsi" w:hAnsiTheme="minorHAnsi" w:cs="Arial"/>
          <w:szCs w:val="22"/>
        </w:rPr>
        <w:t>wynik</w:t>
      </w:r>
      <w:r w:rsidR="008E3F0D" w:rsidRPr="00E46437">
        <w:rPr>
          <w:rFonts w:asciiTheme="minorHAnsi" w:hAnsiTheme="minorHAnsi" w:cs="Arial"/>
          <w:szCs w:val="22"/>
        </w:rPr>
        <w:t xml:space="preserve"> realizacji</w:t>
      </w:r>
      <w:r w:rsidR="003D3BC5" w:rsidRPr="00E46437">
        <w:rPr>
          <w:rFonts w:asciiTheme="minorHAnsi" w:hAnsiTheme="minorHAnsi" w:cs="Arial"/>
          <w:szCs w:val="22"/>
        </w:rPr>
        <w:t xml:space="preserve"> projektu, ale mogą mieć na ni</w:t>
      </w:r>
      <w:r w:rsidR="008E3F0D" w:rsidRPr="00E46437">
        <w:rPr>
          <w:rFonts w:asciiTheme="minorHAnsi" w:hAnsiTheme="minorHAnsi" w:cs="Arial"/>
          <w:szCs w:val="22"/>
        </w:rPr>
        <w:t>ego</w:t>
      </w:r>
      <w:r w:rsidR="003D3BC5" w:rsidRPr="00E46437">
        <w:rPr>
          <w:rFonts w:asciiTheme="minorHAnsi" w:hAnsiTheme="minorHAnsi" w:cs="Arial"/>
          <w:szCs w:val="22"/>
        </w:rPr>
        <w:t xml:space="preserve"> wpływ także inne zewnętrzne czynniki; niepowiązane bezpośrednio z wydatkami ponoszonymi w projekcie. </w:t>
      </w:r>
      <w:r w:rsidR="007300ED" w:rsidRPr="00E46437">
        <w:rPr>
          <w:rFonts w:asciiTheme="minorHAnsi" w:hAnsiTheme="minorHAnsi" w:cs="Arial"/>
          <w:szCs w:val="22"/>
        </w:rPr>
        <w:t>Dostarczają informacji o zmianach jakie nastąpiły w wyniku realizacji projektu, w</w:t>
      </w:r>
      <w:r w:rsidR="00141571" w:rsidRPr="00E46437">
        <w:rPr>
          <w:rFonts w:asciiTheme="minorHAnsi" w:hAnsiTheme="minorHAnsi" w:cs="Arial"/>
          <w:szCs w:val="22"/>
        </w:rPr>
        <w:t> </w:t>
      </w:r>
      <w:r w:rsidR="007300ED" w:rsidRPr="00E46437">
        <w:rPr>
          <w:rFonts w:asciiTheme="minorHAnsi" w:hAnsiTheme="minorHAnsi" w:cs="Arial"/>
          <w:szCs w:val="22"/>
        </w:rPr>
        <w:t xml:space="preserve">porównaniu z wielkością wyjściową (bazową). Są logicznie powiązane ze wskaźnikami produktu. </w:t>
      </w:r>
      <w:r w:rsidR="000F5C98" w:rsidRPr="00E46437">
        <w:rPr>
          <w:rFonts w:asciiTheme="minorHAnsi" w:hAnsiTheme="minorHAnsi" w:cs="Arial"/>
          <w:szCs w:val="22"/>
        </w:rPr>
        <w:t xml:space="preserve"> Muszą być adekwatne do celu projektu.</w:t>
      </w:r>
    </w:p>
    <w:p w14:paraId="4CD2E5A6" w14:textId="77777777" w:rsidR="000F5C98" w:rsidRPr="00E46437" w:rsidRDefault="000F5C98" w:rsidP="007650AC">
      <w:pPr>
        <w:pStyle w:val="Default"/>
        <w:jc w:val="both"/>
        <w:rPr>
          <w:sz w:val="22"/>
          <w:szCs w:val="22"/>
        </w:rPr>
      </w:pPr>
    </w:p>
    <w:p w14:paraId="51C0E440" w14:textId="77777777" w:rsidR="000F5C98" w:rsidRPr="002F3CD1" w:rsidRDefault="000F5C98" w:rsidP="007650AC">
      <w:pPr>
        <w:pStyle w:val="Default"/>
        <w:jc w:val="both"/>
        <w:rPr>
          <w:rFonts w:asciiTheme="minorHAnsi" w:hAnsiTheme="minorHAnsi"/>
          <w:sz w:val="22"/>
          <w:szCs w:val="22"/>
        </w:rPr>
      </w:pPr>
      <w:r w:rsidRPr="00E46437">
        <w:rPr>
          <w:rFonts w:asciiTheme="minorHAnsi" w:hAnsiTheme="minorHAnsi"/>
          <w:sz w:val="22"/>
          <w:szCs w:val="22"/>
        </w:rPr>
        <w:t xml:space="preserve">Dla każdego z wybranych wskaźników Wnioskodawca zobowiązany jest do wskazania </w:t>
      </w:r>
      <w:r w:rsidRPr="00E46437">
        <w:rPr>
          <w:rFonts w:asciiTheme="minorHAnsi" w:hAnsiTheme="minorHAnsi"/>
          <w:i/>
          <w:sz w:val="22"/>
          <w:szCs w:val="22"/>
        </w:rPr>
        <w:t>„Jednostki miary”</w:t>
      </w:r>
      <w:r w:rsidRPr="00E46437">
        <w:rPr>
          <w:rFonts w:asciiTheme="minorHAnsi" w:hAnsiTheme="minorHAnsi"/>
          <w:sz w:val="22"/>
          <w:szCs w:val="22"/>
        </w:rPr>
        <w:t xml:space="preserve">, </w:t>
      </w:r>
      <w:r w:rsidRPr="00E46437">
        <w:rPr>
          <w:rFonts w:asciiTheme="minorHAnsi" w:hAnsiTheme="minorHAnsi"/>
          <w:i/>
          <w:sz w:val="22"/>
          <w:szCs w:val="22"/>
        </w:rPr>
        <w:t>„Wartości bazowej”</w:t>
      </w:r>
      <w:r w:rsidRPr="00E46437">
        <w:rPr>
          <w:rFonts w:asciiTheme="minorHAnsi" w:hAnsiTheme="minorHAnsi"/>
          <w:sz w:val="22"/>
          <w:szCs w:val="22"/>
        </w:rPr>
        <w:t xml:space="preserve">, </w:t>
      </w:r>
      <w:r w:rsidRPr="00E46437">
        <w:rPr>
          <w:rFonts w:asciiTheme="minorHAnsi" w:hAnsiTheme="minorHAnsi"/>
          <w:i/>
          <w:sz w:val="22"/>
          <w:szCs w:val="22"/>
        </w:rPr>
        <w:t>„Wartości docelowej wskaźnika”</w:t>
      </w:r>
      <w:r w:rsidRPr="00E46437">
        <w:rPr>
          <w:rFonts w:asciiTheme="minorHAnsi" w:hAnsiTheme="minorHAnsi"/>
          <w:sz w:val="22"/>
          <w:szCs w:val="22"/>
        </w:rPr>
        <w:t xml:space="preserve">, a także </w:t>
      </w:r>
      <w:r w:rsidR="00141571" w:rsidRPr="00E46437">
        <w:rPr>
          <w:rFonts w:asciiTheme="minorHAnsi" w:hAnsiTheme="minorHAnsi"/>
          <w:i/>
          <w:sz w:val="22"/>
          <w:szCs w:val="22"/>
        </w:rPr>
        <w:t xml:space="preserve">„Źródła informacji </w:t>
      </w:r>
      <w:r w:rsidR="00141571" w:rsidRPr="002F3CD1">
        <w:rPr>
          <w:rFonts w:asciiTheme="minorHAnsi" w:hAnsiTheme="minorHAnsi"/>
          <w:i/>
          <w:sz w:val="22"/>
          <w:szCs w:val="22"/>
        </w:rPr>
        <w:t>o </w:t>
      </w:r>
      <w:r w:rsidRPr="002F3CD1">
        <w:rPr>
          <w:rFonts w:asciiTheme="minorHAnsi" w:hAnsiTheme="minorHAnsi"/>
          <w:i/>
          <w:sz w:val="22"/>
          <w:szCs w:val="22"/>
        </w:rPr>
        <w:t>wskaźniku”</w:t>
      </w:r>
      <w:r w:rsidRPr="002F3CD1">
        <w:rPr>
          <w:rFonts w:asciiTheme="minorHAnsi" w:hAnsiTheme="minorHAnsi"/>
          <w:sz w:val="22"/>
          <w:szCs w:val="22"/>
        </w:rPr>
        <w:t xml:space="preserve">. </w:t>
      </w:r>
    </w:p>
    <w:p w14:paraId="70014802" w14:textId="77777777" w:rsidR="000F5C98" w:rsidRPr="002F3CD1" w:rsidRDefault="000F5C98" w:rsidP="007650AC">
      <w:pPr>
        <w:pStyle w:val="Default"/>
        <w:jc w:val="both"/>
        <w:rPr>
          <w:rFonts w:asciiTheme="minorHAnsi" w:hAnsiTheme="minorHAnsi"/>
          <w:sz w:val="22"/>
          <w:szCs w:val="22"/>
        </w:rPr>
      </w:pPr>
      <w:r w:rsidRPr="002F3CD1">
        <w:rPr>
          <w:rFonts w:asciiTheme="minorHAnsi" w:hAnsiTheme="minorHAnsi"/>
          <w:sz w:val="22"/>
          <w:szCs w:val="22"/>
        </w:rPr>
        <w:t>Wartość docelowa dla wskaźnika rezultatu to wyrażony liczbowo stan danego wskaźnika uzyskany w</w:t>
      </w:r>
      <w:r w:rsidR="00141571" w:rsidRPr="002F3CD1">
        <w:rPr>
          <w:rFonts w:asciiTheme="minorHAnsi" w:hAnsiTheme="minorHAnsi"/>
          <w:sz w:val="22"/>
          <w:szCs w:val="22"/>
        </w:rPr>
        <w:t> </w:t>
      </w:r>
      <w:r w:rsidRPr="002F3CD1">
        <w:rPr>
          <w:rFonts w:asciiTheme="minorHAnsi" w:hAnsiTheme="minorHAnsi"/>
          <w:sz w:val="22"/>
          <w:szCs w:val="22"/>
        </w:rPr>
        <w:t xml:space="preserve">efekcie realizacji projektu </w:t>
      </w:r>
    </w:p>
    <w:p w14:paraId="7C346FFB" w14:textId="77777777" w:rsidR="007300ED" w:rsidRPr="00F079A2" w:rsidRDefault="000F5C98" w:rsidP="00485CDD">
      <w:pPr>
        <w:autoSpaceDE w:val="0"/>
        <w:autoSpaceDN w:val="0"/>
        <w:adjustRightInd w:val="0"/>
        <w:spacing w:before="0" w:line="240" w:lineRule="auto"/>
        <w:jc w:val="both"/>
        <w:rPr>
          <w:rFonts w:asciiTheme="minorHAnsi" w:hAnsiTheme="minorHAnsi"/>
        </w:rPr>
      </w:pPr>
      <w:r w:rsidRPr="002F3CD1">
        <w:rPr>
          <w:rFonts w:asciiTheme="minorHAnsi" w:hAnsiTheme="minorHAnsi"/>
        </w:rPr>
        <w:t>Jako źródło informacji o wskaźniku wskazać</w:t>
      </w:r>
      <w:r w:rsidR="00FA12EA" w:rsidRPr="002F3CD1">
        <w:rPr>
          <w:rFonts w:asciiTheme="minorHAnsi" w:hAnsiTheme="minorHAnsi"/>
        </w:rPr>
        <w:t xml:space="preserve"> należy odpowiedni dokument</w:t>
      </w:r>
      <w:r w:rsidR="00E20DA1" w:rsidRPr="002F3CD1">
        <w:rPr>
          <w:rFonts w:asciiTheme="minorHAnsi" w:hAnsiTheme="minorHAnsi"/>
        </w:rPr>
        <w:t xml:space="preserve"> (np. ewidencja zatrudnienia, ewidencja </w:t>
      </w:r>
      <w:r w:rsidR="001D14B1" w:rsidRPr="002F3CD1">
        <w:rPr>
          <w:rFonts w:asciiTheme="minorHAnsi" w:hAnsiTheme="minorHAnsi"/>
        </w:rPr>
        <w:t>pacjentów</w:t>
      </w:r>
      <w:r w:rsidR="00E20DA1" w:rsidRPr="002F3CD1">
        <w:rPr>
          <w:rFonts w:asciiTheme="minorHAnsi" w:hAnsiTheme="minorHAnsi"/>
        </w:rPr>
        <w:t>).</w:t>
      </w:r>
    </w:p>
    <w:p w14:paraId="02B8E8BF" w14:textId="249EC0E9" w:rsidR="008554A8" w:rsidRPr="00F079A2" w:rsidRDefault="006C7E86"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 xml:space="preserve">W ramach Działania </w:t>
      </w:r>
      <w:r w:rsidR="008C1B3A">
        <w:rPr>
          <w:rFonts w:asciiTheme="minorHAnsi" w:hAnsiTheme="minorHAnsi"/>
          <w:b/>
          <w:szCs w:val="22"/>
        </w:rPr>
        <w:t>12</w:t>
      </w:r>
      <w:r w:rsidR="0067179E" w:rsidRPr="00F079A2">
        <w:rPr>
          <w:rFonts w:asciiTheme="minorHAnsi" w:hAnsiTheme="minorHAnsi"/>
          <w:b/>
          <w:szCs w:val="22"/>
        </w:rPr>
        <w:t>.</w:t>
      </w:r>
      <w:r w:rsidR="008C1B3A">
        <w:rPr>
          <w:rFonts w:asciiTheme="minorHAnsi" w:hAnsiTheme="minorHAnsi"/>
          <w:b/>
          <w:szCs w:val="22"/>
        </w:rPr>
        <w:t>1</w:t>
      </w:r>
      <w:r w:rsidR="00DC184F" w:rsidRPr="00F079A2">
        <w:rPr>
          <w:rFonts w:asciiTheme="minorHAnsi" w:hAnsiTheme="minorHAnsi"/>
          <w:b/>
          <w:szCs w:val="22"/>
        </w:rPr>
        <w:t xml:space="preserve">  określono poniższe wskaźniki </w:t>
      </w:r>
      <w:r w:rsidR="00D57D29" w:rsidRPr="00F079A2">
        <w:rPr>
          <w:rFonts w:asciiTheme="minorHAnsi" w:hAnsiTheme="minorHAnsi"/>
          <w:b/>
          <w:szCs w:val="22"/>
        </w:rPr>
        <w:t>rezultatu bezpośredniego</w:t>
      </w:r>
      <w:r w:rsidR="00DC184F" w:rsidRPr="00F079A2">
        <w:rPr>
          <w:rFonts w:asciiTheme="minorHAnsi" w:hAnsiTheme="minorHAnsi"/>
          <w:b/>
          <w:szCs w:val="22"/>
        </w:rPr>
        <w:t>:</w:t>
      </w:r>
    </w:p>
    <w:p w14:paraId="0AC5A4E8" w14:textId="77777777" w:rsidR="008554A8" w:rsidRPr="00AC0FA1" w:rsidRDefault="008554A8" w:rsidP="00485CDD">
      <w:pPr>
        <w:autoSpaceDE w:val="0"/>
        <w:autoSpaceDN w:val="0"/>
        <w:adjustRightInd w:val="0"/>
        <w:spacing w:before="0" w:line="240" w:lineRule="auto"/>
        <w:jc w:val="both"/>
        <w:rPr>
          <w:rFonts w:asciiTheme="minorHAnsi" w:hAnsiTheme="minorHAnsi"/>
          <w:color w:val="FF0000"/>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8554A8" w:rsidRPr="00AC0FA1" w14:paraId="3383E195" w14:textId="77777777" w:rsidTr="00AC0FA1">
        <w:trPr>
          <w:trHeight w:val="20"/>
          <w:jc w:val="center"/>
        </w:trPr>
        <w:tc>
          <w:tcPr>
            <w:tcW w:w="1189" w:type="pct"/>
            <w:shd w:val="clear" w:color="auto" w:fill="auto"/>
            <w:vAlign w:val="center"/>
          </w:tcPr>
          <w:p w14:paraId="5B5410A1" w14:textId="77777777" w:rsidR="008554A8" w:rsidRPr="0083677D" w:rsidRDefault="008554A8" w:rsidP="00AC0FA1">
            <w:pPr>
              <w:spacing w:before="0" w:line="240" w:lineRule="auto"/>
              <w:jc w:val="center"/>
              <w:rPr>
                <w:rFonts w:asciiTheme="minorHAnsi" w:hAnsiTheme="minorHAnsi"/>
                <w:b/>
                <w:szCs w:val="22"/>
              </w:rPr>
            </w:pPr>
            <w:r w:rsidRPr="0083677D">
              <w:rPr>
                <w:rFonts w:asciiTheme="minorHAnsi" w:hAnsiTheme="minorHAnsi"/>
                <w:b/>
                <w:szCs w:val="22"/>
              </w:rPr>
              <w:lastRenderedPageBreak/>
              <w:t>Nazwa wskaźnika rezultatu bezpośredniego</w:t>
            </w:r>
          </w:p>
        </w:tc>
        <w:tc>
          <w:tcPr>
            <w:tcW w:w="701" w:type="pct"/>
          </w:tcPr>
          <w:p w14:paraId="430ED1BC" w14:textId="77777777" w:rsidR="008554A8" w:rsidRPr="0083677D" w:rsidRDefault="008554A8" w:rsidP="00AC0FA1">
            <w:pPr>
              <w:suppressAutoHyphens/>
              <w:spacing w:before="0" w:line="240" w:lineRule="auto"/>
              <w:jc w:val="center"/>
              <w:rPr>
                <w:rFonts w:asciiTheme="minorHAnsi" w:hAnsiTheme="minorHAnsi"/>
                <w:b/>
                <w:bCs/>
                <w:szCs w:val="22"/>
              </w:rPr>
            </w:pPr>
            <w:r w:rsidRPr="0083677D">
              <w:rPr>
                <w:rFonts w:asciiTheme="minorHAnsi" w:hAnsiTheme="minorHAnsi"/>
                <w:b/>
                <w:bCs/>
                <w:szCs w:val="22"/>
              </w:rPr>
              <w:t>Jednostka miary</w:t>
            </w:r>
          </w:p>
        </w:tc>
        <w:tc>
          <w:tcPr>
            <w:tcW w:w="2061" w:type="pct"/>
            <w:shd w:val="clear" w:color="auto" w:fill="auto"/>
            <w:vAlign w:val="center"/>
          </w:tcPr>
          <w:p w14:paraId="2A910160" w14:textId="77777777" w:rsidR="008554A8" w:rsidRPr="0083677D" w:rsidRDefault="008554A8" w:rsidP="00AC0FA1">
            <w:pPr>
              <w:suppressAutoHyphens/>
              <w:spacing w:before="0" w:line="240" w:lineRule="auto"/>
              <w:jc w:val="center"/>
              <w:rPr>
                <w:rFonts w:asciiTheme="minorHAnsi" w:hAnsiTheme="minorHAnsi"/>
                <w:b/>
                <w:szCs w:val="22"/>
              </w:rPr>
            </w:pPr>
            <w:r w:rsidRPr="0083677D">
              <w:rPr>
                <w:rFonts w:asciiTheme="minorHAnsi" w:hAnsiTheme="minorHAnsi"/>
                <w:b/>
                <w:bCs/>
                <w:szCs w:val="22"/>
              </w:rPr>
              <w:t>Definicja wskaźnika</w:t>
            </w:r>
          </w:p>
        </w:tc>
        <w:tc>
          <w:tcPr>
            <w:tcW w:w="1049" w:type="pct"/>
          </w:tcPr>
          <w:p w14:paraId="17EE7ED1" w14:textId="77777777" w:rsidR="008554A8" w:rsidRPr="0083677D" w:rsidRDefault="008554A8" w:rsidP="00AC0FA1">
            <w:pPr>
              <w:suppressAutoHyphens/>
              <w:spacing w:before="0" w:line="240" w:lineRule="auto"/>
              <w:jc w:val="center"/>
              <w:rPr>
                <w:rFonts w:asciiTheme="minorHAnsi" w:hAnsiTheme="minorHAnsi"/>
                <w:b/>
                <w:bCs/>
                <w:szCs w:val="22"/>
              </w:rPr>
            </w:pPr>
            <w:r w:rsidRPr="0083677D">
              <w:rPr>
                <w:rFonts w:asciiTheme="minorHAnsi" w:hAnsiTheme="minorHAnsi"/>
                <w:b/>
                <w:bCs/>
                <w:szCs w:val="22"/>
              </w:rPr>
              <w:t>Rodzaj dokumentu, w którym określono wskaźnik</w:t>
            </w:r>
          </w:p>
        </w:tc>
      </w:tr>
      <w:tr w:rsidR="00C94E13" w:rsidRPr="00AC0FA1" w14:paraId="5497B71A" w14:textId="77777777" w:rsidTr="00AC0FA1">
        <w:trPr>
          <w:trHeight w:val="20"/>
          <w:jc w:val="center"/>
        </w:trPr>
        <w:tc>
          <w:tcPr>
            <w:tcW w:w="1189" w:type="pct"/>
            <w:shd w:val="clear" w:color="auto" w:fill="auto"/>
          </w:tcPr>
          <w:p w14:paraId="6571D9CF" w14:textId="77777777" w:rsidR="00C94E13" w:rsidRPr="0083677D" w:rsidRDefault="0059579B" w:rsidP="00AC0FA1">
            <w:pPr>
              <w:spacing w:before="60" w:after="60" w:line="240" w:lineRule="auto"/>
              <w:rPr>
                <w:rFonts w:asciiTheme="minorHAnsi" w:hAnsiTheme="minorHAnsi"/>
                <w:szCs w:val="22"/>
              </w:rPr>
            </w:pPr>
            <w:r w:rsidRPr="0083677D">
              <w:rPr>
                <w:rFonts w:asciiTheme="minorHAnsi" w:eastAsiaTheme="minorHAnsi" w:hAnsiTheme="minorHAnsi" w:cs="Arial"/>
                <w:szCs w:val="22"/>
                <w:lang w:eastAsia="en-US"/>
              </w:rPr>
              <w:t xml:space="preserve">Ludność objęta ulepszonymi usługami zdrowotnymi </w:t>
            </w:r>
            <w:r w:rsidR="0083677D" w:rsidRPr="0083677D">
              <w:rPr>
                <w:rFonts w:asciiTheme="minorHAnsi" w:eastAsiaTheme="minorHAnsi" w:hAnsiTheme="minorHAnsi" w:cs="Arial"/>
                <w:szCs w:val="22"/>
                <w:lang w:eastAsia="en-US"/>
              </w:rPr>
              <w:t>(CI 36)</w:t>
            </w:r>
          </w:p>
        </w:tc>
        <w:tc>
          <w:tcPr>
            <w:tcW w:w="701" w:type="pct"/>
          </w:tcPr>
          <w:p w14:paraId="5BBDBB61" w14:textId="77777777" w:rsidR="00C94E13" w:rsidRPr="0083677D" w:rsidRDefault="00C94E13" w:rsidP="00AC0FA1">
            <w:pPr>
              <w:spacing w:line="240" w:lineRule="auto"/>
              <w:jc w:val="both"/>
              <w:rPr>
                <w:rFonts w:asciiTheme="minorHAnsi" w:hAnsiTheme="minorHAnsi"/>
                <w:szCs w:val="22"/>
              </w:rPr>
            </w:pPr>
            <w:r w:rsidRPr="0083677D">
              <w:rPr>
                <w:rFonts w:asciiTheme="minorHAnsi" w:hAnsiTheme="minorHAnsi"/>
                <w:szCs w:val="22"/>
              </w:rPr>
              <w:t>osoby</w:t>
            </w:r>
          </w:p>
        </w:tc>
        <w:tc>
          <w:tcPr>
            <w:tcW w:w="2061" w:type="pct"/>
            <w:shd w:val="clear" w:color="auto" w:fill="auto"/>
          </w:tcPr>
          <w:p w14:paraId="49DB4F97" w14:textId="77777777" w:rsidR="00896429" w:rsidRPr="00896429" w:rsidRDefault="00896429" w:rsidP="00896429">
            <w:pPr>
              <w:spacing w:before="60" w:after="60" w:line="240" w:lineRule="auto"/>
              <w:rPr>
                <w:rFonts w:asciiTheme="minorHAnsi" w:eastAsiaTheme="minorHAnsi" w:hAnsiTheme="minorHAnsi" w:cs="Arial"/>
                <w:szCs w:val="22"/>
                <w:lang w:eastAsia="en-US"/>
              </w:rPr>
            </w:pPr>
            <w:r w:rsidRPr="00896429">
              <w:rPr>
                <w:rFonts w:asciiTheme="minorHAnsi" w:eastAsiaTheme="minorHAnsi" w:hAnsiTheme="minorHAnsi" w:cs="Arial"/>
                <w:szCs w:val="22"/>
                <w:lang w:eastAsia="en-US"/>
              </w:rPr>
              <w:t xml:space="preserve">Liczba osób zamieszkująca dany obszar, która będzie korzystała z usług zdrowotnych podmiotów leczniczych objętych wsparciem w ramach projektu. Wskaźnik dotyczy nowych lub zmodernizowanych budynków oraz budynków wyposażonych w nowy sprzęt zakupiony w ramach projektu. </w:t>
            </w:r>
          </w:p>
          <w:p w14:paraId="7D892287" w14:textId="77777777" w:rsidR="00896429" w:rsidRPr="00896429" w:rsidRDefault="00896429" w:rsidP="00896429">
            <w:pPr>
              <w:spacing w:before="60" w:after="60" w:line="240" w:lineRule="auto"/>
              <w:rPr>
                <w:rFonts w:asciiTheme="minorHAnsi" w:eastAsiaTheme="minorHAnsi" w:hAnsiTheme="minorHAnsi" w:cs="Arial"/>
                <w:szCs w:val="22"/>
                <w:lang w:eastAsia="en-US"/>
              </w:rPr>
            </w:pPr>
            <w:r w:rsidRPr="00896429">
              <w:rPr>
                <w:rFonts w:asciiTheme="minorHAnsi" w:eastAsiaTheme="minorHAnsi" w:hAnsiTheme="minorHAnsi" w:cs="Arial"/>
                <w:szCs w:val="22"/>
                <w:lang w:eastAsia="en-US"/>
              </w:rPr>
              <w:t>Wyklucza się podwójne licznie osób, nawet jeśli jedna osoba korzysta z kilku usług w jednym podmiocie leczniczym, tj. różnego typu usług zdrowotnych (m.in. profilaktyka, opieka ambulatoryjna, opieka szpitalna, opieka poszpitalna).</w:t>
            </w:r>
          </w:p>
          <w:p w14:paraId="45BA6305" w14:textId="10FE8A9C" w:rsidR="00896429" w:rsidRDefault="00896429" w:rsidP="00896429">
            <w:pPr>
              <w:spacing w:before="60" w:after="60" w:line="240" w:lineRule="auto"/>
              <w:rPr>
                <w:rFonts w:asciiTheme="minorHAnsi" w:eastAsiaTheme="minorHAnsi" w:hAnsiTheme="minorHAnsi" w:cs="Arial"/>
                <w:szCs w:val="22"/>
                <w:lang w:eastAsia="en-US"/>
              </w:rPr>
            </w:pPr>
            <w:r w:rsidRPr="00896429">
              <w:rPr>
                <w:rFonts w:asciiTheme="minorHAnsi" w:eastAsiaTheme="minorHAnsi" w:hAnsiTheme="minorHAnsi" w:cs="Arial"/>
                <w:szCs w:val="22"/>
                <w:lang w:eastAsia="en-US"/>
              </w:rPr>
              <w:t xml:space="preserve"> Liczbę osób należy podać w oparciu o dane historyczne.</w:t>
            </w:r>
          </w:p>
          <w:p w14:paraId="688D2237" w14:textId="77777777" w:rsidR="00896429" w:rsidRPr="008961DF" w:rsidRDefault="00896429" w:rsidP="008961DF">
            <w:pPr>
              <w:spacing w:before="60" w:after="60" w:line="240" w:lineRule="auto"/>
              <w:rPr>
                <w:rFonts w:asciiTheme="minorHAnsi" w:eastAsiaTheme="minorHAnsi" w:hAnsiTheme="minorHAnsi" w:cs="Arial"/>
                <w:szCs w:val="22"/>
                <w:lang w:eastAsia="en-US"/>
              </w:rPr>
            </w:pPr>
          </w:p>
          <w:p w14:paraId="62C82C3A" w14:textId="77777777" w:rsidR="008961DF" w:rsidRPr="00AC0FA1" w:rsidRDefault="008961DF" w:rsidP="008961DF">
            <w:pPr>
              <w:autoSpaceDE w:val="0"/>
              <w:autoSpaceDN w:val="0"/>
              <w:adjustRightInd w:val="0"/>
              <w:spacing w:before="0" w:line="240" w:lineRule="auto"/>
              <w:jc w:val="both"/>
              <w:rPr>
                <w:rFonts w:asciiTheme="minorHAnsi" w:hAnsiTheme="minorHAnsi"/>
                <w:color w:val="FF0000"/>
                <w:szCs w:val="22"/>
              </w:rPr>
            </w:pPr>
          </w:p>
        </w:tc>
        <w:tc>
          <w:tcPr>
            <w:tcW w:w="1049" w:type="pct"/>
          </w:tcPr>
          <w:p w14:paraId="3455A495" w14:textId="77777777" w:rsidR="00C94E13" w:rsidRPr="0083677D" w:rsidRDefault="00C94E13" w:rsidP="00AC0FA1">
            <w:pPr>
              <w:spacing w:line="240" w:lineRule="auto"/>
              <w:jc w:val="both"/>
              <w:rPr>
                <w:rFonts w:asciiTheme="minorHAnsi" w:hAnsiTheme="minorHAnsi"/>
                <w:szCs w:val="22"/>
              </w:rPr>
            </w:pPr>
            <w:r w:rsidRPr="0083677D">
              <w:rPr>
                <w:rFonts w:asciiTheme="minorHAnsi" w:hAnsiTheme="minorHAnsi"/>
                <w:szCs w:val="22"/>
              </w:rPr>
              <w:t>RPO</w:t>
            </w:r>
            <w:r w:rsidRPr="0083677D">
              <w:t xml:space="preserve"> </w:t>
            </w:r>
            <w:r w:rsidRPr="0083677D">
              <w:rPr>
                <w:rFonts w:asciiTheme="minorHAnsi" w:hAnsiTheme="minorHAnsi"/>
                <w:szCs w:val="22"/>
              </w:rPr>
              <w:t>WD 2014-2020</w:t>
            </w:r>
          </w:p>
        </w:tc>
      </w:tr>
      <w:tr w:rsidR="00E6017F" w:rsidRPr="0059579B" w14:paraId="6D8ED14E" w14:textId="77777777" w:rsidTr="00AC0FA1">
        <w:trPr>
          <w:trHeight w:val="20"/>
          <w:jc w:val="center"/>
        </w:trPr>
        <w:tc>
          <w:tcPr>
            <w:tcW w:w="1189" w:type="pct"/>
            <w:shd w:val="clear" w:color="auto" w:fill="auto"/>
          </w:tcPr>
          <w:p w14:paraId="5B584B84" w14:textId="77777777"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Wzrost zatrudnienia we wspieranych przedsiębiorstwach O/K/M</w:t>
            </w:r>
          </w:p>
        </w:tc>
        <w:tc>
          <w:tcPr>
            <w:tcW w:w="701" w:type="pct"/>
          </w:tcPr>
          <w:p w14:paraId="6555F672" w14:textId="77777777"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14:paraId="2DDC580B" w14:textId="77777777" w:rsidR="00E6017F" w:rsidRPr="0059579B" w:rsidRDefault="00E6017F" w:rsidP="00AC0FA1">
            <w:pPr>
              <w:spacing w:line="240" w:lineRule="auto"/>
              <w:jc w:val="both"/>
              <w:rPr>
                <w:rFonts w:asciiTheme="minorHAnsi" w:hAnsiTheme="minorHAnsi"/>
                <w:szCs w:val="22"/>
                <w:lang w:val="en-US"/>
              </w:rPr>
            </w:pPr>
            <w:r w:rsidRPr="0059579B">
              <w:rPr>
                <w:rFonts w:asciiTheme="minorHAnsi" w:hAnsiTheme="minorHAnsi"/>
                <w:szCs w:val="22"/>
                <w:lang w:val="en-US"/>
              </w:rPr>
              <w:t xml:space="preserve">Gross new working positions in supported enterprises in full time equivalents (FTE). </w:t>
            </w:r>
          </w:p>
          <w:p w14:paraId="792A75A9" w14:textId="77777777" w:rsidR="00E6017F" w:rsidRPr="0059579B" w:rsidRDefault="00E6017F" w:rsidP="00AC0FA1">
            <w:pPr>
              <w:spacing w:line="240" w:lineRule="auto"/>
              <w:jc w:val="both"/>
              <w:rPr>
                <w:rFonts w:asciiTheme="minorHAnsi" w:hAnsiTheme="minorHAnsi"/>
                <w:szCs w:val="22"/>
                <w:lang w:val="en-US"/>
              </w:rPr>
            </w:pPr>
            <w:r w:rsidRPr="0059579B">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6CF0C229" w14:textId="77777777" w:rsidR="00E6017F" w:rsidRPr="0059579B" w:rsidRDefault="00E6017F" w:rsidP="00AC0FA1">
            <w:pPr>
              <w:spacing w:before="120" w:line="240" w:lineRule="auto"/>
              <w:jc w:val="both"/>
              <w:rPr>
                <w:rFonts w:asciiTheme="minorHAnsi" w:hAnsiTheme="minorHAnsi"/>
                <w:szCs w:val="22"/>
                <w:lang w:val="en-US"/>
              </w:rPr>
            </w:pPr>
            <w:r w:rsidRPr="0059579B">
              <w:rPr>
                <w:rFonts w:asciiTheme="minorHAnsi" w:hAnsiTheme="minorHAnsi"/>
                <w:szCs w:val="22"/>
                <w:lang w:val="en-US"/>
              </w:rPr>
              <w:t xml:space="preserve">Gross: Not counting the origin of the jobholder as long as it directly contributes to the increase of total jobs in the </w:t>
            </w:r>
            <w:proofErr w:type="spellStart"/>
            <w:r w:rsidRPr="0059579B">
              <w:rPr>
                <w:rFonts w:asciiTheme="minorHAnsi" w:hAnsiTheme="minorHAnsi"/>
                <w:szCs w:val="22"/>
                <w:lang w:val="en-US"/>
              </w:rPr>
              <w:t>organisation</w:t>
            </w:r>
            <w:proofErr w:type="spellEnd"/>
            <w:r w:rsidRPr="0059579B">
              <w:rPr>
                <w:rFonts w:asciiTheme="minorHAnsi" w:hAnsiTheme="minorHAnsi"/>
                <w:szCs w:val="22"/>
                <w:lang w:val="en-US"/>
              </w:rPr>
              <w:t xml:space="preserve">. The indicator should be used if the employment increase can plausibly be attributed to the support. </w:t>
            </w:r>
          </w:p>
          <w:p w14:paraId="6B55A324" w14:textId="77777777" w:rsidR="00E6017F" w:rsidRPr="0059579B" w:rsidRDefault="00E6017F" w:rsidP="00AC0FA1">
            <w:pPr>
              <w:spacing w:before="120" w:line="240" w:lineRule="auto"/>
              <w:jc w:val="both"/>
              <w:rPr>
                <w:rFonts w:asciiTheme="minorHAnsi" w:hAnsiTheme="minorHAnsi"/>
                <w:szCs w:val="22"/>
                <w:lang w:val="en-US"/>
              </w:rPr>
            </w:pPr>
            <w:r w:rsidRPr="0059579B">
              <w:rPr>
                <w:rFonts w:asciiTheme="minorHAnsi" w:hAnsiTheme="minorHAnsi"/>
                <w:szCs w:val="22"/>
                <w:lang w:val="en-US"/>
              </w:rPr>
              <w:lastRenderedPageBreak/>
              <w:t xml:space="preserve">Full-time equivalent: Jobs can be full time, parttime or seasonal. Seasonal and part time jobs are to be converted to FTE using ILO/statistical/other standards. </w:t>
            </w:r>
          </w:p>
          <w:p w14:paraId="4F608CD8" w14:textId="58573766" w:rsidR="00E6017F" w:rsidRPr="0059579B" w:rsidRDefault="00E6017F" w:rsidP="00AC0FA1">
            <w:pPr>
              <w:spacing w:line="240" w:lineRule="auto"/>
              <w:jc w:val="both"/>
              <w:rPr>
                <w:rFonts w:asciiTheme="minorHAnsi" w:hAnsiTheme="minorHAnsi"/>
                <w:i/>
              </w:rPr>
            </w:pPr>
            <w:r w:rsidRPr="0059579B">
              <w:rPr>
                <w:rFonts w:asciiTheme="minorHAnsi" w:hAnsiTheme="minorHAnsi"/>
                <w:i/>
                <w:szCs w:val="22"/>
              </w:rPr>
              <w:t xml:space="preserve">Tłumaczenie robocze: </w:t>
            </w:r>
            <w:r w:rsidRPr="0059579B">
              <w:rPr>
                <w:rFonts w:asciiTheme="minorHAnsi" w:hAnsiTheme="minorHAnsi"/>
                <w:i/>
              </w:rPr>
              <w:t>Nowe miejsca pracy brutto we wspartych przedsiębiorstwach wyrażone w</w:t>
            </w:r>
            <w:r w:rsidR="00DA3848">
              <w:rPr>
                <w:rFonts w:asciiTheme="minorHAnsi" w:hAnsiTheme="minorHAnsi"/>
                <w:i/>
              </w:rPr>
              <w:t> </w:t>
            </w:r>
            <w:r w:rsidRPr="0059579B">
              <w:rPr>
                <w:rFonts w:asciiTheme="minorHAnsi" w:hAnsiTheme="minorHAnsi"/>
                <w:i/>
              </w:rPr>
              <w:t xml:space="preserve">ekwiwalencie pełnego czasu pracy (EPC). </w:t>
            </w:r>
          </w:p>
          <w:p w14:paraId="4608228B" w14:textId="77777777" w:rsidR="00E6017F" w:rsidRPr="0059579B" w:rsidRDefault="00E6017F" w:rsidP="00AC0FA1">
            <w:pPr>
              <w:spacing w:line="240" w:lineRule="auto"/>
              <w:jc w:val="both"/>
              <w:rPr>
                <w:rFonts w:asciiTheme="minorHAnsi" w:hAnsiTheme="minorHAnsi"/>
                <w:i/>
              </w:rPr>
            </w:pPr>
            <w:r w:rsidRPr="0059579B">
              <w:rPr>
                <w:rFonts w:asciiTheme="minorHAnsi" w:hAnsiTheme="minorHAnsi"/>
                <w:i/>
              </w:rPr>
              <w:t xml:space="preserve">Wskaźnik ukazuje zmianę "przed-po" </w:t>
            </w:r>
            <w:r w:rsidRPr="0059579B">
              <w:rPr>
                <w:rFonts w:asciiTheme="minorHAnsi" w:hAnsiTheme="minorHAnsi"/>
                <w:i/>
              </w:rPr>
              <w:br/>
              <w:t xml:space="preserve">i obejmuje część wzrostu zatrudnienia </w:t>
            </w:r>
            <w:r w:rsidRPr="0059579B">
              <w:rPr>
                <w:rFonts w:asciiTheme="minorHAnsi" w:hAnsiTheme="minorHAnsi"/>
                <w:i/>
              </w:rPr>
              <w:br/>
              <w:t xml:space="preserve">w przedsiębiorstwie będącego bezpośrednim skutkiem zakończenia realizacji projektu (nie są wliczani pracownicy zatrudnieni do realizacji projektu). </w:t>
            </w:r>
          </w:p>
          <w:p w14:paraId="412213CD" w14:textId="77777777" w:rsidR="00E6017F" w:rsidRPr="0059579B" w:rsidRDefault="00E6017F" w:rsidP="00AC0FA1">
            <w:pPr>
              <w:spacing w:after="240" w:line="240" w:lineRule="auto"/>
              <w:jc w:val="both"/>
              <w:rPr>
                <w:rFonts w:asciiTheme="minorHAnsi" w:hAnsiTheme="minorHAnsi"/>
                <w:i/>
              </w:rPr>
            </w:pPr>
            <w:r w:rsidRPr="0059579B">
              <w:rPr>
                <w:rFonts w:asciiTheme="minorHAnsi" w:hAnsiTheme="minorHAnsi"/>
                <w:i/>
              </w:rPr>
              <w:t xml:space="preserve">Uwzględnia się obsadzone miejsca pracy (wakaty nie są liczone), które zwiększają łączną liczbę miejsc pracy </w:t>
            </w:r>
            <w:r w:rsidRPr="0059579B">
              <w:rPr>
                <w:rFonts w:asciiTheme="minorHAnsi" w:hAnsiTheme="minorHAnsi"/>
                <w:i/>
              </w:rPr>
              <w:br/>
              <w:t xml:space="preserve">w przedsiębiorstwie. Brak wzrostu </w:t>
            </w:r>
            <w:r w:rsidRPr="0059579B">
              <w:rPr>
                <w:rFonts w:asciiTheme="minorHAnsi" w:hAnsiTheme="minorHAnsi"/>
                <w:i/>
              </w:rPr>
              <w:br/>
              <w:t xml:space="preserve">w całkowitym zatrudnieniu </w:t>
            </w:r>
            <w:r w:rsidRPr="0059579B">
              <w:rPr>
                <w:rFonts w:asciiTheme="minorHAnsi" w:hAnsiTheme="minorHAnsi"/>
                <w:i/>
              </w:rPr>
              <w:br/>
              <w:t>w przedsiębiorstwie oznacza, że wartość wskaźnika jest równa zero, co traktuje się jako wyrównanie miejsc pracy, a nie wzrost. Nie wlicza się miejsc pracy, np. utrzymanych dzięki realizacji projektu.</w:t>
            </w:r>
          </w:p>
          <w:p w14:paraId="535E6920" w14:textId="77777777" w:rsidR="00E6017F" w:rsidRPr="0059579B" w:rsidRDefault="00E6017F" w:rsidP="00AC0FA1">
            <w:pPr>
              <w:spacing w:after="240" w:line="240" w:lineRule="auto"/>
              <w:jc w:val="both"/>
              <w:rPr>
                <w:rFonts w:asciiTheme="minorHAnsi" w:hAnsiTheme="minorHAnsi"/>
                <w:i/>
              </w:rPr>
            </w:pPr>
            <w:r w:rsidRPr="0059579B">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59579B">
              <w:rPr>
                <w:rFonts w:asciiTheme="minorHAnsi" w:hAnsiTheme="minorHAnsi"/>
                <w:i/>
              </w:rPr>
              <w:br/>
              <w:t>w ramach projektu.</w:t>
            </w:r>
          </w:p>
          <w:p w14:paraId="67F3DFAB" w14:textId="77777777" w:rsidR="00E6017F" w:rsidRPr="0059579B" w:rsidRDefault="00E6017F" w:rsidP="00AC0FA1">
            <w:pPr>
              <w:spacing w:line="240" w:lineRule="auto"/>
              <w:jc w:val="both"/>
              <w:rPr>
                <w:rFonts w:asciiTheme="minorHAnsi" w:hAnsiTheme="minorHAnsi"/>
                <w:i/>
              </w:rPr>
            </w:pPr>
            <w:r w:rsidRPr="0059579B">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59579B">
              <w:rPr>
                <w:rFonts w:asciiTheme="minorHAnsi" w:hAnsiTheme="minorHAnsi"/>
                <w:i/>
              </w:rPr>
              <w:br/>
              <w:t xml:space="preserve">z wykorzystaniem standardów ILO (Międzynarodowa Organizacja Pracy)/ statystycznych/innych. </w:t>
            </w:r>
          </w:p>
          <w:p w14:paraId="11D8844E" w14:textId="77777777" w:rsidR="00E6017F" w:rsidRPr="0059579B" w:rsidRDefault="00E6017F" w:rsidP="00AC0FA1">
            <w:pPr>
              <w:spacing w:line="240" w:lineRule="auto"/>
              <w:jc w:val="both"/>
              <w:rPr>
                <w:rFonts w:asciiTheme="minorHAnsi" w:hAnsiTheme="minorHAnsi"/>
                <w:szCs w:val="22"/>
              </w:rPr>
            </w:pPr>
          </w:p>
        </w:tc>
        <w:tc>
          <w:tcPr>
            <w:tcW w:w="1049" w:type="pct"/>
          </w:tcPr>
          <w:p w14:paraId="3A586E5E" w14:textId="77777777" w:rsidR="00E6017F" w:rsidRPr="0059579B" w:rsidRDefault="001367B9" w:rsidP="00AC0FA1">
            <w:pPr>
              <w:spacing w:line="240" w:lineRule="auto"/>
              <w:jc w:val="both"/>
              <w:rPr>
                <w:rFonts w:asciiTheme="minorHAnsi" w:hAnsiTheme="minorHAnsi"/>
                <w:szCs w:val="22"/>
              </w:rPr>
            </w:pPr>
            <w:r>
              <w:rPr>
                <w:rFonts w:asciiTheme="minorHAnsi" w:hAnsiTheme="minorHAnsi"/>
                <w:szCs w:val="22"/>
              </w:rPr>
              <w:lastRenderedPageBreak/>
              <w:t>horyzontalny</w:t>
            </w:r>
          </w:p>
        </w:tc>
      </w:tr>
      <w:tr w:rsidR="00E6017F" w:rsidRPr="0059579B" w14:paraId="498845B6" w14:textId="77777777" w:rsidTr="00AC0FA1">
        <w:trPr>
          <w:trHeight w:val="20"/>
          <w:jc w:val="center"/>
        </w:trPr>
        <w:tc>
          <w:tcPr>
            <w:tcW w:w="1189" w:type="pct"/>
            <w:shd w:val="clear" w:color="auto" w:fill="auto"/>
          </w:tcPr>
          <w:p w14:paraId="1B009047" w14:textId="77777777"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lastRenderedPageBreak/>
              <w:t>Wzrost zatrudnienia we wspieranych podmiotach (innych niż przedsiębiorstwa)</w:t>
            </w:r>
          </w:p>
          <w:p w14:paraId="7FABBFD7" w14:textId="77777777"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O/K/M</w:t>
            </w:r>
          </w:p>
        </w:tc>
        <w:tc>
          <w:tcPr>
            <w:tcW w:w="701" w:type="pct"/>
          </w:tcPr>
          <w:p w14:paraId="7AEBA951" w14:textId="77777777"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14:paraId="3DCB7F56" w14:textId="77777777" w:rsidR="00E6017F" w:rsidRPr="001D14B1" w:rsidRDefault="00E6017F" w:rsidP="00396F3C">
            <w:pPr>
              <w:spacing w:line="240" w:lineRule="auto"/>
              <w:jc w:val="both"/>
              <w:rPr>
                <w:rFonts w:asciiTheme="minorHAnsi" w:hAnsiTheme="minorHAnsi"/>
                <w:szCs w:val="22"/>
              </w:rPr>
            </w:pPr>
            <w:r w:rsidRPr="001D14B1">
              <w:rPr>
                <w:rFonts w:asciiTheme="minorHAnsi" w:eastAsiaTheme="minorHAnsi" w:hAnsiTheme="minorHAnsi" w:cstheme="minorBidi"/>
                <w:szCs w:val="22"/>
                <w:lang w:eastAsia="en-US"/>
              </w:rPr>
              <w:t>Definicja jak wyżej w odniesieniu do podmiotów innych niż przedsiębiorstwa</w:t>
            </w:r>
          </w:p>
        </w:tc>
        <w:tc>
          <w:tcPr>
            <w:tcW w:w="1049" w:type="pct"/>
          </w:tcPr>
          <w:p w14:paraId="42E0EA46" w14:textId="77777777" w:rsidR="00E6017F" w:rsidRPr="0059579B" w:rsidRDefault="00E6017F" w:rsidP="00AC0FA1">
            <w:pPr>
              <w:spacing w:line="240" w:lineRule="auto"/>
              <w:jc w:val="both"/>
              <w:rPr>
                <w:rFonts w:asciiTheme="minorHAnsi" w:hAnsiTheme="minorHAnsi"/>
                <w:szCs w:val="22"/>
              </w:rPr>
            </w:pPr>
            <w:r w:rsidRPr="0059579B">
              <w:rPr>
                <w:rFonts w:asciiTheme="minorHAnsi" w:hAnsiTheme="minorHAnsi"/>
                <w:szCs w:val="22"/>
              </w:rPr>
              <w:t>horyzontalny</w:t>
            </w:r>
          </w:p>
        </w:tc>
      </w:tr>
      <w:tr w:rsidR="00E6017F" w:rsidRPr="0059579B" w14:paraId="035CE7AD" w14:textId="77777777" w:rsidTr="00AC0FA1">
        <w:trPr>
          <w:trHeight w:val="20"/>
          <w:jc w:val="center"/>
        </w:trPr>
        <w:tc>
          <w:tcPr>
            <w:tcW w:w="1189" w:type="pct"/>
            <w:shd w:val="clear" w:color="auto" w:fill="auto"/>
          </w:tcPr>
          <w:p w14:paraId="4CECEAB0" w14:textId="77777777" w:rsidR="00E6017F"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Liczba utrzymanych miejsc pracy</w:t>
            </w:r>
          </w:p>
          <w:p w14:paraId="0BE73F7F" w14:textId="7335ACE0" w:rsidR="00796464" w:rsidRPr="0059579B" w:rsidRDefault="00796464" w:rsidP="00AC0FA1">
            <w:pPr>
              <w:pStyle w:val="Default"/>
              <w:rPr>
                <w:rFonts w:asciiTheme="minorHAnsi" w:hAnsiTheme="minorHAnsi" w:cs="ArialNarrow"/>
                <w:sz w:val="22"/>
                <w:szCs w:val="22"/>
              </w:rPr>
            </w:pPr>
            <w:r w:rsidRPr="0059579B">
              <w:rPr>
                <w:rFonts w:asciiTheme="minorHAnsi" w:hAnsiTheme="minorHAnsi" w:cs="ArialNarrow"/>
                <w:sz w:val="22"/>
                <w:szCs w:val="22"/>
              </w:rPr>
              <w:t>O/K/M</w:t>
            </w:r>
          </w:p>
        </w:tc>
        <w:tc>
          <w:tcPr>
            <w:tcW w:w="701" w:type="pct"/>
          </w:tcPr>
          <w:p w14:paraId="417B9F96" w14:textId="77777777"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14:paraId="3EA61D07" w14:textId="77777777" w:rsidR="00E6017F" w:rsidRPr="001D14B1" w:rsidRDefault="00E6017F" w:rsidP="00AC0FA1">
            <w:pPr>
              <w:autoSpaceDE w:val="0"/>
              <w:autoSpaceDN w:val="0"/>
              <w:adjustRightInd w:val="0"/>
              <w:spacing w:before="0" w:line="240" w:lineRule="auto"/>
              <w:jc w:val="both"/>
              <w:rPr>
                <w:rFonts w:asciiTheme="minorHAnsi" w:eastAsiaTheme="minorHAnsi" w:hAnsiTheme="minorHAnsi" w:cstheme="minorBidi"/>
                <w:szCs w:val="22"/>
                <w:lang w:eastAsia="en-US"/>
              </w:rPr>
            </w:pPr>
            <w:r w:rsidRPr="001D14B1">
              <w:rPr>
                <w:rFonts w:asciiTheme="minorHAnsi" w:eastAsiaTheme="minorHAnsi" w:hAnsiTheme="minorHAnsi" w:cstheme="minorBidi"/>
                <w:szCs w:val="22"/>
                <w:lang w:eastAsia="en-US"/>
              </w:rPr>
              <w:t>Miejsca pracy utworzone w wyniku realizacji projektu, lecz nie powodują wzrostu zatrudnienia w organizacji</w:t>
            </w:r>
          </w:p>
          <w:p w14:paraId="05B45FBA" w14:textId="77777777" w:rsidR="00E6017F" w:rsidRPr="001D14B1" w:rsidRDefault="00E6017F" w:rsidP="00AC0FA1">
            <w:pPr>
              <w:spacing w:line="240" w:lineRule="auto"/>
              <w:jc w:val="both"/>
              <w:rPr>
                <w:rFonts w:ascii="Arial Narrow" w:hAnsi="Arial Narrow"/>
                <w:szCs w:val="22"/>
              </w:rPr>
            </w:pPr>
          </w:p>
        </w:tc>
        <w:tc>
          <w:tcPr>
            <w:tcW w:w="1049" w:type="pct"/>
          </w:tcPr>
          <w:p w14:paraId="73C90F4D" w14:textId="77777777" w:rsidR="00E6017F" w:rsidRPr="0059579B" w:rsidRDefault="00E6017F" w:rsidP="00AC0FA1">
            <w:pPr>
              <w:spacing w:line="240" w:lineRule="auto"/>
              <w:jc w:val="both"/>
              <w:rPr>
                <w:rFonts w:asciiTheme="minorHAnsi" w:hAnsiTheme="minorHAnsi"/>
                <w:szCs w:val="22"/>
              </w:rPr>
            </w:pPr>
            <w:r w:rsidRPr="0059579B">
              <w:rPr>
                <w:rFonts w:asciiTheme="minorHAnsi" w:hAnsiTheme="minorHAnsi"/>
                <w:szCs w:val="22"/>
              </w:rPr>
              <w:t>horyzontalny</w:t>
            </w:r>
          </w:p>
        </w:tc>
      </w:tr>
      <w:tr w:rsidR="00E6017F" w:rsidRPr="0059579B" w14:paraId="75B9E54F" w14:textId="77777777" w:rsidTr="00AC0FA1">
        <w:trPr>
          <w:trHeight w:val="20"/>
          <w:jc w:val="center"/>
        </w:trPr>
        <w:tc>
          <w:tcPr>
            <w:tcW w:w="1189" w:type="pct"/>
            <w:shd w:val="clear" w:color="auto" w:fill="auto"/>
          </w:tcPr>
          <w:p w14:paraId="1E307E23" w14:textId="4FCD94E0" w:rsidR="00E6017F" w:rsidRPr="0059579B" w:rsidRDefault="00E6017F" w:rsidP="00AC0FA1">
            <w:pPr>
              <w:pStyle w:val="Default"/>
              <w:rPr>
                <w:rFonts w:asciiTheme="minorHAnsi" w:hAnsiTheme="minorHAnsi" w:cs="ArialNarrow"/>
                <w:sz w:val="22"/>
                <w:szCs w:val="22"/>
              </w:rPr>
            </w:pPr>
            <w:r w:rsidRPr="0059579B">
              <w:rPr>
                <w:rFonts w:asciiTheme="minorHAnsi" w:hAnsiTheme="minorHAnsi" w:cs="ArialNarrow"/>
                <w:sz w:val="22"/>
                <w:szCs w:val="22"/>
              </w:rPr>
              <w:t xml:space="preserve">Liczba nowo utworzonych miejsc pracy - pozostałe formy </w:t>
            </w:r>
            <w:r w:rsidR="00796464" w:rsidRPr="0059579B">
              <w:rPr>
                <w:rFonts w:asciiTheme="minorHAnsi" w:hAnsiTheme="minorHAnsi" w:cs="ArialNarrow"/>
                <w:sz w:val="22"/>
                <w:szCs w:val="22"/>
              </w:rPr>
              <w:t>O/K/M</w:t>
            </w:r>
          </w:p>
        </w:tc>
        <w:tc>
          <w:tcPr>
            <w:tcW w:w="701" w:type="pct"/>
          </w:tcPr>
          <w:p w14:paraId="4563D796" w14:textId="77777777" w:rsidR="00E6017F" w:rsidRPr="0059579B" w:rsidRDefault="00E6017F" w:rsidP="00AC0FA1">
            <w:pPr>
              <w:spacing w:before="0" w:line="240" w:lineRule="auto"/>
              <w:rPr>
                <w:rFonts w:asciiTheme="minorHAnsi" w:hAnsiTheme="minorHAnsi" w:cs="ArialNarrow"/>
                <w:szCs w:val="22"/>
              </w:rPr>
            </w:pPr>
            <w:r w:rsidRPr="0059579B">
              <w:rPr>
                <w:rFonts w:asciiTheme="minorHAnsi" w:hAnsiTheme="minorHAnsi" w:cs="ArialNarrow"/>
                <w:szCs w:val="22"/>
              </w:rPr>
              <w:t>EPC</w:t>
            </w:r>
          </w:p>
        </w:tc>
        <w:tc>
          <w:tcPr>
            <w:tcW w:w="2061" w:type="pct"/>
            <w:shd w:val="clear" w:color="auto" w:fill="auto"/>
            <w:vAlign w:val="center"/>
          </w:tcPr>
          <w:p w14:paraId="22526B4A" w14:textId="77777777" w:rsidR="00E6017F" w:rsidRPr="001D14B1" w:rsidRDefault="00E6017F" w:rsidP="00AC0FA1">
            <w:pPr>
              <w:autoSpaceDE w:val="0"/>
              <w:autoSpaceDN w:val="0"/>
              <w:adjustRightInd w:val="0"/>
              <w:spacing w:before="0" w:line="240" w:lineRule="auto"/>
              <w:jc w:val="both"/>
              <w:rPr>
                <w:rFonts w:asciiTheme="minorHAnsi" w:eastAsiaTheme="minorHAnsi" w:hAnsiTheme="minorHAnsi" w:cs="Verdana"/>
                <w:szCs w:val="22"/>
                <w:lang w:eastAsia="en-US"/>
              </w:rPr>
            </w:pPr>
            <w:r w:rsidRPr="001D14B1">
              <w:rPr>
                <w:rFonts w:asciiTheme="minorHAnsi" w:eastAsiaTheme="minorHAnsi" w:hAnsiTheme="minorHAnsi" w:cstheme="minorBidi"/>
                <w:iCs/>
                <w:szCs w:val="22"/>
                <w:lang w:eastAsia="en-US"/>
              </w:rPr>
              <w:t>Pozostałe formy</w:t>
            </w:r>
            <w:r w:rsidRPr="001D14B1">
              <w:rPr>
                <w:rFonts w:asciiTheme="minorHAnsi" w:eastAsiaTheme="minorHAnsi" w:hAnsiTheme="minorHAnsi" w:cs="Verdana"/>
                <w:szCs w:val="22"/>
                <w:lang w:eastAsia="en-US"/>
              </w:rPr>
              <w:t xml:space="preserve">, np. umowy cywilnoprawne, miejsca pracy do obsługi projektu, nietrwałe miejsca pracy </w:t>
            </w:r>
            <w:r w:rsidR="00320CD4">
              <w:rPr>
                <w:rFonts w:asciiTheme="minorHAnsi" w:eastAsiaTheme="minorHAnsi" w:hAnsiTheme="minorHAnsi" w:cs="Verdana"/>
                <w:szCs w:val="22"/>
                <w:lang w:eastAsia="en-US"/>
              </w:rPr>
              <w:t xml:space="preserve">– wskaźnik ma charakter informacyjny </w:t>
            </w:r>
          </w:p>
          <w:p w14:paraId="4EEAA889" w14:textId="77777777" w:rsidR="00E6017F" w:rsidRPr="001D14B1" w:rsidRDefault="00E6017F" w:rsidP="00AC0FA1">
            <w:pPr>
              <w:spacing w:line="240" w:lineRule="auto"/>
              <w:jc w:val="both"/>
              <w:rPr>
                <w:rFonts w:ascii="Arial Narrow" w:hAnsi="Arial Narrow"/>
                <w:szCs w:val="22"/>
              </w:rPr>
            </w:pPr>
          </w:p>
        </w:tc>
        <w:tc>
          <w:tcPr>
            <w:tcW w:w="1049" w:type="pct"/>
          </w:tcPr>
          <w:p w14:paraId="1B506185" w14:textId="77777777" w:rsidR="00E6017F" w:rsidRPr="0059579B" w:rsidRDefault="00E6017F" w:rsidP="00AC0FA1">
            <w:pPr>
              <w:spacing w:line="240" w:lineRule="auto"/>
              <w:jc w:val="both"/>
              <w:rPr>
                <w:rFonts w:asciiTheme="minorHAnsi" w:hAnsiTheme="minorHAnsi"/>
                <w:szCs w:val="22"/>
              </w:rPr>
            </w:pPr>
            <w:r w:rsidRPr="0059579B">
              <w:rPr>
                <w:rFonts w:asciiTheme="minorHAnsi" w:hAnsiTheme="minorHAnsi"/>
                <w:szCs w:val="22"/>
              </w:rPr>
              <w:t>horyzontalny</w:t>
            </w:r>
          </w:p>
        </w:tc>
      </w:tr>
    </w:tbl>
    <w:p w14:paraId="779EF82A" w14:textId="77777777" w:rsidR="00335935" w:rsidRPr="00AC0FA1" w:rsidRDefault="00335935" w:rsidP="007650AC">
      <w:pPr>
        <w:autoSpaceDE w:val="0"/>
        <w:autoSpaceDN w:val="0"/>
        <w:adjustRightInd w:val="0"/>
        <w:spacing w:before="120" w:after="120" w:line="240" w:lineRule="auto"/>
        <w:jc w:val="both"/>
        <w:rPr>
          <w:rFonts w:asciiTheme="minorHAnsi" w:eastAsiaTheme="minorHAnsi" w:hAnsiTheme="minorHAnsi" w:cs="Arial"/>
          <w:color w:val="FF0000"/>
          <w:szCs w:val="22"/>
          <w:lang w:eastAsia="en-US"/>
        </w:rPr>
      </w:pPr>
    </w:p>
    <w:p w14:paraId="28A355D3" w14:textId="77777777" w:rsidR="008C495E" w:rsidRPr="0059579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59579B">
        <w:rPr>
          <w:rFonts w:asciiTheme="minorHAnsi" w:eastAsiaTheme="minorHAnsi" w:hAnsiTheme="minorHAnsi" w:cs="Arial"/>
          <w:szCs w:val="22"/>
          <w:lang w:eastAsia="en-US"/>
        </w:rPr>
        <w:t xml:space="preserve">W ramach wniosku o dofinansowanie Wnioskodawca ma obowiązek uwzględnić </w:t>
      </w:r>
      <w:r w:rsidRPr="0059579B">
        <w:rPr>
          <w:rFonts w:asciiTheme="minorHAnsi" w:eastAsiaTheme="minorHAnsi" w:hAnsiTheme="minorHAnsi" w:cs="Arial"/>
          <w:b/>
          <w:szCs w:val="22"/>
          <w:lang w:eastAsia="en-US"/>
        </w:rPr>
        <w:t>wszystkie adekwatne</w:t>
      </w:r>
      <w:r w:rsidRPr="0059579B">
        <w:rPr>
          <w:rFonts w:asciiTheme="minorHAnsi" w:eastAsiaTheme="minorHAnsi" w:hAnsiTheme="minorHAnsi" w:cs="Arial"/>
          <w:szCs w:val="22"/>
          <w:lang w:eastAsia="en-US"/>
        </w:rPr>
        <w:t xml:space="preserve"> wskaźniki produktu </w:t>
      </w:r>
      <w:r w:rsidR="00D57D29" w:rsidRPr="0059579B">
        <w:rPr>
          <w:rFonts w:asciiTheme="minorHAnsi" w:eastAsiaTheme="minorHAnsi" w:hAnsiTheme="minorHAnsi" w:cs="Arial"/>
          <w:szCs w:val="22"/>
          <w:lang w:eastAsia="en-US"/>
        </w:rPr>
        <w:t xml:space="preserve">oraz rezultatu bezpośredniego </w:t>
      </w:r>
      <w:r w:rsidRPr="0059579B">
        <w:rPr>
          <w:rFonts w:asciiTheme="minorHAnsi" w:eastAsiaTheme="minorHAnsi" w:hAnsiTheme="minorHAnsi" w:cs="Arial"/>
          <w:szCs w:val="22"/>
          <w:lang w:eastAsia="en-US"/>
        </w:rPr>
        <w:t xml:space="preserve">z listy przedstawionej </w:t>
      </w:r>
      <w:r w:rsidR="0044238B" w:rsidRPr="0059579B">
        <w:rPr>
          <w:rFonts w:asciiTheme="minorHAnsi" w:eastAsiaTheme="minorHAnsi" w:hAnsiTheme="minorHAnsi" w:cs="Arial"/>
          <w:szCs w:val="22"/>
          <w:lang w:eastAsia="en-US"/>
        </w:rPr>
        <w:t xml:space="preserve"> </w:t>
      </w:r>
      <w:r w:rsidRPr="0059579B">
        <w:rPr>
          <w:rFonts w:asciiTheme="minorHAnsi" w:eastAsiaTheme="minorHAnsi" w:hAnsiTheme="minorHAnsi" w:cs="Arial"/>
          <w:szCs w:val="22"/>
          <w:lang w:eastAsia="en-US"/>
        </w:rPr>
        <w:t xml:space="preserve">w powyższych tabelach, odpowiadające </w:t>
      </w:r>
      <w:r w:rsidR="000F5C98" w:rsidRPr="0059579B">
        <w:rPr>
          <w:rFonts w:asciiTheme="minorHAnsi" w:eastAsiaTheme="minorHAnsi" w:hAnsiTheme="minorHAnsi" w:cs="Arial"/>
          <w:szCs w:val="22"/>
          <w:lang w:eastAsia="en-US"/>
        </w:rPr>
        <w:t xml:space="preserve">celowi </w:t>
      </w:r>
      <w:r w:rsidRPr="0059579B">
        <w:rPr>
          <w:rFonts w:asciiTheme="minorHAnsi" w:eastAsiaTheme="minorHAnsi" w:hAnsiTheme="minorHAnsi" w:cs="Arial"/>
          <w:szCs w:val="22"/>
          <w:lang w:eastAsia="en-US"/>
        </w:rPr>
        <w:t xml:space="preserve">projektu. </w:t>
      </w:r>
      <w:r w:rsidRPr="0059579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1D204F27" w14:textId="77777777" w:rsidR="00340A6B" w:rsidRPr="0059579B" w:rsidRDefault="008C495E" w:rsidP="0044238B">
      <w:pPr>
        <w:pStyle w:val="Default"/>
        <w:jc w:val="both"/>
        <w:rPr>
          <w:rFonts w:asciiTheme="minorHAnsi" w:eastAsiaTheme="minorHAnsi" w:hAnsiTheme="minorHAnsi" w:cstheme="minorBidi"/>
          <w:sz w:val="22"/>
          <w:szCs w:val="22"/>
          <w:lang w:eastAsia="en-US"/>
        </w:rPr>
      </w:pPr>
      <w:r w:rsidRPr="0059579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59579B">
        <w:rPr>
          <w:rFonts w:asciiTheme="minorHAnsi" w:eastAsiaTheme="minorHAnsi" w:hAnsiTheme="minorHAnsi" w:cstheme="minorBidi"/>
          <w:sz w:val="22"/>
          <w:szCs w:val="22"/>
          <w:lang w:eastAsia="en-US"/>
        </w:rPr>
        <w:t xml:space="preserve">projektu </w:t>
      </w:r>
      <w:r w:rsidRPr="0059579B">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14:paraId="7B895A4A" w14:textId="77777777" w:rsidR="003C55C7" w:rsidRPr="0059579B" w:rsidRDefault="003C55C7" w:rsidP="007650AC">
      <w:pPr>
        <w:spacing w:line="240" w:lineRule="auto"/>
        <w:jc w:val="both"/>
        <w:rPr>
          <w:rFonts w:asciiTheme="minorHAnsi" w:hAnsiTheme="minorHAnsi" w:cs="Arial"/>
          <w:b/>
          <w:u w:val="single"/>
        </w:rPr>
      </w:pPr>
      <w:r w:rsidRPr="0059579B">
        <w:rPr>
          <w:rFonts w:asciiTheme="minorHAnsi" w:hAnsiTheme="minorHAnsi" w:cs="Arial"/>
          <w:b/>
          <w:u w:val="single"/>
        </w:rPr>
        <w:t>Wartość bazowa (tzn. wartość w momencie rozpoczęcia realizacji projektu) w</w:t>
      </w:r>
      <w:r w:rsidR="00141571" w:rsidRPr="0059579B">
        <w:rPr>
          <w:rFonts w:asciiTheme="minorHAnsi" w:hAnsiTheme="minorHAnsi" w:cs="Arial"/>
          <w:b/>
          <w:u w:val="single"/>
        </w:rPr>
        <w:t> </w:t>
      </w:r>
      <w:r w:rsidRPr="0059579B">
        <w:rPr>
          <w:rFonts w:asciiTheme="minorHAnsi" w:hAnsiTheme="minorHAnsi" w:cs="Arial"/>
          <w:b/>
          <w:u w:val="single"/>
        </w:rPr>
        <w:t>przypadku każdego wskaźnika powinna być wykazana na poziomie „0”.</w:t>
      </w:r>
    </w:p>
    <w:p w14:paraId="5F59C1E4" w14:textId="77777777" w:rsidR="003C55C7" w:rsidRPr="00AA1C64" w:rsidRDefault="003C55C7" w:rsidP="007650AC">
      <w:pPr>
        <w:spacing w:line="240" w:lineRule="auto"/>
        <w:jc w:val="both"/>
        <w:rPr>
          <w:rFonts w:asciiTheme="minorHAnsi" w:hAnsiTheme="minorHAnsi" w:cs="Arial"/>
          <w:b/>
          <w:u w:val="single"/>
        </w:rPr>
      </w:pPr>
      <w:r w:rsidRPr="00AA1C64">
        <w:rPr>
          <w:rFonts w:asciiTheme="minorHAnsi" w:hAnsiTheme="minorHAnsi" w:cs="Arial"/>
          <w:b/>
          <w:u w:val="single"/>
        </w:rPr>
        <w:t xml:space="preserve">O ile w umowie o dofinansowanie projektu nie wskazano inaczej, efekt wsparcia na poziomie projektu występuje: </w:t>
      </w:r>
    </w:p>
    <w:p w14:paraId="11702F28" w14:textId="77777777" w:rsidR="003C55C7" w:rsidRPr="00AA1C64" w:rsidRDefault="003C55C7" w:rsidP="007650AC">
      <w:pPr>
        <w:spacing w:line="240" w:lineRule="auto"/>
        <w:jc w:val="both"/>
        <w:rPr>
          <w:rFonts w:asciiTheme="minorHAnsi" w:hAnsiTheme="minorHAnsi" w:cs="Arial"/>
          <w:b/>
          <w:u w:val="single"/>
        </w:rPr>
      </w:pPr>
      <w:r w:rsidRPr="00AA1C64">
        <w:rPr>
          <w:rFonts w:asciiTheme="minorHAnsi" w:hAnsiTheme="minorHAnsi" w:cs="Arial"/>
          <w:b/>
          <w:u w:val="single"/>
        </w:rPr>
        <w:t>a) w przypadku wskaźników produktu – w okresie od podpisania umowy o</w:t>
      </w:r>
      <w:r w:rsidR="00141571" w:rsidRPr="00AA1C64">
        <w:rPr>
          <w:rFonts w:asciiTheme="minorHAnsi" w:hAnsiTheme="minorHAnsi" w:cs="Arial"/>
          <w:b/>
          <w:u w:val="single"/>
        </w:rPr>
        <w:t> </w:t>
      </w:r>
      <w:r w:rsidRPr="00AA1C64">
        <w:rPr>
          <w:rFonts w:asciiTheme="minorHAnsi" w:hAnsiTheme="minorHAnsi" w:cs="Arial"/>
          <w:b/>
          <w:u w:val="single"/>
        </w:rPr>
        <w:t xml:space="preserve">dofinansowanie, przy czym osiągnięte wartości powinny zostać wykazane najpóźniej we wniosku o płatność końcową, </w:t>
      </w:r>
    </w:p>
    <w:p w14:paraId="17CDD784" w14:textId="77777777" w:rsidR="003C55C7" w:rsidRPr="00AA1C64" w:rsidRDefault="003C55C7" w:rsidP="007650AC">
      <w:pPr>
        <w:spacing w:line="240" w:lineRule="auto"/>
        <w:jc w:val="both"/>
        <w:rPr>
          <w:rFonts w:asciiTheme="minorHAnsi" w:hAnsiTheme="minorHAnsi" w:cs="Arial"/>
          <w:b/>
          <w:u w:val="single"/>
        </w:rPr>
      </w:pPr>
      <w:r w:rsidRPr="00AA1C64">
        <w:rPr>
          <w:rFonts w:asciiTheme="minorHAnsi" w:hAnsiTheme="minorHAnsi" w:cs="Arial"/>
          <w:b/>
          <w:u w:val="single"/>
        </w:rPr>
        <w:t xml:space="preserve">b) w przypadku wskaźników rezultatu określonych na poziomie projektu: </w:t>
      </w:r>
    </w:p>
    <w:p w14:paraId="0F7DD65C" w14:textId="0204160B" w:rsidR="00796464" w:rsidRDefault="003C55C7" w:rsidP="00320CD4">
      <w:pPr>
        <w:spacing w:line="240" w:lineRule="auto"/>
        <w:jc w:val="both"/>
        <w:rPr>
          <w:rFonts w:asciiTheme="minorHAnsi" w:hAnsiTheme="minorHAnsi"/>
          <w:b/>
          <w:color w:val="FF0000"/>
          <w:szCs w:val="22"/>
        </w:rPr>
      </w:pPr>
      <w:r w:rsidRPr="00AA1C64">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AA1C64">
        <w:rPr>
          <w:rFonts w:asciiTheme="minorHAnsi" w:hAnsiTheme="minorHAnsi" w:cs="Arial"/>
          <w:b/>
          <w:u w:val="single"/>
        </w:rPr>
        <w:t> </w:t>
      </w:r>
      <w:r w:rsidRPr="00AA1C64">
        <w:rPr>
          <w:rFonts w:asciiTheme="minorHAnsi" w:hAnsiTheme="minorHAnsi" w:cs="Arial"/>
          <w:b/>
          <w:u w:val="single"/>
        </w:rPr>
        <w:t xml:space="preserve">płatność </w:t>
      </w:r>
      <w:r w:rsidRPr="00320CD4">
        <w:rPr>
          <w:rFonts w:asciiTheme="minorHAnsi" w:hAnsiTheme="minorHAnsi" w:cs="Arial"/>
          <w:b/>
          <w:u w:val="single"/>
        </w:rPr>
        <w:t>końcową</w:t>
      </w:r>
      <w:r w:rsidR="00163894" w:rsidRPr="00320CD4">
        <w:rPr>
          <w:rFonts w:asciiTheme="minorHAnsi" w:hAnsiTheme="minorHAnsi" w:cs="Arial"/>
          <w:b/>
          <w:u w:val="single"/>
        </w:rPr>
        <w:t xml:space="preserve"> </w:t>
      </w:r>
      <w:r w:rsidR="00163894" w:rsidRPr="00320CD4">
        <w:rPr>
          <w:rFonts w:asciiTheme="minorHAnsi" w:hAnsiTheme="minorHAnsi"/>
          <w:b/>
          <w:szCs w:val="22"/>
        </w:rPr>
        <w:t xml:space="preserve"> powinny być utrzymane w okresie trwałości projektu, lub</w:t>
      </w:r>
      <w:r w:rsidR="00320CD4">
        <w:rPr>
          <w:rFonts w:asciiTheme="minorHAnsi" w:hAnsiTheme="minorHAnsi"/>
          <w:b/>
          <w:szCs w:val="22"/>
        </w:rPr>
        <w:t xml:space="preserve"> </w:t>
      </w:r>
      <w:r w:rsidR="00163894" w:rsidRPr="00320CD4">
        <w:rPr>
          <w:rFonts w:asciiTheme="minorHAnsi" w:hAnsiTheme="minorHAnsi"/>
          <w:b/>
          <w:szCs w:val="22"/>
        </w:rPr>
        <w:t xml:space="preserve">w okresie trwałości projektu, na zasadach określonych przez IZ RPO (w umowie o dofinansowanie projektu/decyzji o dofinansowaniu) </w:t>
      </w:r>
      <w:r w:rsidR="00796464">
        <w:rPr>
          <w:rFonts w:asciiTheme="minorHAnsi" w:hAnsiTheme="minorHAnsi"/>
          <w:b/>
          <w:color w:val="FF0000"/>
          <w:szCs w:val="22"/>
        </w:rPr>
        <w:t xml:space="preserve"> </w:t>
      </w:r>
    </w:p>
    <w:p w14:paraId="4ED1AF74" w14:textId="69954CE1" w:rsidR="0032765F" w:rsidRPr="007E7019" w:rsidRDefault="00796464" w:rsidP="00796464">
      <w:pPr>
        <w:spacing w:before="0" w:line="240" w:lineRule="auto"/>
        <w:jc w:val="both"/>
        <w:rPr>
          <w:rFonts w:asciiTheme="minorHAnsi" w:hAnsiTheme="minorHAnsi"/>
          <w:b/>
          <w:szCs w:val="22"/>
        </w:rPr>
      </w:pPr>
      <w:r w:rsidRPr="007E7019">
        <w:rPr>
          <w:rFonts w:asciiTheme="minorHAnsi" w:hAnsiTheme="minorHAnsi"/>
          <w:b/>
          <w:szCs w:val="22"/>
        </w:rPr>
        <w:t>W związku ze zbliżającym się terminem zakończenia realizacji Programu, wskaźniki rezultatu powinny zostać przedstawione przez beneficjenta do 30.06.2024 r.</w:t>
      </w:r>
    </w:p>
    <w:p w14:paraId="77BE1D52" w14:textId="15FD8F02" w:rsidR="009F5D9E" w:rsidRDefault="009F5D9E" w:rsidP="00320CD4">
      <w:pPr>
        <w:spacing w:line="240" w:lineRule="auto"/>
        <w:jc w:val="both"/>
        <w:rPr>
          <w:rFonts w:asciiTheme="minorHAnsi" w:hAnsiTheme="minorHAnsi"/>
          <w:b/>
          <w:szCs w:val="22"/>
        </w:rPr>
      </w:pPr>
    </w:p>
    <w:p w14:paraId="3B63F274" w14:textId="2E57BBE5" w:rsidR="009F5D9E" w:rsidRDefault="009F5D9E" w:rsidP="00320CD4">
      <w:pPr>
        <w:spacing w:line="240" w:lineRule="auto"/>
        <w:jc w:val="both"/>
        <w:rPr>
          <w:rFonts w:asciiTheme="minorHAnsi" w:hAnsiTheme="minorHAnsi"/>
          <w:b/>
          <w:szCs w:val="22"/>
        </w:rPr>
      </w:pPr>
    </w:p>
    <w:p w14:paraId="76D00BCB" w14:textId="5484A002" w:rsidR="009F5D9E" w:rsidRDefault="009F5D9E" w:rsidP="00320CD4">
      <w:pPr>
        <w:spacing w:line="240" w:lineRule="auto"/>
        <w:jc w:val="both"/>
        <w:rPr>
          <w:rFonts w:asciiTheme="minorHAnsi" w:hAnsiTheme="minorHAnsi"/>
          <w:b/>
          <w:szCs w:val="22"/>
        </w:rPr>
      </w:pPr>
    </w:p>
    <w:p w14:paraId="7EFB62BC" w14:textId="2B865D15" w:rsidR="009F5D9E" w:rsidRDefault="009F5D9E" w:rsidP="00320CD4">
      <w:pPr>
        <w:spacing w:line="240" w:lineRule="auto"/>
        <w:jc w:val="both"/>
        <w:rPr>
          <w:rFonts w:asciiTheme="minorHAnsi" w:hAnsiTheme="minorHAnsi"/>
          <w:b/>
          <w:szCs w:val="22"/>
        </w:rPr>
      </w:pPr>
    </w:p>
    <w:p w14:paraId="5CADC3E5" w14:textId="42D0BA2D" w:rsidR="009F5D9E" w:rsidRDefault="009F5D9E" w:rsidP="00320CD4">
      <w:pPr>
        <w:spacing w:line="240" w:lineRule="auto"/>
        <w:jc w:val="both"/>
        <w:rPr>
          <w:rFonts w:asciiTheme="minorHAnsi" w:hAnsiTheme="minorHAnsi"/>
          <w:b/>
          <w:szCs w:val="22"/>
        </w:rPr>
      </w:pPr>
    </w:p>
    <w:p w14:paraId="5C831641" w14:textId="573285E1" w:rsidR="009F5D9E" w:rsidRDefault="009F5D9E" w:rsidP="00320CD4">
      <w:pPr>
        <w:spacing w:line="240" w:lineRule="auto"/>
        <w:jc w:val="both"/>
        <w:rPr>
          <w:rFonts w:asciiTheme="minorHAnsi" w:hAnsiTheme="minorHAnsi"/>
          <w:b/>
          <w:szCs w:val="22"/>
        </w:rPr>
      </w:pPr>
    </w:p>
    <w:p w14:paraId="4846FB01" w14:textId="4E78F14B" w:rsidR="009F5D9E" w:rsidRDefault="009F5D9E" w:rsidP="00320CD4">
      <w:pPr>
        <w:spacing w:line="240" w:lineRule="auto"/>
        <w:jc w:val="both"/>
        <w:rPr>
          <w:rFonts w:asciiTheme="minorHAnsi" w:hAnsiTheme="minorHAnsi"/>
          <w:b/>
          <w:szCs w:val="22"/>
        </w:rPr>
      </w:pPr>
    </w:p>
    <w:p w14:paraId="10CD9973" w14:textId="6F377BEB" w:rsidR="009F5D9E" w:rsidRDefault="009F5D9E" w:rsidP="00320CD4">
      <w:pPr>
        <w:spacing w:line="240" w:lineRule="auto"/>
        <w:jc w:val="both"/>
        <w:rPr>
          <w:rFonts w:asciiTheme="minorHAnsi" w:hAnsiTheme="minorHAnsi"/>
          <w:b/>
          <w:szCs w:val="22"/>
        </w:rPr>
      </w:pPr>
    </w:p>
    <w:p w14:paraId="3E99C707" w14:textId="1155D648" w:rsidR="009F5D9E" w:rsidRDefault="009F5D9E" w:rsidP="00320CD4">
      <w:pPr>
        <w:spacing w:line="240" w:lineRule="auto"/>
        <w:jc w:val="both"/>
        <w:rPr>
          <w:rFonts w:asciiTheme="minorHAnsi" w:hAnsiTheme="minorHAnsi"/>
          <w:b/>
          <w:szCs w:val="22"/>
        </w:rPr>
      </w:pPr>
    </w:p>
    <w:p w14:paraId="250A47EC" w14:textId="77819491" w:rsidR="009F5D9E" w:rsidRDefault="009F5D9E" w:rsidP="00320CD4">
      <w:pPr>
        <w:spacing w:line="240" w:lineRule="auto"/>
        <w:jc w:val="both"/>
        <w:rPr>
          <w:rFonts w:asciiTheme="minorHAnsi" w:hAnsiTheme="minorHAnsi"/>
          <w:b/>
          <w:szCs w:val="22"/>
        </w:rPr>
      </w:pPr>
    </w:p>
    <w:p w14:paraId="412D6E65" w14:textId="7D684096" w:rsidR="009F5D9E" w:rsidRDefault="009F5D9E" w:rsidP="00320CD4">
      <w:pPr>
        <w:spacing w:line="240" w:lineRule="auto"/>
        <w:jc w:val="both"/>
        <w:rPr>
          <w:rFonts w:asciiTheme="minorHAnsi" w:hAnsiTheme="minorHAnsi"/>
          <w:b/>
          <w:szCs w:val="22"/>
        </w:rPr>
      </w:pPr>
    </w:p>
    <w:p w14:paraId="3A7708F0" w14:textId="3EE4FBD7" w:rsidR="009F5D9E" w:rsidRDefault="009F5D9E" w:rsidP="00320CD4">
      <w:pPr>
        <w:spacing w:line="240" w:lineRule="auto"/>
        <w:jc w:val="both"/>
        <w:rPr>
          <w:rFonts w:asciiTheme="minorHAnsi" w:hAnsiTheme="minorHAnsi"/>
          <w:b/>
          <w:szCs w:val="22"/>
        </w:rPr>
      </w:pPr>
    </w:p>
    <w:p w14:paraId="12F45560" w14:textId="3AD746F1" w:rsidR="009F5D9E" w:rsidRPr="009F5D9E" w:rsidRDefault="009F5D9E" w:rsidP="00320CD4">
      <w:pPr>
        <w:spacing w:line="240" w:lineRule="auto"/>
        <w:jc w:val="both"/>
        <w:rPr>
          <w:rFonts w:asciiTheme="minorHAnsi" w:hAnsiTheme="minorHAnsi" w:cstheme="minorHAnsi"/>
          <w:b/>
          <w:szCs w:val="22"/>
        </w:rPr>
      </w:pPr>
    </w:p>
    <w:tbl>
      <w:tblPr>
        <w:tblW w:w="10200" w:type="dxa"/>
        <w:tblCellMar>
          <w:left w:w="70" w:type="dxa"/>
          <w:right w:w="70" w:type="dxa"/>
        </w:tblCellMar>
        <w:tblLook w:val="04A0" w:firstRow="1" w:lastRow="0" w:firstColumn="1" w:lastColumn="0" w:noHBand="0" w:noVBand="1"/>
      </w:tblPr>
      <w:tblGrid>
        <w:gridCol w:w="920"/>
        <w:gridCol w:w="9280"/>
      </w:tblGrid>
      <w:tr w:rsidR="009F5D9E" w:rsidRPr="00896429" w14:paraId="3A6647FB" w14:textId="77777777" w:rsidTr="009F5D9E">
        <w:trPr>
          <w:trHeight w:val="288"/>
        </w:trPr>
        <w:tc>
          <w:tcPr>
            <w:tcW w:w="920" w:type="dxa"/>
            <w:tcBorders>
              <w:top w:val="nil"/>
              <w:left w:val="nil"/>
              <w:bottom w:val="nil"/>
              <w:right w:val="nil"/>
            </w:tcBorders>
            <w:shd w:val="clear" w:color="auto" w:fill="auto"/>
            <w:noWrap/>
            <w:vAlign w:val="bottom"/>
            <w:hideMark/>
          </w:tcPr>
          <w:p w14:paraId="468E2B9A" w14:textId="77777777" w:rsidR="009F5D9E" w:rsidRPr="00896429" w:rsidRDefault="009F5D9E" w:rsidP="009F5D9E">
            <w:pPr>
              <w:spacing w:before="0" w:line="240" w:lineRule="auto"/>
              <w:rPr>
                <w:rFonts w:asciiTheme="minorHAnsi" w:hAnsiTheme="minorHAnsi" w:cstheme="minorHAnsi"/>
                <w:szCs w:val="22"/>
              </w:rPr>
            </w:pPr>
          </w:p>
        </w:tc>
        <w:tc>
          <w:tcPr>
            <w:tcW w:w="9280" w:type="dxa"/>
            <w:tcBorders>
              <w:top w:val="nil"/>
              <w:left w:val="nil"/>
              <w:bottom w:val="nil"/>
              <w:right w:val="nil"/>
            </w:tcBorders>
            <w:shd w:val="clear" w:color="auto" w:fill="auto"/>
            <w:noWrap/>
            <w:vAlign w:val="bottom"/>
            <w:hideMark/>
          </w:tcPr>
          <w:p w14:paraId="572B7CF9" w14:textId="14A3658C" w:rsidR="009F5D9E" w:rsidRPr="00896429" w:rsidRDefault="009F5D9E" w:rsidP="009F5D9E">
            <w:pPr>
              <w:spacing w:before="0" w:line="240" w:lineRule="auto"/>
              <w:rPr>
                <w:rFonts w:asciiTheme="minorHAnsi" w:hAnsiTheme="minorHAnsi" w:cstheme="minorHAnsi"/>
                <w:b/>
                <w:bCs/>
                <w:i/>
                <w:iCs/>
                <w:szCs w:val="22"/>
              </w:rPr>
            </w:pPr>
            <w:r w:rsidRPr="00896429">
              <w:rPr>
                <w:rFonts w:asciiTheme="minorHAnsi" w:hAnsiTheme="minorHAnsi" w:cstheme="minorHAnsi"/>
                <w:b/>
                <w:bCs/>
                <w:i/>
                <w:iCs/>
                <w:szCs w:val="22"/>
              </w:rPr>
              <w:t xml:space="preserve">Załącznik 1 Wykaz sprzętu medycznego </w:t>
            </w:r>
          </w:p>
        </w:tc>
      </w:tr>
      <w:tr w:rsidR="009F5D9E" w:rsidRPr="00896429" w14:paraId="2F959AF1" w14:textId="77777777" w:rsidTr="009F5D9E">
        <w:trPr>
          <w:trHeight w:val="288"/>
        </w:trPr>
        <w:tc>
          <w:tcPr>
            <w:tcW w:w="920" w:type="dxa"/>
            <w:tcBorders>
              <w:top w:val="nil"/>
              <w:left w:val="nil"/>
              <w:bottom w:val="nil"/>
              <w:right w:val="nil"/>
            </w:tcBorders>
            <w:shd w:val="clear" w:color="auto" w:fill="auto"/>
            <w:noWrap/>
            <w:vAlign w:val="bottom"/>
            <w:hideMark/>
          </w:tcPr>
          <w:p w14:paraId="00E434C4" w14:textId="77777777" w:rsidR="009F5D9E" w:rsidRPr="00896429" w:rsidRDefault="009F5D9E" w:rsidP="009F5D9E">
            <w:pPr>
              <w:spacing w:before="0" w:line="240" w:lineRule="auto"/>
              <w:rPr>
                <w:rFonts w:asciiTheme="minorHAnsi" w:hAnsiTheme="minorHAnsi" w:cstheme="minorHAnsi"/>
                <w:b/>
                <w:bCs/>
                <w:i/>
                <w:iCs/>
                <w:szCs w:val="22"/>
              </w:rPr>
            </w:pPr>
          </w:p>
        </w:tc>
        <w:tc>
          <w:tcPr>
            <w:tcW w:w="9280" w:type="dxa"/>
            <w:tcBorders>
              <w:top w:val="nil"/>
              <w:left w:val="nil"/>
              <w:bottom w:val="nil"/>
              <w:right w:val="nil"/>
            </w:tcBorders>
            <w:shd w:val="clear" w:color="auto" w:fill="auto"/>
            <w:noWrap/>
            <w:vAlign w:val="bottom"/>
            <w:hideMark/>
          </w:tcPr>
          <w:p w14:paraId="4DC8E8BE" w14:textId="77777777" w:rsidR="009F5D9E" w:rsidRPr="00896429" w:rsidRDefault="009F5D9E" w:rsidP="009F5D9E">
            <w:pPr>
              <w:spacing w:before="0" w:line="240" w:lineRule="auto"/>
              <w:rPr>
                <w:rFonts w:asciiTheme="minorHAnsi" w:hAnsiTheme="minorHAnsi" w:cstheme="minorHAnsi"/>
                <w:szCs w:val="22"/>
              </w:rPr>
            </w:pPr>
          </w:p>
        </w:tc>
      </w:tr>
      <w:tr w:rsidR="009F5D9E" w:rsidRPr="00896429" w14:paraId="109E8365" w14:textId="77777777" w:rsidTr="009F5D9E">
        <w:trPr>
          <w:trHeight w:val="288"/>
        </w:trPr>
        <w:tc>
          <w:tcPr>
            <w:tcW w:w="92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965CD4B" w14:textId="77777777" w:rsidR="009F5D9E" w:rsidRPr="00896429" w:rsidRDefault="009F5D9E" w:rsidP="009F5D9E">
            <w:pPr>
              <w:spacing w:before="0" w:line="240" w:lineRule="auto"/>
              <w:rPr>
                <w:rFonts w:asciiTheme="minorHAnsi" w:hAnsiTheme="minorHAnsi" w:cstheme="minorHAnsi"/>
                <w:color w:val="000000"/>
                <w:szCs w:val="22"/>
              </w:rPr>
            </w:pPr>
            <w:r w:rsidRPr="00896429">
              <w:rPr>
                <w:rFonts w:asciiTheme="minorHAnsi" w:hAnsiTheme="minorHAnsi" w:cstheme="minorHAnsi"/>
                <w:color w:val="000000"/>
                <w:szCs w:val="22"/>
              </w:rPr>
              <w:t> </w:t>
            </w:r>
          </w:p>
        </w:tc>
        <w:tc>
          <w:tcPr>
            <w:tcW w:w="9280" w:type="dxa"/>
            <w:tcBorders>
              <w:top w:val="single" w:sz="4" w:space="0" w:color="auto"/>
              <w:left w:val="nil"/>
              <w:bottom w:val="single" w:sz="4" w:space="0" w:color="auto"/>
              <w:right w:val="single" w:sz="4" w:space="0" w:color="auto"/>
            </w:tcBorders>
            <w:shd w:val="clear" w:color="000000" w:fill="B4C6E7"/>
            <w:vAlign w:val="center"/>
            <w:hideMark/>
          </w:tcPr>
          <w:p w14:paraId="7181837F" w14:textId="77777777" w:rsidR="009F5D9E" w:rsidRPr="00896429" w:rsidRDefault="009F5D9E" w:rsidP="009F5D9E">
            <w:pPr>
              <w:spacing w:before="0" w:line="240" w:lineRule="auto"/>
              <w:rPr>
                <w:rFonts w:asciiTheme="minorHAnsi" w:hAnsiTheme="minorHAnsi" w:cstheme="minorHAnsi"/>
                <w:b/>
                <w:bCs/>
                <w:color w:val="000000"/>
                <w:szCs w:val="22"/>
              </w:rPr>
            </w:pPr>
            <w:r w:rsidRPr="00896429">
              <w:rPr>
                <w:rFonts w:asciiTheme="minorHAnsi" w:hAnsiTheme="minorHAnsi" w:cstheme="minorHAnsi"/>
                <w:b/>
                <w:bCs/>
                <w:color w:val="000000"/>
                <w:szCs w:val="22"/>
              </w:rPr>
              <w:t>SPRZĘT MEDYCZNY</w:t>
            </w:r>
          </w:p>
        </w:tc>
      </w:tr>
      <w:tr w:rsidR="009F5D9E" w:rsidRPr="00896429" w14:paraId="0CD34874"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C236EAB"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w:t>
            </w:r>
          </w:p>
        </w:tc>
        <w:tc>
          <w:tcPr>
            <w:tcW w:w="9280" w:type="dxa"/>
            <w:tcBorders>
              <w:top w:val="nil"/>
              <w:left w:val="nil"/>
              <w:bottom w:val="single" w:sz="4" w:space="0" w:color="auto"/>
              <w:right w:val="single" w:sz="4" w:space="0" w:color="auto"/>
            </w:tcBorders>
            <w:shd w:val="clear" w:color="auto" w:fill="auto"/>
            <w:vAlign w:val="center"/>
            <w:hideMark/>
          </w:tcPr>
          <w:p w14:paraId="665959B4"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Analizator do badań przesiewowych</w:t>
            </w:r>
          </w:p>
        </w:tc>
      </w:tr>
      <w:tr w:rsidR="009F5D9E" w:rsidRPr="00896429" w14:paraId="048AD3F2"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08F397F"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w:t>
            </w:r>
          </w:p>
        </w:tc>
        <w:tc>
          <w:tcPr>
            <w:tcW w:w="9280" w:type="dxa"/>
            <w:tcBorders>
              <w:top w:val="nil"/>
              <w:left w:val="nil"/>
              <w:bottom w:val="single" w:sz="4" w:space="0" w:color="auto"/>
              <w:right w:val="single" w:sz="4" w:space="0" w:color="auto"/>
            </w:tcBorders>
            <w:shd w:val="clear" w:color="auto" w:fill="auto"/>
            <w:vAlign w:val="center"/>
            <w:hideMark/>
          </w:tcPr>
          <w:p w14:paraId="319D8F2F"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Analizator mikrobiologiczny</w:t>
            </w:r>
          </w:p>
        </w:tc>
      </w:tr>
      <w:tr w:rsidR="009F5D9E" w:rsidRPr="00896429" w14:paraId="24A3A86D"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CF1A488"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w:t>
            </w:r>
          </w:p>
        </w:tc>
        <w:tc>
          <w:tcPr>
            <w:tcW w:w="9280" w:type="dxa"/>
            <w:tcBorders>
              <w:top w:val="nil"/>
              <w:left w:val="nil"/>
              <w:bottom w:val="single" w:sz="4" w:space="0" w:color="auto"/>
              <w:right w:val="single" w:sz="4" w:space="0" w:color="auto"/>
            </w:tcBorders>
            <w:shd w:val="clear" w:color="auto" w:fill="auto"/>
            <w:vAlign w:val="center"/>
            <w:hideMark/>
          </w:tcPr>
          <w:p w14:paraId="3D41E965"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Aparat do ciągłego leczenia nerkozastępczego </w:t>
            </w:r>
          </w:p>
        </w:tc>
      </w:tr>
      <w:tr w:rsidR="009F5D9E" w:rsidRPr="00896429" w14:paraId="161675EA"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581242E"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w:t>
            </w:r>
          </w:p>
        </w:tc>
        <w:tc>
          <w:tcPr>
            <w:tcW w:w="9280" w:type="dxa"/>
            <w:tcBorders>
              <w:top w:val="nil"/>
              <w:left w:val="nil"/>
              <w:bottom w:val="single" w:sz="4" w:space="0" w:color="auto"/>
              <w:right w:val="single" w:sz="4" w:space="0" w:color="auto"/>
            </w:tcBorders>
            <w:shd w:val="clear" w:color="auto" w:fill="auto"/>
            <w:vAlign w:val="center"/>
            <w:hideMark/>
          </w:tcPr>
          <w:p w14:paraId="3655D699"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Aparat do dializoterapii</w:t>
            </w:r>
          </w:p>
        </w:tc>
      </w:tr>
      <w:tr w:rsidR="009F5D9E" w:rsidRPr="00896429" w14:paraId="3A295CE3"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B64CAC"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w:t>
            </w:r>
          </w:p>
        </w:tc>
        <w:tc>
          <w:tcPr>
            <w:tcW w:w="9280" w:type="dxa"/>
            <w:tcBorders>
              <w:top w:val="nil"/>
              <w:left w:val="nil"/>
              <w:bottom w:val="single" w:sz="4" w:space="0" w:color="auto"/>
              <w:right w:val="single" w:sz="4" w:space="0" w:color="auto"/>
            </w:tcBorders>
            <w:shd w:val="clear" w:color="auto" w:fill="auto"/>
            <w:vAlign w:val="center"/>
            <w:hideMark/>
          </w:tcPr>
          <w:p w14:paraId="4AA86B4E"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Aparat do EKG </w:t>
            </w:r>
          </w:p>
        </w:tc>
      </w:tr>
      <w:tr w:rsidR="009F5D9E" w:rsidRPr="00896429" w14:paraId="025B103B"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FDD4A3A"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w:t>
            </w:r>
          </w:p>
        </w:tc>
        <w:tc>
          <w:tcPr>
            <w:tcW w:w="9280" w:type="dxa"/>
            <w:tcBorders>
              <w:top w:val="nil"/>
              <w:left w:val="nil"/>
              <w:bottom w:val="single" w:sz="4" w:space="0" w:color="auto"/>
              <w:right w:val="single" w:sz="4" w:space="0" w:color="auto"/>
            </w:tcBorders>
            <w:shd w:val="clear" w:color="auto" w:fill="auto"/>
            <w:vAlign w:val="center"/>
            <w:hideMark/>
          </w:tcPr>
          <w:p w14:paraId="47758423"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Aparat do hemodializy </w:t>
            </w:r>
          </w:p>
        </w:tc>
      </w:tr>
      <w:tr w:rsidR="009F5D9E" w:rsidRPr="00896429" w14:paraId="2668DB64"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A8A4EEB"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w:t>
            </w:r>
          </w:p>
        </w:tc>
        <w:tc>
          <w:tcPr>
            <w:tcW w:w="9280" w:type="dxa"/>
            <w:tcBorders>
              <w:top w:val="nil"/>
              <w:left w:val="nil"/>
              <w:bottom w:val="single" w:sz="4" w:space="0" w:color="auto"/>
              <w:right w:val="single" w:sz="4" w:space="0" w:color="auto"/>
            </w:tcBorders>
            <w:shd w:val="clear" w:color="auto" w:fill="auto"/>
            <w:vAlign w:val="center"/>
            <w:hideMark/>
          </w:tcPr>
          <w:p w14:paraId="27028303"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Aparat do mierzenia ciśnienia</w:t>
            </w:r>
          </w:p>
        </w:tc>
      </w:tr>
      <w:tr w:rsidR="009F5D9E" w:rsidRPr="00896429" w14:paraId="1579E823"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FB541E1"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8</w:t>
            </w:r>
          </w:p>
        </w:tc>
        <w:tc>
          <w:tcPr>
            <w:tcW w:w="9280" w:type="dxa"/>
            <w:tcBorders>
              <w:top w:val="nil"/>
              <w:left w:val="nil"/>
              <w:bottom w:val="single" w:sz="4" w:space="0" w:color="auto"/>
              <w:right w:val="single" w:sz="4" w:space="0" w:color="auto"/>
            </w:tcBorders>
            <w:shd w:val="clear" w:color="auto" w:fill="auto"/>
            <w:vAlign w:val="center"/>
            <w:hideMark/>
          </w:tcPr>
          <w:p w14:paraId="07AD1136"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Aparat do mierzenia ciśnienia: elektroniczny wraz z wyposażeniem</w:t>
            </w:r>
          </w:p>
        </w:tc>
      </w:tr>
      <w:tr w:rsidR="009F5D9E" w:rsidRPr="00896429" w14:paraId="68AB18E1"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CB3DF1"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9</w:t>
            </w:r>
          </w:p>
        </w:tc>
        <w:tc>
          <w:tcPr>
            <w:tcW w:w="9280" w:type="dxa"/>
            <w:tcBorders>
              <w:top w:val="nil"/>
              <w:left w:val="nil"/>
              <w:bottom w:val="single" w:sz="4" w:space="0" w:color="auto"/>
              <w:right w:val="single" w:sz="4" w:space="0" w:color="auto"/>
            </w:tcBorders>
            <w:shd w:val="clear" w:color="auto" w:fill="auto"/>
            <w:vAlign w:val="center"/>
            <w:hideMark/>
          </w:tcPr>
          <w:p w14:paraId="1013F502"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Aparat do pomiaru ACT</w:t>
            </w:r>
          </w:p>
        </w:tc>
      </w:tr>
      <w:tr w:rsidR="009F5D9E" w:rsidRPr="00896429" w14:paraId="19BAEFF9"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E65C33"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10</w:t>
            </w:r>
          </w:p>
        </w:tc>
        <w:tc>
          <w:tcPr>
            <w:tcW w:w="9280" w:type="dxa"/>
            <w:tcBorders>
              <w:top w:val="nil"/>
              <w:left w:val="nil"/>
              <w:bottom w:val="single" w:sz="4" w:space="0" w:color="auto"/>
              <w:right w:val="single" w:sz="4" w:space="0" w:color="auto"/>
            </w:tcBorders>
            <w:shd w:val="clear" w:color="auto" w:fill="auto"/>
            <w:vAlign w:val="center"/>
            <w:hideMark/>
          </w:tcPr>
          <w:p w14:paraId="4E6BD443"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Aparat do pomiaru parametrów krytycznych wraz z wyposażeniem</w:t>
            </w:r>
          </w:p>
        </w:tc>
      </w:tr>
      <w:tr w:rsidR="009F5D9E" w:rsidRPr="00896429" w14:paraId="39224996"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94F0EF"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11</w:t>
            </w:r>
          </w:p>
        </w:tc>
        <w:tc>
          <w:tcPr>
            <w:tcW w:w="9280" w:type="dxa"/>
            <w:tcBorders>
              <w:top w:val="nil"/>
              <w:left w:val="nil"/>
              <w:bottom w:val="single" w:sz="4" w:space="0" w:color="auto"/>
              <w:right w:val="single" w:sz="4" w:space="0" w:color="auto"/>
            </w:tcBorders>
            <w:shd w:val="clear" w:color="auto" w:fill="auto"/>
            <w:vAlign w:val="center"/>
            <w:hideMark/>
          </w:tcPr>
          <w:p w14:paraId="73EBD39E"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Aparat do pomiaru RR z mankietem do dezynfekcji</w:t>
            </w:r>
          </w:p>
        </w:tc>
      </w:tr>
      <w:tr w:rsidR="009F5D9E" w:rsidRPr="00896429" w14:paraId="540D24F3"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36DDCA0"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12</w:t>
            </w:r>
          </w:p>
        </w:tc>
        <w:tc>
          <w:tcPr>
            <w:tcW w:w="9280" w:type="dxa"/>
            <w:tcBorders>
              <w:top w:val="nil"/>
              <w:left w:val="nil"/>
              <w:bottom w:val="single" w:sz="4" w:space="0" w:color="auto"/>
              <w:right w:val="single" w:sz="4" w:space="0" w:color="auto"/>
            </w:tcBorders>
            <w:shd w:val="clear" w:color="auto" w:fill="auto"/>
            <w:vAlign w:val="center"/>
            <w:hideMark/>
          </w:tcPr>
          <w:p w14:paraId="58B5DDDC"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Aparat do profilaktyki p/zakrzepowej </w:t>
            </w:r>
          </w:p>
        </w:tc>
      </w:tr>
      <w:tr w:rsidR="009F5D9E" w:rsidRPr="00896429" w14:paraId="2A9AB4FD"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74F6AED"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13</w:t>
            </w:r>
          </w:p>
        </w:tc>
        <w:tc>
          <w:tcPr>
            <w:tcW w:w="9280" w:type="dxa"/>
            <w:tcBorders>
              <w:top w:val="nil"/>
              <w:left w:val="nil"/>
              <w:bottom w:val="single" w:sz="4" w:space="0" w:color="auto"/>
              <w:right w:val="single" w:sz="4" w:space="0" w:color="auto"/>
            </w:tcBorders>
            <w:shd w:val="clear" w:color="auto" w:fill="auto"/>
            <w:vAlign w:val="center"/>
            <w:hideMark/>
          </w:tcPr>
          <w:p w14:paraId="5CC5C81C"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Aparat do szybkiego toczenia płynów </w:t>
            </w:r>
          </w:p>
        </w:tc>
      </w:tr>
      <w:tr w:rsidR="009F5D9E" w:rsidRPr="00896429" w14:paraId="352E2A4C"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C1E0715"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14</w:t>
            </w:r>
          </w:p>
        </w:tc>
        <w:tc>
          <w:tcPr>
            <w:tcW w:w="9280" w:type="dxa"/>
            <w:tcBorders>
              <w:top w:val="nil"/>
              <w:left w:val="nil"/>
              <w:bottom w:val="single" w:sz="4" w:space="0" w:color="auto"/>
              <w:right w:val="single" w:sz="4" w:space="0" w:color="auto"/>
            </w:tcBorders>
            <w:shd w:val="clear" w:color="auto" w:fill="auto"/>
            <w:vAlign w:val="center"/>
            <w:hideMark/>
          </w:tcPr>
          <w:p w14:paraId="77027ACE"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Aparat do wysokoprzepływowej tlenoterapii donosowej</w:t>
            </w:r>
          </w:p>
        </w:tc>
      </w:tr>
      <w:tr w:rsidR="009F5D9E" w:rsidRPr="00896429" w14:paraId="1F143871"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7196A05"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15</w:t>
            </w:r>
          </w:p>
        </w:tc>
        <w:tc>
          <w:tcPr>
            <w:tcW w:w="9280" w:type="dxa"/>
            <w:tcBorders>
              <w:top w:val="nil"/>
              <w:left w:val="nil"/>
              <w:bottom w:val="single" w:sz="4" w:space="0" w:color="auto"/>
              <w:right w:val="single" w:sz="4" w:space="0" w:color="auto"/>
            </w:tcBorders>
            <w:shd w:val="clear" w:color="auto" w:fill="auto"/>
            <w:vAlign w:val="center"/>
            <w:hideMark/>
          </w:tcPr>
          <w:p w14:paraId="35051570"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Aparat do znieczulenia </w:t>
            </w:r>
          </w:p>
        </w:tc>
      </w:tr>
      <w:tr w:rsidR="009F5D9E" w:rsidRPr="00896429" w14:paraId="5A7AA73A"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5C5F6DA"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16</w:t>
            </w:r>
          </w:p>
        </w:tc>
        <w:tc>
          <w:tcPr>
            <w:tcW w:w="9280" w:type="dxa"/>
            <w:tcBorders>
              <w:top w:val="nil"/>
              <w:left w:val="nil"/>
              <w:bottom w:val="single" w:sz="4" w:space="0" w:color="auto"/>
              <w:right w:val="single" w:sz="4" w:space="0" w:color="auto"/>
            </w:tcBorders>
            <w:shd w:val="clear" w:color="auto" w:fill="auto"/>
            <w:vAlign w:val="center"/>
            <w:hideMark/>
          </w:tcPr>
          <w:p w14:paraId="769C050C"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Aparat RTG oraz przyłóżkowy aparat RTG</w:t>
            </w:r>
          </w:p>
        </w:tc>
      </w:tr>
      <w:tr w:rsidR="009F5D9E" w:rsidRPr="00896429" w14:paraId="2CCF3992"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6E3E4D"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17</w:t>
            </w:r>
          </w:p>
        </w:tc>
        <w:tc>
          <w:tcPr>
            <w:tcW w:w="9280" w:type="dxa"/>
            <w:tcBorders>
              <w:top w:val="nil"/>
              <w:left w:val="nil"/>
              <w:bottom w:val="single" w:sz="4" w:space="0" w:color="auto"/>
              <w:right w:val="single" w:sz="4" w:space="0" w:color="auto"/>
            </w:tcBorders>
            <w:shd w:val="clear" w:color="auto" w:fill="auto"/>
            <w:vAlign w:val="center"/>
            <w:hideMark/>
          </w:tcPr>
          <w:p w14:paraId="5658EED5"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Aparat USG, w tym USG wielofunkcyjne z głowicą </w:t>
            </w:r>
            <w:proofErr w:type="spellStart"/>
            <w:r w:rsidRPr="00896429">
              <w:rPr>
                <w:rFonts w:asciiTheme="minorHAnsi" w:hAnsiTheme="minorHAnsi" w:cstheme="minorHAnsi"/>
                <w:szCs w:val="22"/>
              </w:rPr>
              <w:t>umozliwiajacą</w:t>
            </w:r>
            <w:proofErr w:type="spellEnd"/>
            <w:r w:rsidRPr="00896429">
              <w:rPr>
                <w:rFonts w:asciiTheme="minorHAnsi" w:hAnsiTheme="minorHAnsi" w:cstheme="minorHAnsi"/>
                <w:szCs w:val="22"/>
              </w:rPr>
              <w:t xml:space="preserve"> diagnostykę klatki piersiowej płuc</w:t>
            </w:r>
          </w:p>
        </w:tc>
      </w:tr>
      <w:tr w:rsidR="009F5D9E" w:rsidRPr="00896429" w14:paraId="43163F3C"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4E067DD"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18</w:t>
            </w:r>
          </w:p>
        </w:tc>
        <w:tc>
          <w:tcPr>
            <w:tcW w:w="9280" w:type="dxa"/>
            <w:tcBorders>
              <w:top w:val="nil"/>
              <w:left w:val="nil"/>
              <w:bottom w:val="single" w:sz="4" w:space="0" w:color="auto"/>
              <w:right w:val="single" w:sz="4" w:space="0" w:color="auto"/>
            </w:tcBorders>
            <w:shd w:val="clear" w:color="auto" w:fill="auto"/>
            <w:vAlign w:val="center"/>
            <w:hideMark/>
          </w:tcPr>
          <w:p w14:paraId="4FFD4A3F"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Automatyczne urządzenia do kompresji klatki piersiowej w trakcie resuscytacji </w:t>
            </w:r>
          </w:p>
        </w:tc>
      </w:tr>
      <w:tr w:rsidR="009F5D9E" w:rsidRPr="00896429" w14:paraId="3C7CCD51"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784AD4C"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19</w:t>
            </w:r>
          </w:p>
        </w:tc>
        <w:tc>
          <w:tcPr>
            <w:tcW w:w="9280" w:type="dxa"/>
            <w:tcBorders>
              <w:top w:val="nil"/>
              <w:left w:val="nil"/>
              <w:bottom w:val="single" w:sz="4" w:space="0" w:color="auto"/>
              <w:right w:val="single" w:sz="4" w:space="0" w:color="auto"/>
            </w:tcBorders>
            <w:shd w:val="clear" w:color="auto" w:fill="auto"/>
            <w:vAlign w:val="center"/>
            <w:hideMark/>
          </w:tcPr>
          <w:p w14:paraId="47F927E8"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Bronchofiberoskop z wyposażeniem</w:t>
            </w:r>
          </w:p>
        </w:tc>
      </w:tr>
      <w:tr w:rsidR="009F5D9E" w:rsidRPr="00896429" w14:paraId="72FBEC8F"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ADD74B2"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20</w:t>
            </w:r>
          </w:p>
        </w:tc>
        <w:tc>
          <w:tcPr>
            <w:tcW w:w="9280" w:type="dxa"/>
            <w:tcBorders>
              <w:top w:val="nil"/>
              <w:left w:val="nil"/>
              <w:bottom w:val="single" w:sz="4" w:space="0" w:color="auto"/>
              <w:right w:val="single" w:sz="4" w:space="0" w:color="auto"/>
            </w:tcBorders>
            <w:shd w:val="clear" w:color="auto" w:fill="auto"/>
            <w:vAlign w:val="center"/>
            <w:hideMark/>
          </w:tcPr>
          <w:p w14:paraId="3CD28317"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Bronchoskop oraz bronchoskopy jednorazowe</w:t>
            </w:r>
          </w:p>
        </w:tc>
      </w:tr>
      <w:tr w:rsidR="009F5D9E" w:rsidRPr="00896429" w14:paraId="1513C4CC"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5AF16AC"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21</w:t>
            </w:r>
          </w:p>
        </w:tc>
        <w:tc>
          <w:tcPr>
            <w:tcW w:w="9280" w:type="dxa"/>
            <w:tcBorders>
              <w:top w:val="nil"/>
              <w:left w:val="nil"/>
              <w:bottom w:val="single" w:sz="4" w:space="0" w:color="auto"/>
              <w:right w:val="single" w:sz="4" w:space="0" w:color="auto"/>
            </w:tcBorders>
            <w:shd w:val="clear" w:color="auto" w:fill="auto"/>
            <w:vAlign w:val="center"/>
            <w:hideMark/>
          </w:tcPr>
          <w:p w14:paraId="69058D8A"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Centrala do monitorowania</w:t>
            </w:r>
          </w:p>
        </w:tc>
      </w:tr>
      <w:tr w:rsidR="009F5D9E" w:rsidRPr="00896429" w14:paraId="0FC182CF"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2717B89"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22</w:t>
            </w:r>
          </w:p>
        </w:tc>
        <w:tc>
          <w:tcPr>
            <w:tcW w:w="9280" w:type="dxa"/>
            <w:tcBorders>
              <w:top w:val="nil"/>
              <w:left w:val="nil"/>
              <w:bottom w:val="single" w:sz="4" w:space="0" w:color="auto"/>
              <w:right w:val="single" w:sz="4" w:space="0" w:color="auto"/>
            </w:tcBorders>
            <w:shd w:val="clear" w:color="auto" w:fill="auto"/>
            <w:vAlign w:val="center"/>
            <w:hideMark/>
          </w:tcPr>
          <w:p w14:paraId="469CFDCD"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Dawkomierz do aparatu RTG oraz aparatu jezdnego RTG</w:t>
            </w:r>
          </w:p>
        </w:tc>
      </w:tr>
      <w:tr w:rsidR="009F5D9E" w:rsidRPr="00896429" w14:paraId="7A0A7870"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DC3F0CE"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23</w:t>
            </w:r>
          </w:p>
        </w:tc>
        <w:tc>
          <w:tcPr>
            <w:tcW w:w="9280" w:type="dxa"/>
            <w:tcBorders>
              <w:top w:val="nil"/>
              <w:left w:val="nil"/>
              <w:bottom w:val="single" w:sz="4" w:space="0" w:color="auto"/>
              <w:right w:val="single" w:sz="4" w:space="0" w:color="auto"/>
            </w:tcBorders>
            <w:shd w:val="clear" w:color="auto" w:fill="auto"/>
            <w:vAlign w:val="center"/>
            <w:hideMark/>
          </w:tcPr>
          <w:p w14:paraId="30F9CBC1"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Defibrylator z wyposażeniem</w:t>
            </w:r>
          </w:p>
        </w:tc>
      </w:tr>
      <w:tr w:rsidR="009F5D9E" w:rsidRPr="00896429" w14:paraId="4E970273"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EBB4BE8"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24</w:t>
            </w:r>
          </w:p>
        </w:tc>
        <w:tc>
          <w:tcPr>
            <w:tcW w:w="9280" w:type="dxa"/>
            <w:tcBorders>
              <w:top w:val="nil"/>
              <w:left w:val="nil"/>
              <w:bottom w:val="single" w:sz="4" w:space="0" w:color="auto"/>
              <w:right w:val="single" w:sz="4" w:space="0" w:color="auto"/>
            </w:tcBorders>
            <w:shd w:val="clear" w:color="auto" w:fill="auto"/>
            <w:vAlign w:val="center"/>
            <w:hideMark/>
          </w:tcPr>
          <w:p w14:paraId="725C00C9"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Diatermia chirurgiczna</w:t>
            </w:r>
          </w:p>
        </w:tc>
      </w:tr>
      <w:tr w:rsidR="009F5D9E" w:rsidRPr="00896429" w14:paraId="534E7BBE"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245D11E"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25</w:t>
            </w:r>
          </w:p>
        </w:tc>
        <w:tc>
          <w:tcPr>
            <w:tcW w:w="9280" w:type="dxa"/>
            <w:tcBorders>
              <w:top w:val="nil"/>
              <w:left w:val="nil"/>
              <w:bottom w:val="single" w:sz="4" w:space="0" w:color="auto"/>
              <w:right w:val="single" w:sz="4" w:space="0" w:color="auto"/>
            </w:tcBorders>
            <w:shd w:val="clear" w:color="auto" w:fill="auto"/>
            <w:vAlign w:val="center"/>
            <w:hideMark/>
          </w:tcPr>
          <w:p w14:paraId="1B742F7C"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Dozownik do tlenu</w:t>
            </w:r>
          </w:p>
        </w:tc>
      </w:tr>
      <w:tr w:rsidR="009F5D9E" w:rsidRPr="00896429" w14:paraId="6FD66C67"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EDFDBF"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26</w:t>
            </w:r>
          </w:p>
        </w:tc>
        <w:tc>
          <w:tcPr>
            <w:tcW w:w="9280" w:type="dxa"/>
            <w:tcBorders>
              <w:top w:val="nil"/>
              <w:left w:val="nil"/>
              <w:bottom w:val="single" w:sz="4" w:space="0" w:color="auto"/>
              <w:right w:val="single" w:sz="4" w:space="0" w:color="auto"/>
            </w:tcBorders>
            <w:shd w:val="clear" w:color="auto" w:fill="auto"/>
            <w:vAlign w:val="center"/>
            <w:hideMark/>
          </w:tcPr>
          <w:p w14:paraId="392C3412"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Echokardiograf </w:t>
            </w:r>
          </w:p>
        </w:tc>
      </w:tr>
      <w:tr w:rsidR="009F5D9E" w:rsidRPr="00896429" w14:paraId="0A527A9F"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009B1C5"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27</w:t>
            </w:r>
          </w:p>
        </w:tc>
        <w:tc>
          <w:tcPr>
            <w:tcW w:w="9280" w:type="dxa"/>
            <w:tcBorders>
              <w:top w:val="nil"/>
              <w:left w:val="nil"/>
              <w:bottom w:val="single" w:sz="4" w:space="0" w:color="auto"/>
              <w:right w:val="single" w:sz="4" w:space="0" w:color="auto"/>
            </w:tcBorders>
            <w:shd w:val="clear" w:color="auto" w:fill="auto"/>
            <w:vAlign w:val="center"/>
            <w:hideMark/>
          </w:tcPr>
          <w:p w14:paraId="5EF579E7"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ECMO</w:t>
            </w:r>
          </w:p>
        </w:tc>
      </w:tr>
      <w:tr w:rsidR="009F5D9E" w:rsidRPr="00896429" w14:paraId="0CCCE0E8"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936E83A"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lastRenderedPageBreak/>
              <w:t>28</w:t>
            </w:r>
          </w:p>
        </w:tc>
        <w:tc>
          <w:tcPr>
            <w:tcW w:w="9280" w:type="dxa"/>
            <w:tcBorders>
              <w:top w:val="nil"/>
              <w:left w:val="nil"/>
              <w:bottom w:val="single" w:sz="4" w:space="0" w:color="auto"/>
              <w:right w:val="single" w:sz="4" w:space="0" w:color="auto"/>
            </w:tcBorders>
            <w:shd w:val="clear" w:color="auto" w:fill="auto"/>
            <w:vAlign w:val="center"/>
            <w:hideMark/>
          </w:tcPr>
          <w:p w14:paraId="6A77B0F7"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Elektrody do defibrylatorów i stymulacji zewnętrznej</w:t>
            </w:r>
          </w:p>
        </w:tc>
      </w:tr>
      <w:tr w:rsidR="009F5D9E" w:rsidRPr="00896429" w14:paraId="310623C4"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ADCCA59"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29</w:t>
            </w:r>
          </w:p>
        </w:tc>
        <w:tc>
          <w:tcPr>
            <w:tcW w:w="9280" w:type="dxa"/>
            <w:tcBorders>
              <w:top w:val="nil"/>
              <w:left w:val="nil"/>
              <w:bottom w:val="single" w:sz="4" w:space="0" w:color="auto"/>
              <w:right w:val="single" w:sz="4" w:space="0" w:color="auto"/>
            </w:tcBorders>
            <w:shd w:val="clear" w:color="auto" w:fill="auto"/>
            <w:vAlign w:val="center"/>
            <w:hideMark/>
          </w:tcPr>
          <w:p w14:paraId="734B764C"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Fiberoskop intubacyjny</w:t>
            </w:r>
          </w:p>
        </w:tc>
      </w:tr>
      <w:tr w:rsidR="009F5D9E" w:rsidRPr="00896429" w14:paraId="5F2A3722"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396EE3E"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30</w:t>
            </w:r>
          </w:p>
        </w:tc>
        <w:tc>
          <w:tcPr>
            <w:tcW w:w="9280" w:type="dxa"/>
            <w:tcBorders>
              <w:top w:val="nil"/>
              <w:left w:val="nil"/>
              <w:bottom w:val="single" w:sz="4" w:space="0" w:color="auto"/>
              <w:right w:val="single" w:sz="4" w:space="0" w:color="auto"/>
            </w:tcBorders>
            <w:shd w:val="clear" w:color="auto" w:fill="auto"/>
            <w:vAlign w:val="center"/>
            <w:hideMark/>
          </w:tcPr>
          <w:p w14:paraId="603EAAC5"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Fonendoskop</w:t>
            </w:r>
          </w:p>
        </w:tc>
      </w:tr>
      <w:tr w:rsidR="009F5D9E" w:rsidRPr="00896429" w14:paraId="4143FD82"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191FEF2"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31</w:t>
            </w:r>
          </w:p>
        </w:tc>
        <w:tc>
          <w:tcPr>
            <w:tcW w:w="9280" w:type="dxa"/>
            <w:tcBorders>
              <w:top w:val="nil"/>
              <w:left w:val="nil"/>
              <w:bottom w:val="single" w:sz="4" w:space="0" w:color="auto"/>
              <w:right w:val="single" w:sz="4" w:space="0" w:color="auto"/>
            </w:tcBorders>
            <w:shd w:val="clear" w:color="auto" w:fill="auto"/>
            <w:vAlign w:val="center"/>
            <w:hideMark/>
          </w:tcPr>
          <w:p w14:paraId="08EE83D3"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Hełmy do wentylacji nieinwazyjnej z dodatnim ciśnieniem </w:t>
            </w:r>
            <w:proofErr w:type="spellStart"/>
            <w:r w:rsidRPr="00896429">
              <w:rPr>
                <w:rFonts w:asciiTheme="minorHAnsi" w:hAnsiTheme="minorHAnsi" w:cstheme="minorHAnsi"/>
                <w:szCs w:val="22"/>
              </w:rPr>
              <w:t>końcowowydechowym</w:t>
            </w:r>
            <w:proofErr w:type="spellEnd"/>
          </w:p>
        </w:tc>
      </w:tr>
      <w:tr w:rsidR="009F5D9E" w:rsidRPr="00896429" w14:paraId="5DEAC865"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861457B"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32</w:t>
            </w:r>
          </w:p>
        </w:tc>
        <w:tc>
          <w:tcPr>
            <w:tcW w:w="9280" w:type="dxa"/>
            <w:tcBorders>
              <w:top w:val="nil"/>
              <w:left w:val="nil"/>
              <w:bottom w:val="single" w:sz="4" w:space="0" w:color="auto"/>
              <w:right w:val="single" w:sz="4" w:space="0" w:color="auto"/>
            </w:tcBorders>
            <w:shd w:val="clear" w:color="auto" w:fill="auto"/>
            <w:vAlign w:val="center"/>
            <w:hideMark/>
          </w:tcPr>
          <w:p w14:paraId="76B3770B"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Instalacje i butle tlenowe</w:t>
            </w:r>
          </w:p>
        </w:tc>
      </w:tr>
      <w:tr w:rsidR="009F5D9E" w:rsidRPr="00896429" w14:paraId="6910C67A"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316BE02"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33</w:t>
            </w:r>
          </w:p>
        </w:tc>
        <w:tc>
          <w:tcPr>
            <w:tcW w:w="9280" w:type="dxa"/>
            <w:tcBorders>
              <w:top w:val="nil"/>
              <w:left w:val="nil"/>
              <w:bottom w:val="single" w:sz="4" w:space="0" w:color="auto"/>
              <w:right w:val="single" w:sz="4" w:space="0" w:color="auto"/>
            </w:tcBorders>
            <w:shd w:val="clear" w:color="auto" w:fill="auto"/>
            <w:vAlign w:val="center"/>
            <w:hideMark/>
          </w:tcPr>
          <w:p w14:paraId="6A841B1B"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Kamery z detektorem ruchu na stanowiska IT oraz konsole zbiorcze </w:t>
            </w:r>
            <w:proofErr w:type="spellStart"/>
            <w:r w:rsidRPr="00896429">
              <w:rPr>
                <w:rFonts w:asciiTheme="minorHAnsi" w:hAnsiTheme="minorHAnsi" w:cstheme="minorHAnsi"/>
                <w:szCs w:val="22"/>
              </w:rPr>
              <w:t>monitoorowania</w:t>
            </w:r>
            <w:proofErr w:type="spellEnd"/>
            <w:r w:rsidRPr="00896429">
              <w:rPr>
                <w:rFonts w:asciiTheme="minorHAnsi" w:hAnsiTheme="minorHAnsi" w:cstheme="minorHAnsi"/>
                <w:szCs w:val="22"/>
              </w:rPr>
              <w:t xml:space="preserve"> IT</w:t>
            </w:r>
          </w:p>
        </w:tc>
      </w:tr>
      <w:tr w:rsidR="009F5D9E" w:rsidRPr="00896429" w14:paraId="2E67031A"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39B3732"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34</w:t>
            </w:r>
          </w:p>
        </w:tc>
        <w:tc>
          <w:tcPr>
            <w:tcW w:w="9280" w:type="dxa"/>
            <w:tcBorders>
              <w:top w:val="nil"/>
              <w:left w:val="nil"/>
              <w:bottom w:val="single" w:sz="4" w:space="0" w:color="auto"/>
              <w:right w:val="single" w:sz="4" w:space="0" w:color="auto"/>
            </w:tcBorders>
            <w:shd w:val="clear" w:color="auto" w:fill="auto"/>
            <w:vAlign w:val="center"/>
            <w:hideMark/>
          </w:tcPr>
          <w:p w14:paraId="34A16330" w14:textId="77777777" w:rsidR="009F5D9E" w:rsidRPr="00896429" w:rsidRDefault="009F5D9E" w:rsidP="009F5D9E">
            <w:pPr>
              <w:spacing w:before="0" w:line="240" w:lineRule="auto"/>
              <w:rPr>
                <w:rFonts w:asciiTheme="minorHAnsi" w:hAnsiTheme="minorHAnsi" w:cstheme="minorHAnsi"/>
                <w:szCs w:val="22"/>
              </w:rPr>
            </w:pPr>
            <w:proofErr w:type="spellStart"/>
            <w:r w:rsidRPr="00896429">
              <w:rPr>
                <w:rFonts w:asciiTheme="minorHAnsi" w:hAnsiTheme="minorHAnsi" w:cstheme="minorHAnsi"/>
                <w:szCs w:val="22"/>
              </w:rPr>
              <w:t>Kapnometry</w:t>
            </w:r>
            <w:proofErr w:type="spellEnd"/>
            <w:r w:rsidRPr="00896429">
              <w:rPr>
                <w:rFonts w:asciiTheme="minorHAnsi" w:hAnsiTheme="minorHAnsi" w:cstheme="minorHAnsi"/>
                <w:szCs w:val="22"/>
              </w:rPr>
              <w:t xml:space="preserve"> na rurkę intubacyjną wraz z wyposażeniem</w:t>
            </w:r>
          </w:p>
        </w:tc>
      </w:tr>
      <w:tr w:rsidR="009F5D9E" w:rsidRPr="00896429" w14:paraId="10C43138"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EECE0B"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35</w:t>
            </w:r>
          </w:p>
        </w:tc>
        <w:tc>
          <w:tcPr>
            <w:tcW w:w="9280" w:type="dxa"/>
            <w:tcBorders>
              <w:top w:val="nil"/>
              <w:left w:val="nil"/>
              <w:bottom w:val="single" w:sz="4" w:space="0" w:color="auto"/>
              <w:right w:val="single" w:sz="4" w:space="0" w:color="auto"/>
            </w:tcBorders>
            <w:shd w:val="clear" w:color="auto" w:fill="auto"/>
            <w:vAlign w:val="center"/>
            <w:hideMark/>
          </w:tcPr>
          <w:p w14:paraId="24634E6B"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Kardiomonitor - różne rodzaje, np. anestezjologiczny, przenośny</w:t>
            </w:r>
          </w:p>
        </w:tc>
      </w:tr>
      <w:tr w:rsidR="009F5D9E" w:rsidRPr="00896429" w14:paraId="728332E0"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1A0FCB9"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36</w:t>
            </w:r>
          </w:p>
        </w:tc>
        <w:tc>
          <w:tcPr>
            <w:tcW w:w="9280" w:type="dxa"/>
            <w:tcBorders>
              <w:top w:val="nil"/>
              <w:left w:val="nil"/>
              <w:bottom w:val="single" w:sz="4" w:space="0" w:color="auto"/>
              <w:right w:val="single" w:sz="4" w:space="0" w:color="auto"/>
            </w:tcBorders>
            <w:shd w:val="clear" w:color="auto" w:fill="auto"/>
            <w:vAlign w:val="center"/>
            <w:hideMark/>
          </w:tcPr>
          <w:p w14:paraId="280C14B5"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Kaseta do analizatora parametrów krytycznych</w:t>
            </w:r>
          </w:p>
        </w:tc>
      </w:tr>
      <w:tr w:rsidR="009F5D9E" w:rsidRPr="00896429" w14:paraId="27864272"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43B463"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37</w:t>
            </w:r>
          </w:p>
        </w:tc>
        <w:tc>
          <w:tcPr>
            <w:tcW w:w="9280" w:type="dxa"/>
            <w:tcBorders>
              <w:top w:val="nil"/>
              <w:left w:val="nil"/>
              <w:bottom w:val="single" w:sz="4" w:space="0" w:color="auto"/>
              <w:right w:val="single" w:sz="4" w:space="0" w:color="auto"/>
            </w:tcBorders>
            <w:shd w:val="clear" w:color="auto" w:fill="auto"/>
            <w:vAlign w:val="center"/>
            <w:hideMark/>
          </w:tcPr>
          <w:p w14:paraId="766BFAED"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Kolumna endoskopowa – tor wizyjny</w:t>
            </w:r>
          </w:p>
        </w:tc>
      </w:tr>
      <w:tr w:rsidR="009F5D9E" w:rsidRPr="00896429" w14:paraId="3F3DE127"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4AFDC10"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38</w:t>
            </w:r>
          </w:p>
        </w:tc>
        <w:tc>
          <w:tcPr>
            <w:tcW w:w="9280" w:type="dxa"/>
            <w:tcBorders>
              <w:top w:val="nil"/>
              <w:left w:val="nil"/>
              <w:bottom w:val="single" w:sz="4" w:space="0" w:color="auto"/>
              <w:right w:val="single" w:sz="4" w:space="0" w:color="auto"/>
            </w:tcBorders>
            <w:shd w:val="clear" w:color="auto" w:fill="auto"/>
            <w:vAlign w:val="center"/>
            <w:hideMark/>
          </w:tcPr>
          <w:p w14:paraId="499A4B0C"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Koncentrator tlenu</w:t>
            </w:r>
          </w:p>
        </w:tc>
      </w:tr>
      <w:tr w:rsidR="009F5D9E" w:rsidRPr="00896429" w14:paraId="0862A2A7"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3F36E2F"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39</w:t>
            </w:r>
          </w:p>
        </w:tc>
        <w:tc>
          <w:tcPr>
            <w:tcW w:w="9280" w:type="dxa"/>
            <w:tcBorders>
              <w:top w:val="nil"/>
              <w:left w:val="nil"/>
              <w:bottom w:val="single" w:sz="4" w:space="0" w:color="auto"/>
              <w:right w:val="single" w:sz="4" w:space="0" w:color="auto"/>
            </w:tcBorders>
            <w:shd w:val="clear" w:color="auto" w:fill="auto"/>
            <w:vAlign w:val="center"/>
            <w:hideMark/>
          </w:tcPr>
          <w:p w14:paraId="6CD6D2D2"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Laryngoskop - różne rodzaje</w:t>
            </w:r>
          </w:p>
        </w:tc>
      </w:tr>
      <w:tr w:rsidR="009F5D9E" w:rsidRPr="00896429" w14:paraId="40C325AB"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06848F"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40</w:t>
            </w:r>
          </w:p>
        </w:tc>
        <w:tc>
          <w:tcPr>
            <w:tcW w:w="9280" w:type="dxa"/>
            <w:tcBorders>
              <w:top w:val="nil"/>
              <w:left w:val="nil"/>
              <w:bottom w:val="single" w:sz="4" w:space="0" w:color="auto"/>
              <w:right w:val="single" w:sz="4" w:space="0" w:color="auto"/>
            </w:tcBorders>
            <w:shd w:val="clear" w:color="auto" w:fill="auto"/>
            <w:vAlign w:val="center"/>
            <w:hideMark/>
          </w:tcPr>
          <w:p w14:paraId="54183C03"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Łóżko, w tym łóżko OIOM wraz z materacem</w:t>
            </w:r>
          </w:p>
        </w:tc>
      </w:tr>
      <w:tr w:rsidR="009F5D9E" w:rsidRPr="00896429" w14:paraId="6A4DEAB7"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988DE26"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41</w:t>
            </w:r>
          </w:p>
        </w:tc>
        <w:tc>
          <w:tcPr>
            <w:tcW w:w="9280" w:type="dxa"/>
            <w:tcBorders>
              <w:top w:val="nil"/>
              <w:left w:val="nil"/>
              <w:bottom w:val="single" w:sz="4" w:space="0" w:color="auto"/>
              <w:right w:val="single" w:sz="4" w:space="0" w:color="auto"/>
            </w:tcBorders>
            <w:shd w:val="clear" w:color="auto" w:fill="auto"/>
            <w:vAlign w:val="center"/>
            <w:hideMark/>
          </w:tcPr>
          <w:p w14:paraId="32BF2728"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Maski do wentylacji nieinwazyjnej CPAP</w:t>
            </w:r>
          </w:p>
        </w:tc>
      </w:tr>
      <w:tr w:rsidR="009F5D9E" w:rsidRPr="00896429" w14:paraId="5A8F71BF"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A326FBB"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42</w:t>
            </w:r>
          </w:p>
        </w:tc>
        <w:tc>
          <w:tcPr>
            <w:tcW w:w="9280" w:type="dxa"/>
            <w:tcBorders>
              <w:top w:val="nil"/>
              <w:left w:val="nil"/>
              <w:bottom w:val="single" w:sz="4" w:space="0" w:color="auto"/>
              <w:right w:val="single" w:sz="4" w:space="0" w:color="auto"/>
            </w:tcBorders>
            <w:shd w:val="clear" w:color="auto" w:fill="auto"/>
            <w:vAlign w:val="center"/>
            <w:hideMark/>
          </w:tcPr>
          <w:p w14:paraId="0BF53F70"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Materac lub inne urządzenie do aktywnej regulacji temperatury pacjenta</w:t>
            </w:r>
          </w:p>
        </w:tc>
      </w:tr>
      <w:tr w:rsidR="009F5D9E" w:rsidRPr="00896429" w14:paraId="36DE99B5"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C0B7FDB"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43</w:t>
            </w:r>
          </w:p>
        </w:tc>
        <w:tc>
          <w:tcPr>
            <w:tcW w:w="9280" w:type="dxa"/>
            <w:tcBorders>
              <w:top w:val="nil"/>
              <w:left w:val="nil"/>
              <w:bottom w:val="single" w:sz="4" w:space="0" w:color="auto"/>
              <w:right w:val="single" w:sz="4" w:space="0" w:color="auto"/>
            </w:tcBorders>
            <w:shd w:val="clear" w:color="auto" w:fill="auto"/>
            <w:vAlign w:val="center"/>
            <w:hideMark/>
          </w:tcPr>
          <w:p w14:paraId="7034DBBB"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Materace chłodzące do krążenia pozaustrojowego</w:t>
            </w:r>
          </w:p>
        </w:tc>
      </w:tr>
      <w:tr w:rsidR="009F5D9E" w:rsidRPr="00896429" w14:paraId="261199A8"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4BB8980"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44</w:t>
            </w:r>
          </w:p>
        </w:tc>
        <w:tc>
          <w:tcPr>
            <w:tcW w:w="9280" w:type="dxa"/>
            <w:tcBorders>
              <w:top w:val="nil"/>
              <w:left w:val="nil"/>
              <w:bottom w:val="single" w:sz="4" w:space="0" w:color="auto"/>
              <w:right w:val="single" w:sz="4" w:space="0" w:color="auto"/>
            </w:tcBorders>
            <w:shd w:val="clear" w:color="auto" w:fill="auto"/>
            <w:vAlign w:val="center"/>
            <w:hideMark/>
          </w:tcPr>
          <w:p w14:paraId="7996B7AE"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Materace p/</w:t>
            </w:r>
            <w:proofErr w:type="spellStart"/>
            <w:r w:rsidRPr="00896429">
              <w:rPr>
                <w:rFonts w:asciiTheme="minorHAnsi" w:hAnsiTheme="minorHAnsi" w:cstheme="minorHAnsi"/>
                <w:szCs w:val="22"/>
              </w:rPr>
              <w:t>odleżynowe</w:t>
            </w:r>
            <w:proofErr w:type="spellEnd"/>
          </w:p>
        </w:tc>
      </w:tr>
      <w:tr w:rsidR="009F5D9E" w:rsidRPr="00896429" w14:paraId="02233BFB"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C4076DC"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45</w:t>
            </w:r>
          </w:p>
        </w:tc>
        <w:tc>
          <w:tcPr>
            <w:tcW w:w="9280" w:type="dxa"/>
            <w:tcBorders>
              <w:top w:val="nil"/>
              <w:left w:val="nil"/>
              <w:bottom w:val="single" w:sz="4" w:space="0" w:color="auto"/>
              <w:right w:val="single" w:sz="4" w:space="0" w:color="auto"/>
            </w:tcBorders>
            <w:shd w:val="clear" w:color="auto" w:fill="auto"/>
            <w:vAlign w:val="center"/>
            <w:hideMark/>
          </w:tcPr>
          <w:p w14:paraId="201C8B93"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Mobilne urządzenie do </w:t>
            </w:r>
            <w:proofErr w:type="spellStart"/>
            <w:r w:rsidRPr="00896429">
              <w:rPr>
                <w:rFonts w:asciiTheme="minorHAnsi" w:hAnsiTheme="minorHAnsi" w:cstheme="minorHAnsi"/>
                <w:szCs w:val="22"/>
              </w:rPr>
              <w:t>biodekontaminacji</w:t>
            </w:r>
            <w:proofErr w:type="spellEnd"/>
            <w:r w:rsidRPr="00896429">
              <w:rPr>
                <w:rFonts w:asciiTheme="minorHAnsi" w:hAnsiTheme="minorHAnsi" w:cstheme="minorHAnsi"/>
                <w:szCs w:val="22"/>
              </w:rPr>
              <w:t xml:space="preserve"> </w:t>
            </w:r>
          </w:p>
        </w:tc>
      </w:tr>
      <w:tr w:rsidR="009F5D9E" w:rsidRPr="00896429" w14:paraId="02E101AE"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CC0BACB"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46</w:t>
            </w:r>
          </w:p>
        </w:tc>
        <w:tc>
          <w:tcPr>
            <w:tcW w:w="9280" w:type="dxa"/>
            <w:tcBorders>
              <w:top w:val="nil"/>
              <w:left w:val="nil"/>
              <w:bottom w:val="single" w:sz="4" w:space="0" w:color="auto"/>
              <w:right w:val="single" w:sz="4" w:space="0" w:color="auto"/>
            </w:tcBorders>
            <w:shd w:val="clear" w:color="auto" w:fill="auto"/>
            <w:vAlign w:val="center"/>
            <w:hideMark/>
          </w:tcPr>
          <w:p w14:paraId="28CAB07A"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Monitory, np. do znieczulenia, hemodynamiczny, OIT, przenośny</w:t>
            </w:r>
          </w:p>
        </w:tc>
      </w:tr>
      <w:tr w:rsidR="009F5D9E" w:rsidRPr="00896429" w14:paraId="48F8C8C9"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D0A1D06"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47</w:t>
            </w:r>
          </w:p>
        </w:tc>
        <w:tc>
          <w:tcPr>
            <w:tcW w:w="9280" w:type="dxa"/>
            <w:tcBorders>
              <w:top w:val="nil"/>
              <w:left w:val="nil"/>
              <w:bottom w:val="single" w:sz="4" w:space="0" w:color="auto"/>
              <w:right w:val="single" w:sz="4" w:space="0" w:color="auto"/>
            </w:tcBorders>
            <w:shd w:val="clear" w:color="auto" w:fill="auto"/>
            <w:vAlign w:val="center"/>
            <w:hideMark/>
          </w:tcPr>
          <w:p w14:paraId="5808141F"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Nebulizator</w:t>
            </w:r>
          </w:p>
        </w:tc>
      </w:tr>
      <w:tr w:rsidR="009F5D9E" w:rsidRPr="00896429" w14:paraId="22C738C9"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B3BA848"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48</w:t>
            </w:r>
          </w:p>
        </w:tc>
        <w:tc>
          <w:tcPr>
            <w:tcW w:w="9280" w:type="dxa"/>
            <w:tcBorders>
              <w:top w:val="nil"/>
              <w:left w:val="nil"/>
              <w:bottom w:val="single" w:sz="4" w:space="0" w:color="auto"/>
              <w:right w:val="single" w:sz="4" w:space="0" w:color="auto"/>
            </w:tcBorders>
            <w:shd w:val="clear" w:color="auto" w:fill="auto"/>
            <w:vAlign w:val="center"/>
            <w:hideMark/>
          </w:tcPr>
          <w:p w14:paraId="0AB37CCB"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Otoskop pediatryczny</w:t>
            </w:r>
          </w:p>
        </w:tc>
      </w:tr>
      <w:tr w:rsidR="009F5D9E" w:rsidRPr="00896429" w14:paraId="3EC5506A"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FDA43F8"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49</w:t>
            </w:r>
          </w:p>
        </w:tc>
        <w:tc>
          <w:tcPr>
            <w:tcW w:w="9280" w:type="dxa"/>
            <w:tcBorders>
              <w:top w:val="nil"/>
              <w:left w:val="nil"/>
              <w:bottom w:val="single" w:sz="4" w:space="0" w:color="auto"/>
              <w:right w:val="single" w:sz="4" w:space="0" w:color="auto"/>
            </w:tcBorders>
            <w:shd w:val="clear" w:color="auto" w:fill="auto"/>
            <w:vAlign w:val="center"/>
            <w:hideMark/>
          </w:tcPr>
          <w:p w14:paraId="036E6FD7"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Platforma do obserwacji parametrów hemodynamicznych, w tym rzutów serca</w:t>
            </w:r>
          </w:p>
        </w:tc>
      </w:tr>
      <w:tr w:rsidR="009F5D9E" w:rsidRPr="00896429" w14:paraId="4AAD6CC5"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2AACD06"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50</w:t>
            </w:r>
          </w:p>
        </w:tc>
        <w:tc>
          <w:tcPr>
            <w:tcW w:w="9280" w:type="dxa"/>
            <w:tcBorders>
              <w:top w:val="nil"/>
              <w:left w:val="nil"/>
              <w:bottom w:val="single" w:sz="4" w:space="0" w:color="auto"/>
              <w:right w:val="single" w:sz="4" w:space="0" w:color="auto"/>
            </w:tcBorders>
            <w:shd w:val="clear" w:color="auto" w:fill="auto"/>
            <w:vAlign w:val="center"/>
            <w:hideMark/>
          </w:tcPr>
          <w:p w14:paraId="5D8822D7"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Pompa infuzyjna - różne rodzaje, wraz z wyposażeniem</w:t>
            </w:r>
          </w:p>
        </w:tc>
      </w:tr>
      <w:tr w:rsidR="009F5D9E" w:rsidRPr="00896429" w14:paraId="3CA2D98F"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A329329"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51</w:t>
            </w:r>
          </w:p>
        </w:tc>
        <w:tc>
          <w:tcPr>
            <w:tcW w:w="9280" w:type="dxa"/>
            <w:tcBorders>
              <w:top w:val="nil"/>
              <w:left w:val="nil"/>
              <w:bottom w:val="single" w:sz="4" w:space="0" w:color="auto"/>
              <w:right w:val="single" w:sz="4" w:space="0" w:color="auto"/>
            </w:tcBorders>
            <w:shd w:val="clear" w:color="auto" w:fill="auto"/>
            <w:vAlign w:val="center"/>
            <w:hideMark/>
          </w:tcPr>
          <w:p w14:paraId="014484AF"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Pompa objętościowa</w:t>
            </w:r>
          </w:p>
        </w:tc>
      </w:tr>
      <w:tr w:rsidR="009F5D9E" w:rsidRPr="00896429" w14:paraId="16CD40CB"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E810E54"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52</w:t>
            </w:r>
          </w:p>
        </w:tc>
        <w:tc>
          <w:tcPr>
            <w:tcW w:w="9280" w:type="dxa"/>
            <w:tcBorders>
              <w:top w:val="nil"/>
              <w:left w:val="nil"/>
              <w:bottom w:val="single" w:sz="4" w:space="0" w:color="auto"/>
              <w:right w:val="single" w:sz="4" w:space="0" w:color="auto"/>
            </w:tcBorders>
            <w:shd w:val="clear" w:color="auto" w:fill="auto"/>
            <w:vAlign w:val="center"/>
            <w:hideMark/>
          </w:tcPr>
          <w:p w14:paraId="480F877A"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Pompa perystaltyczna</w:t>
            </w:r>
          </w:p>
        </w:tc>
      </w:tr>
      <w:tr w:rsidR="009F5D9E" w:rsidRPr="00896429" w14:paraId="185C3A87"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B3B6DAF"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53</w:t>
            </w:r>
          </w:p>
        </w:tc>
        <w:tc>
          <w:tcPr>
            <w:tcW w:w="9280" w:type="dxa"/>
            <w:tcBorders>
              <w:top w:val="nil"/>
              <w:left w:val="nil"/>
              <w:bottom w:val="single" w:sz="4" w:space="0" w:color="auto"/>
              <w:right w:val="single" w:sz="4" w:space="0" w:color="auto"/>
            </w:tcBorders>
            <w:shd w:val="clear" w:color="auto" w:fill="auto"/>
            <w:vAlign w:val="center"/>
            <w:hideMark/>
          </w:tcPr>
          <w:p w14:paraId="11EBA66C"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Pompa </w:t>
            </w:r>
            <w:proofErr w:type="spellStart"/>
            <w:r w:rsidRPr="00896429">
              <w:rPr>
                <w:rFonts w:asciiTheme="minorHAnsi" w:hAnsiTheme="minorHAnsi" w:cstheme="minorHAnsi"/>
                <w:szCs w:val="22"/>
              </w:rPr>
              <w:t>strzykawkowa</w:t>
            </w:r>
            <w:proofErr w:type="spellEnd"/>
            <w:r w:rsidRPr="00896429">
              <w:rPr>
                <w:rFonts w:asciiTheme="minorHAnsi" w:hAnsiTheme="minorHAnsi" w:cstheme="minorHAnsi"/>
                <w:szCs w:val="22"/>
              </w:rPr>
              <w:t xml:space="preserve"> </w:t>
            </w:r>
          </w:p>
        </w:tc>
      </w:tr>
      <w:tr w:rsidR="009F5D9E" w:rsidRPr="00896429" w14:paraId="341769B8"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3E16D9"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54</w:t>
            </w:r>
          </w:p>
        </w:tc>
        <w:tc>
          <w:tcPr>
            <w:tcW w:w="9280" w:type="dxa"/>
            <w:tcBorders>
              <w:top w:val="nil"/>
              <w:left w:val="nil"/>
              <w:bottom w:val="single" w:sz="4" w:space="0" w:color="auto"/>
              <w:right w:val="single" w:sz="4" w:space="0" w:color="auto"/>
            </w:tcBorders>
            <w:shd w:val="clear" w:color="auto" w:fill="auto"/>
            <w:vAlign w:val="center"/>
            <w:hideMark/>
          </w:tcPr>
          <w:p w14:paraId="59FF5973"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Pompy PCA - leczenie bólu </w:t>
            </w:r>
          </w:p>
        </w:tc>
      </w:tr>
      <w:tr w:rsidR="009F5D9E" w:rsidRPr="00896429" w14:paraId="4693FE41"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13F82A0"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55</w:t>
            </w:r>
          </w:p>
        </w:tc>
        <w:tc>
          <w:tcPr>
            <w:tcW w:w="9280" w:type="dxa"/>
            <w:tcBorders>
              <w:top w:val="nil"/>
              <w:left w:val="nil"/>
              <w:bottom w:val="single" w:sz="4" w:space="0" w:color="auto"/>
              <w:right w:val="single" w:sz="4" w:space="0" w:color="auto"/>
            </w:tcBorders>
            <w:shd w:val="clear" w:color="auto" w:fill="auto"/>
            <w:vAlign w:val="center"/>
            <w:hideMark/>
          </w:tcPr>
          <w:p w14:paraId="7C82F23D"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Pościel medyczna</w:t>
            </w:r>
          </w:p>
        </w:tc>
      </w:tr>
      <w:tr w:rsidR="009F5D9E" w:rsidRPr="00896429" w14:paraId="263582FC"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8DDECD"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56</w:t>
            </w:r>
          </w:p>
        </w:tc>
        <w:tc>
          <w:tcPr>
            <w:tcW w:w="9280" w:type="dxa"/>
            <w:tcBorders>
              <w:top w:val="nil"/>
              <w:left w:val="nil"/>
              <w:bottom w:val="single" w:sz="4" w:space="0" w:color="auto"/>
              <w:right w:val="single" w:sz="4" w:space="0" w:color="auto"/>
            </w:tcBorders>
            <w:shd w:val="clear" w:color="auto" w:fill="auto"/>
            <w:vAlign w:val="center"/>
            <w:hideMark/>
          </w:tcPr>
          <w:p w14:paraId="7BA93A7B" w14:textId="77777777" w:rsidR="009F5D9E" w:rsidRPr="00896429" w:rsidRDefault="009F5D9E" w:rsidP="009F5D9E">
            <w:pPr>
              <w:spacing w:before="0" w:line="240" w:lineRule="auto"/>
              <w:rPr>
                <w:rFonts w:asciiTheme="minorHAnsi" w:hAnsiTheme="minorHAnsi" w:cstheme="minorHAnsi"/>
                <w:szCs w:val="22"/>
              </w:rPr>
            </w:pPr>
            <w:proofErr w:type="spellStart"/>
            <w:r w:rsidRPr="00896429">
              <w:rPr>
                <w:rFonts w:asciiTheme="minorHAnsi" w:hAnsiTheme="minorHAnsi" w:cstheme="minorHAnsi"/>
                <w:szCs w:val="22"/>
              </w:rPr>
              <w:t>Pulsoksymetr</w:t>
            </w:r>
            <w:proofErr w:type="spellEnd"/>
          </w:p>
        </w:tc>
      </w:tr>
      <w:tr w:rsidR="009F5D9E" w:rsidRPr="00896429" w14:paraId="0BA247C1"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DEED297"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57</w:t>
            </w:r>
          </w:p>
        </w:tc>
        <w:tc>
          <w:tcPr>
            <w:tcW w:w="9280" w:type="dxa"/>
            <w:tcBorders>
              <w:top w:val="nil"/>
              <w:left w:val="nil"/>
              <w:bottom w:val="single" w:sz="4" w:space="0" w:color="auto"/>
              <w:right w:val="single" w:sz="4" w:space="0" w:color="auto"/>
            </w:tcBorders>
            <w:shd w:val="clear" w:color="auto" w:fill="auto"/>
            <w:vAlign w:val="center"/>
            <w:hideMark/>
          </w:tcPr>
          <w:p w14:paraId="7E11CAE9"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Reduktory tlenowe</w:t>
            </w:r>
          </w:p>
        </w:tc>
      </w:tr>
      <w:tr w:rsidR="009F5D9E" w:rsidRPr="00896429" w14:paraId="6D3E6017"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A77B5F"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58</w:t>
            </w:r>
          </w:p>
        </w:tc>
        <w:tc>
          <w:tcPr>
            <w:tcW w:w="9280" w:type="dxa"/>
            <w:tcBorders>
              <w:top w:val="nil"/>
              <w:left w:val="nil"/>
              <w:bottom w:val="single" w:sz="4" w:space="0" w:color="auto"/>
              <w:right w:val="single" w:sz="4" w:space="0" w:color="auto"/>
            </w:tcBorders>
            <w:shd w:val="clear" w:color="auto" w:fill="auto"/>
            <w:vAlign w:val="center"/>
            <w:hideMark/>
          </w:tcPr>
          <w:p w14:paraId="1334D790"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Skaner do aparatu RTG</w:t>
            </w:r>
          </w:p>
        </w:tc>
      </w:tr>
      <w:tr w:rsidR="009F5D9E" w:rsidRPr="00896429" w14:paraId="235B71FD"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CF935B7"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59</w:t>
            </w:r>
          </w:p>
        </w:tc>
        <w:tc>
          <w:tcPr>
            <w:tcW w:w="9280" w:type="dxa"/>
            <w:tcBorders>
              <w:top w:val="nil"/>
              <w:left w:val="nil"/>
              <w:bottom w:val="single" w:sz="4" w:space="0" w:color="auto"/>
              <w:right w:val="single" w:sz="4" w:space="0" w:color="auto"/>
            </w:tcBorders>
            <w:shd w:val="clear" w:color="auto" w:fill="auto"/>
            <w:vAlign w:val="center"/>
            <w:hideMark/>
          </w:tcPr>
          <w:p w14:paraId="4F8E5B90"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Ssak mobilny lub ścienny</w:t>
            </w:r>
          </w:p>
        </w:tc>
      </w:tr>
      <w:tr w:rsidR="009F5D9E" w:rsidRPr="00896429" w14:paraId="10777727"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30C61D"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60</w:t>
            </w:r>
          </w:p>
        </w:tc>
        <w:tc>
          <w:tcPr>
            <w:tcW w:w="9280" w:type="dxa"/>
            <w:tcBorders>
              <w:top w:val="nil"/>
              <w:left w:val="nil"/>
              <w:bottom w:val="single" w:sz="4" w:space="0" w:color="auto"/>
              <w:right w:val="single" w:sz="4" w:space="0" w:color="auto"/>
            </w:tcBorders>
            <w:shd w:val="clear" w:color="auto" w:fill="auto"/>
            <w:vAlign w:val="center"/>
            <w:hideMark/>
          </w:tcPr>
          <w:p w14:paraId="182CF9CA"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Stacja dokująca z pompami </w:t>
            </w:r>
            <w:proofErr w:type="spellStart"/>
            <w:r w:rsidRPr="00896429">
              <w:rPr>
                <w:rFonts w:asciiTheme="minorHAnsi" w:hAnsiTheme="minorHAnsi" w:cstheme="minorHAnsi"/>
                <w:szCs w:val="22"/>
              </w:rPr>
              <w:t>strzykawkowymi</w:t>
            </w:r>
            <w:proofErr w:type="spellEnd"/>
            <w:r w:rsidRPr="00896429">
              <w:rPr>
                <w:rFonts w:asciiTheme="minorHAnsi" w:hAnsiTheme="minorHAnsi" w:cstheme="minorHAnsi"/>
                <w:szCs w:val="22"/>
              </w:rPr>
              <w:t xml:space="preserve"> </w:t>
            </w:r>
          </w:p>
        </w:tc>
      </w:tr>
      <w:tr w:rsidR="009F5D9E" w:rsidRPr="00896429" w14:paraId="6BA11A0A"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222D28E"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61</w:t>
            </w:r>
          </w:p>
        </w:tc>
        <w:tc>
          <w:tcPr>
            <w:tcW w:w="9280" w:type="dxa"/>
            <w:tcBorders>
              <w:top w:val="nil"/>
              <w:left w:val="nil"/>
              <w:bottom w:val="single" w:sz="4" w:space="0" w:color="auto"/>
              <w:right w:val="single" w:sz="4" w:space="0" w:color="auto"/>
            </w:tcBorders>
            <w:shd w:val="clear" w:color="auto" w:fill="auto"/>
            <w:vAlign w:val="center"/>
            <w:hideMark/>
          </w:tcPr>
          <w:p w14:paraId="1CF4850E"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Sterylizator</w:t>
            </w:r>
          </w:p>
        </w:tc>
      </w:tr>
      <w:tr w:rsidR="009F5D9E" w:rsidRPr="00896429" w14:paraId="521B75C1"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E70D511"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62</w:t>
            </w:r>
          </w:p>
        </w:tc>
        <w:tc>
          <w:tcPr>
            <w:tcW w:w="9280" w:type="dxa"/>
            <w:tcBorders>
              <w:top w:val="nil"/>
              <w:left w:val="nil"/>
              <w:bottom w:val="single" w:sz="4" w:space="0" w:color="auto"/>
              <w:right w:val="single" w:sz="4" w:space="0" w:color="auto"/>
            </w:tcBorders>
            <w:shd w:val="clear" w:color="auto" w:fill="auto"/>
            <w:vAlign w:val="center"/>
            <w:hideMark/>
          </w:tcPr>
          <w:p w14:paraId="69AAA226"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Stetoskopy</w:t>
            </w:r>
          </w:p>
        </w:tc>
      </w:tr>
      <w:tr w:rsidR="009F5D9E" w:rsidRPr="00896429" w14:paraId="20357B6C"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28140D0"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63</w:t>
            </w:r>
          </w:p>
        </w:tc>
        <w:tc>
          <w:tcPr>
            <w:tcW w:w="9280" w:type="dxa"/>
            <w:tcBorders>
              <w:top w:val="nil"/>
              <w:left w:val="nil"/>
              <w:bottom w:val="single" w:sz="4" w:space="0" w:color="auto"/>
              <w:right w:val="single" w:sz="4" w:space="0" w:color="auto"/>
            </w:tcBorders>
            <w:shd w:val="clear" w:color="auto" w:fill="auto"/>
            <w:vAlign w:val="center"/>
            <w:hideMark/>
          </w:tcPr>
          <w:p w14:paraId="33A01AEB"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System wspomagania oddechu noworodka</w:t>
            </w:r>
          </w:p>
        </w:tc>
      </w:tr>
      <w:tr w:rsidR="009F5D9E" w:rsidRPr="00896429" w14:paraId="5AAD6300"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ECCA4BE"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64</w:t>
            </w:r>
          </w:p>
        </w:tc>
        <w:tc>
          <w:tcPr>
            <w:tcW w:w="9280" w:type="dxa"/>
            <w:tcBorders>
              <w:top w:val="nil"/>
              <w:left w:val="nil"/>
              <w:bottom w:val="single" w:sz="4" w:space="0" w:color="auto"/>
              <w:right w:val="single" w:sz="4" w:space="0" w:color="auto"/>
            </w:tcBorders>
            <w:shd w:val="clear" w:color="auto" w:fill="auto"/>
            <w:vAlign w:val="center"/>
            <w:hideMark/>
          </w:tcPr>
          <w:p w14:paraId="4BD8E3F1"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Szafki i regały na sprzęt </w:t>
            </w:r>
            <w:proofErr w:type="spellStart"/>
            <w:r w:rsidRPr="00896429">
              <w:rPr>
                <w:rFonts w:asciiTheme="minorHAnsi" w:hAnsiTheme="minorHAnsi" w:cstheme="minorHAnsi"/>
                <w:szCs w:val="22"/>
              </w:rPr>
              <w:t>medyczn</w:t>
            </w:r>
            <w:proofErr w:type="spellEnd"/>
            <w:r w:rsidRPr="00896429">
              <w:rPr>
                <w:rFonts w:asciiTheme="minorHAnsi" w:hAnsiTheme="minorHAnsi" w:cstheme="minorHAnsi"/>
                <w:szCs w:val="22"/>
              </w:rPr>
              <w:t xml:space="preserve"> z blatami do sporządzania leków</w:t>
            </w:r>
          </w:p>
        </w:tc>
      </w:tr>
      <w:tr w:rsidR="009F5D9E" w:rsidRPr="00896429" w14:paraId="50EAE4BB"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BBD7A8"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65</w:t>
            </w:r>
          </w:p>
        </w:tc>
        <w:tc>
          <w:tcPr>
            <w:tcW w:w="9280" w:type="dxa"/>
            <w:tcBorders>
              <w:top w:val="nil"/>
              <w:left w:val="nil"/>
              <w:bottom w:val="single" w:sz="4" w:space="0" w:color="auto"/>
              <w:right w:val="single" w:sz="4" w:space="0" w:color="auto"/>
            </w:tcBorders>
            <w:shd w:val="clear" w:color="auto" w:fill="auto"/>
            <w:vAlign w:val="center"/>
            <w:hideMark/>
          </w:tcPr>
          <w:p w14:paraId="694D2E02"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Termometry do pomiaru ciała</w:t>
            </w:r>
          </w:p>
        </w:tc>
      </w:tr>
      <w:tr w:rsidR="009F5D9E" w:rsidRPr="00896429" w14:paraId="6615F888"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E55CA40"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66</w:t>
            </w:r>
          </w:p>
        </w:tc>
        <w:tc>
          <w:tcPr>
            <w:tcW w:w="9280" w:type="dxa"/>
            <w:tcBorders>
              <w:top w:val="nil"/>
              <w:left w:val="nil"/>
              <w:bottom w:val="single" w:sz="4" w:space="0" w:color="auto"/>
              <w:right w:val="single" w:sz="4" w:space="0" w:color="auto"/>
            </w:tcBorders>
            <w:shd w:val="clear" w:color="auto" w:fill="auto"/>
            <w:vAlign w:val="center"/>
            <w:hideMark/>
          </w:tcPr>
          <w:p w14:paraId="1C3CDDCE"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Tomografy komputerowe</w:t>
            </w:r>
          </w:p>
        </w:tc>
      </w:tr>
      <w:tr w:rsidR="009F5D9E" w:rsidRPr="00896429" w14:paraId="71233350"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3EC6B4B"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67</w:t>
            </w:r>
          </w:p>
        </w:tc>
        <w:tc>
          <w:tcPr>
            <w:tcW w:w="9280" w:type="dxa"/>
            <w:tcBorders>
              <w:top w:val="nil"/>
              <w:left w:val="nil"/>
              <w:bottom w:val="single" w:sz="4" w:space="0" w:color="auto"/>
              <w:right w:val="single" w:sz="4" w:space="0" w:color="auto"/>
            </w:tcBorders>
            <w:shd w:val="clear" w:color="auto" w:fill="auto"/>
            <w:vAlign w:val="center"/>
            <w:hideMark/>
          </w:tcPr>
          <w:p w14:paraId="4FDD200B"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Tor wizyjny z </w:t>
            </w:r>
            <w:proofErr w:type="spellStart"/>
            <w:r w:rsidRPr="00896429">
              <w:rPr>
                <w:rFonts w:asciiTheme="minorHAnsi" w:hAnsiTheme="minorHAnsi" w:cstheme="minorHAnsi"/>
                <w:szCs w:val="22"/>
              </w:rPr>
              <w:t>wideobronchoskopami</w:t>
            </w:r>
            <w:proofErr w:type="spellEnd"/>
            <w:r w:rsidRPr="00896429">
              <w:rPr>
                <w:rFonts w:asciiTheme="minorHAnsi" w:hAnsiTheme="minorHAnsi" w:cstheme="minorHAnsi"/>
                <w:szCs w:val="22"/>
              </w:rPr>
              <w:t xml:space="preserve"> do diagnostyki endoskopowej płuc </w:t>
            </w:r>
          </w:p>
        </w:tc>
      </w:tr>
      <w:tr w:rsidR="009F5D9E" w:rsidRPr="00896429" w14:paraId="1BA53F51"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E7484C9"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68</w:t>
            </w:r>
          </w:p>
        </w:tc>
        <w:tc>
          <w:tcPr>
            <w:tcW w:w="9280" w:type="dxa"/>
            <w:tcBorders>
              <w:top w:val="nil"/>
              <w:left w:val="nil"/>
              <w:bottom w:val="single" w:sz="4" w:space="0" w:color="auto"/>
              <w:right w:val="single" w:sz="4" w:space="0" w:color="auto"/>
            </w:tcBorders>
            <w:shd w:val="clear" w:color="auto" w:fill="auto"/>
            <w:vAlign w:val="center"/>
            <w:hideMark/>
          </w:tcPr>
          <w:p w14:paraId="071715A0"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Układy ssące do drenaży klatki piersiowej</w:t>
            </w:r>
          </w:p>
        </w:tc>
      </w:tr>
      <w:tr w:rsidR="009F5D9E" w:rsidRPr="00896429" w14:paraId="65EE2B3E"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D7AD600"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69</w:t>
            </w:r>
          </w:p>
        </w:tc>
        <w:tc>
          <w:tcPr>
            <w:tcW w:w="9280" w:type="dxa"/>
            <w:tcBorders>
              <w:top w:val="nil"/>
              <w:left w:val="nil"/>
              <w:bottom w:val="single" w:sz="4" w:space="0" w:color="auto"/>
              <w:right w:val="single" w:sz="4" w:space="0" w:color="auto"/>
            </w:tcBorders>
            <w:shd w:val="clear" w:color="auto" w:fill="auto"/>
            <w:vAlign w:val="center"/>
            <w:hideMark/>
          </w:tcPr>
          <w:p w14:paraId="5C709417"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Urządzenie do aktywnej regulacji temperatury pacjenta</w:t>
            </w:r>
          </w:p>
        </w:tc>
      </w:tr>
      <w:tr w:rsidR="009F5D9E" w:rsidRPr="00896429" w14:paraId="284DB5ED"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FDD125"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70</w:t>
            </w:r>
          </w:p>
        </w:tc>
        <w:tc>
          <w:tcPr>
            <w:tcW w:w="9280" w:type="dxa"/>
            <w:tcBorders>
              <w:top w:val="nil"/>
              <w:left w:val="nil"/>
              <w:bottom w:val="single" w:sz="4" w:space="0" w:color="auto"/>
              <w:right w:val="single" w:sz="4" w:space="0" w:color="auto"/>
            </w:tcBorders>
            <w:shd w:val="clear" w:color="auto" w:fill="auto"/>
            <w:vAlign w:val="center"/>
            <w:hideMark/>
          </w:tcPr>
          <w:p w14:paraId="304D80AA" w14:textId="77777777" w:rsidR="009F5D9E" w:rsidRPr="00896429" w:rsidRDefault="009F5D9E" w:rsidP="009F5D9E">
            <w:pPr>
              <w:spacing w:before="0" w:line="240" w:lineRule="auto"/>
              <w:rPr>
                <w:rFonts w:asciiTheme="minorHAnsi" w:hAnsiTheme="minorHAnsi" w:cstheme="minorHAnsi"/>
                <w:szCs w:val="22"/>
              </w:rPr>
            </w:pPr>
            <w:proofErr w:type="spellStart"/>
            <w:r w:rsidRPr="00896429">
              <w:rPr>
                <w:rFonts w:asciiTheme="minorHAnsi" w:hAnsiTheme="minorHAnsi" w:cstheme="minorHAnsi"/>
                <w:szCs w:val="22"/>
              </w:rPr>
              <w:t>Wideolaryngoskop</w:t>
            </w:r>
            <w:proofErr w:type="spellEnd"/>
            <w:r w:rsidRPr="00896429">
              <w:rPr>
                <w:rFonts w:asciiTheme="minorHAnsi" w:hAnsiTheme="minorHAnsi" w:cstheme="minorHAnsi"/>
                <w:szCs w:val="22"/>
              </w:rPr>
              <w:t xml:space="preserve"> wraz z wyposażeniem, różne rodzaje </w:t>
            </w:r>
          </w:p>
        </w:tc>
      </w:tr>
      <w:tr w:rsidR="009F5D9E" w:rsidRPr="00896429" w14:paraId="6610D54A"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491977"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71</w:t>
            </w:r>
          </w:p>
        </w:tc>
        <w:tc>
          <w:tcPr>
            <w:tcW w:w="9280" w:type="dxa"/>
            <w:tcBorders>
              <w:top w:val="nil"/>
              <w:left w:val="nil"/>
              <w:bottom w:val="single" w:sz="4" w:space="0" w:color="auto"/>
              <w:right w:val="single" w:sz="4" w:space="0" w:color="auto"/>
            </w:tcBorders>
            <w:shd w:val="clear" w:color="auto" w:fill="auto"/>
            <w:vAlign w:val="center"/>
            <w:hideMark/>
          </w:tcPr>
          <w:p w14:paraId="3762D84D"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Worki </w:t>
            </w:r>
            <w:proofErr w:type="spellStart"/>
            <w:r w:rsidRPr="00896429">
              <w:rPr>
                <w:rFonts w:asciiTheme="minorHAnsi" w:hAnsiTheme="minorHAnsi" w:cstheme="minorHAnsi"/>
                <w:szCs w:val="22"/>
              </w:rPr>
              <w:t>ambu</w:t>
            </w:r>
            <w:proofErr w:type="spellEnd"/>
            <w:r w:rsidRPr="00896429">
              <w:rPr>
                <w:rFonts w:asciiTheme="minorHAnsi" w:hAnsiTheme="minorHAnsi" w:cstheme="minorHAnsi"/>
                <w:szCs w:val="22"/>
              </w:rPr>
              <w:t xml:space="preserve"> wraz z wyposażeniem</w:t>
            </w:r>
          </w:p>
        </w:tc>
      </w:tr>
      <w:tr w:rsidR="009F5D9E" w:rsidRPr="00896429" w14:paraId="4DBCC505"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D3777D"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72</w:t>
            </w:r>
          </w:p>
        </w:tc>
        <w:tc>
          <w:tcPr>
            <w:tcW w:w="9280" w:type="dxa"/>
            <w:tcBorders>
              <w:top w:val="nil"/>
              <w:left w:val="nil"/>
              <w:bottom w:val="single" w:sz="4" w:space="0" w:color="auto"/>
              <w:right w:val="single" w:sz="4" w:space="0" w:color="auto"/>
            </w:tcBorders>
            <w:shd w:val="clear" w:color="auto" w:fill="auto"/>
            <w:vAlign w:val="center"/>
            <w:hideMark/>
          </w:tcPr>
          <w:p w14:paraId="019BB6B4"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Wózki anestezjologiczne </w:t>
            </w:r>
          </w:p>
        </w:tc>
      </w:tr>
      <w:tr w:rsidR="009F5D9E" w:rsidRPr="00896429" w14:paraId="76CBFE55"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DDF4268"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73</w:t>
            </w:r>
          </w:p>
        </w:tc>
        <w:tc>
          <w:tcPr>
            <w:tcW w:w="9280" w:type="dxa"/>
            <w:tcBorders>
              <w:top w:val="nil"/>
              <w:left w:val="nil"/>
              <w:bottom w:val="single" w:sz="4" w:space="0" w:color="auto"/>
              <w:right w:val="single" w:sz="4" w:space="0" w:color="auto"/>
            </w:tcBorders>
            <w:shd w:val="clear" w:color="auto" w:fill="auto"/>
            <w:vAlign w:val="center"/>
            <w:hideMark/>
          </w:tcPr>
          <w:p w14:paraId="5903832B"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Wózki do transportu pacjentów potencjalnie zakaźnych</w:t>
            </w:r>
          </w:p>
        </w:tc>
      </w:tr>
      <w:tr w:rsidR="009F5D9E" w:rsidRPr="00896429" w14:paraId="6B412313" w14:textId="77777777" w:rsidTr="009F5D9E">
        <w:trPr>
          <w:trHeight w:val="792"/>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AE8EA6F"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lastRenderedPageBreak/>
              <w:t>74</w:t>
            </w:r>
          </w:p>
        </w:tc>
        <w:tc>
          <w:tcPr>
            <w:tcW w:w="9280" w:type="dxa"/>
            <w:tcBorders>
              <w:top w:val="nil"/>
              <w:left w:val="nil"/>
              <w:bottom w:val="single" w:sz="4" w:space="0" w:color="auto"/>
              <w:right w:val="single" w:sz="4" w:space="0" w:color="auto"/>
            </w:tcBorders>
            <w:shd w:val="clear" w:color="auto" w:fill="auto"/>
            <w:vAlign w:val="center"/>
            <w:hideMark/>
          </w:tcPr>
          <w:p w14:paraId="24765900"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Wyroby medyczne jednorazowego użytku, w szczególności gogle, maseczki, rękawiczki, kombinezony, przyłbice, chusteczki, spraye, fartuchy chirurgiczne wodoodporne, maski chirurgiczne, czepki,  maski panoramiczne, filtry do masek panoramicznych</w:t>
            </w:r>
          </w:p>
        </w:tc>
      </w:tr>
      <w:tr w:rsidR="009F5D9E" w:rsidRPr="00896429" w14:paraId="0475CDD7"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CEB7415"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75</w:t>
            </w:r>
          </w:p>
        </w:tc>
        <w:tc>
          <w:tcPr>
            <w:tcW w:w="9280" w:type="dxa"/>
            <w:tcBorders>
              <w:top w:val="nil"/>
              <w:left w:val="nil"/>
              <w:bottom w:val="single" w:sz="4" w:space="0" w:color="auto"/>
              <w:right w:val="single" w:sz="4" w:space="0" w:color="auto"/>
            </w:tcBorders>
            <w:shd w:val="clear" w:color="auto" w:fill="auto"/>
            <w:vAlign w:val="center"/>
            <w:hideMark/>
          </w:tcPr>
          <w:p w14:paraId="2FD11DED"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Zestaw do bronchoskopii</w:t>
            </w:r>
          </w:p>
        </w:tc>
      </w:tr>
      <w:tr w:rsidR="009F5D9E" w:rsidRPr="00896429" w14:paraId="4FD94A5C"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66622F"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76</w:t>
            </w:r>
          </w:p>
        </w:tc>
        <w:tc>
          <w:tcPr>
            <w:tcW w:w="9280" w:type="dxa"/>
            <w:tcBorders>
              <w:top w:val="nil"/>
              <w:left w:val="nil"/>
              <w:bottom w:val="single" w:sz="4" w:space="0" w:color="auto"/>
              <w:right w:val="single" w:sz="4" w:space="0" w:color="auto"/>
            </w:tcBorders>
            <w:shd w:val="clear" w:color="auto" w:fill="auto"/>
            <w:vAlign w:val="center"/>
            <w:hideMark/>
          </w:tcPr>
          <w:p w14:paraId="10D17DF1"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Zestaw do intubacji</w:t>
            </w:r>
          </w:p>
        </w:tc>
      </w:tr>
      <w:tr w:rsidR="009F5D9E" w:rsidRPr="00896429" w14:paraId="118221F1"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E069405"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77</w:t>
            </w:r>
          </w:p>
        </w:tc>
        <w:tc>
          <w:tcPr>
            <w:tcW w:w="9280" w:type="dxa"/>
            <w:tcBorders>
              <w:top w:val="nil"/>
              <w:left w:val="nil"/>
              <w:bottom w:val="single" w:sz="4" w:space="0" w:color="auto"/>
              <w:right w:val="single" w:sz="4" w:space="0" w:color="auto"/>
            </w:tcBorders>
            <w:shd w:val="clear" w:color="auto" w:fill="auto"/>
            <w:vAlign w:val="center"/>
            <w:hideMark/>
          </w:tcPr>
          <w:p w14:paraId="3D697389"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Zestaw do intubacji trudnych dróg oddechowych wraz z wyposażeniem</w:t>
            </w:r>
          </w:p>
        </w:tc>
      </w:tr>
      <w:tr w:rsidR="009F5D9E" w:rsidRPr="00896429" w14:paraId="007E049B"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85CE5DB"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78</w:t>
            </w:r>
          </w:p>
        </w:tc>
        <w:tc>
          <w:tcPr>
            <w:tcW w:w="9280" w:type="dxa"/>
            <w:tcBorders>
              <w:top w:val="nil"/>
              <w:left w:val="nil"/>
              <w:bottom w:val="single" w:sz="4" w:space="0" w:color="auto"/>
              <w:right w:val="single" w:sz="4" w:space="0" w:color="auto"/>
            </w:tcBorders>
            <w:shd w:val="clear" w:color="auto" w:fill="auto"/>
            <w:vAlign w:val="center"/>
            <w:hideMark/>
          </w:tcPr>
          <w:p w14:paraId="2EEACB17"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Zestaw do </w:t>
            </w:r>
            <w:proofErr w:type="spellStart"/>
            <w:r w:rsidRPr="00896429">
              <w:rPr>
                <w:rFonts w:asciiTheme="minorHAnsi" w:hAnsiTheme="minorHAnsi" w:cstheme="minorHAnsi"/>
                <w:szCs w:val="22"/>
              </w:rPr>
              <w:t>konikopunkcji</w:t>
            </w:r>
            <w:proofErr w:type="spellEnd"/>
          </w:p>
        </w:tc>
      </w:tr>
      <w:tr w:rsidR="009F5D9E" w:rsidRPr="00896429" w14:paraId="415CFD59"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D835A37"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79</w:t>
            </w:r>
          </w:p>
        </w:tc>
        <w:tc>
          <w:tcPr>
            <w:tcW w:w="9280" w:type="dxa"/>
            <w:tcBorders>
              <w:top w:val="nil"/>
              <w:left w:val="nil"/>
              <w:bottom w:val="single" w:sz="4" w:space="0" w:color="auto"/>
              <w:right w:val="single" w:sz="4" w:space="0" w:color="auto"/>
            </w:tcBorders>
            <w:shd w:val="clear" w:color="auto" w:fill="auto"/>
            <w:vAlign w:val="center"/>
            <w:hideMark/>
          </w:tcPr>
          <w:p w14:paraId="3328DAC1"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Zestaw do trudnej intubacji</w:t>
            </w:r>
          </w:p>
        </w:tc>
      </w:tr>
      <w:tr w:rsidR="009F5D9E" w:rsidRPr="00896429" w14:paraId="7A4741F6"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7701401"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80</w:t>
            </w:r>
          </w:p>
        </w:tc>
        <w:tc>
          <w:tcPr>
            <w:tcW w:w="9280" w:type="dxa"/>
            <w:tcBorders>
              <w:top w:val="nil"/>
              <w:left w:val="nil"/>
              <w:bottom w:val="single" w:sz="4" w:space="0" w:color="auto"/>
              <w:right w:val="single" w:sz="4" w:space="0" w:color="auto"/>
            </w:tcBorders>
            <w:shd w:val="clear" w:color="auto" w:fill="auto"/>
            <w:vAlign w:val="center"/>
            <w:hideMark/>
          </w:tcPr>
          <w:p w14:paraId="11BC2795"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 xml:space="preserve">Zestawy do drenażu klatki piersiowej (trokar) </w:t>
            </w:r>
          </w:p>
        </w:tc>
      </w:tr>
      <w:tr w:rsidR="009F5D9E" w:rsidRPr="00896429" w14:paraId="76FA6A10"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ABA7B79"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81</w:t>
            </w:r>
          </w:p>
        </w:tc>
        <w:tc>
          <w:tcPr>
            <w:tcW w:w="9280" w:type="dxa"/>
            <w:tcBorders>
              <w:top w:val="nil"/>
              <w:left w:val="nil"/>
              <w:bottom w:val="single" w:sz="4" w:space="0" w:color="auto"/>
              <w:right w:val="single" w:sz="4" w:space="0" w:color="auto"/>
            </w:tcBorders>
            <w:shd w:val="clear" w:color="auto" w:fill="auto"/>
            <w:vAlign w:val="center"/>
            <w:hideMark/>
          </w:tcPr>
          <w:p w14:paraId="7F1F833B"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Zestawy do krwawego pomiaru ciśnienia tętniczego</w:t>
            </w:r>
          </w:p>
        </w:tc>
      </w:tr>
      <w:tr w:rsidR="009F5D9E" w:rsidRPr="00896429" w14:paraId="373A5425"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FC3DCEC"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82</w:t>
            </w:r>
          </w:p>
        </w:tc>
        <w:tc>
          <w:tcPr>
            <w:tcW w:w="9280" w:type="dxa"/>
            <w:tcBorders>
              <w:top w:val="nil"/>
              <w:left w:val="nil"/>
              <w:bottom w:val="single" w:sz="4" w:space="0" w:color="auto"/>
              <w:right w:val="single" w:sz="4" w:space="0" w:color="auto"/>
            </w:tcBorders>
            <w:shd w:val="clear" w:color="auto" w:fill="auto"/>
            <w:vAlign w:val="center"/>
            <w:hideMark/>
          </w:tcPr>
          <w:p w14:paraId="17FF4658"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Zestawy do tracheostomii przezskórnej</w:t>
            </w:r>
          </w:p>
        </w:tc>
      </w:tr>
      <w:tr w:rsidR="009F5D9E" w:rsidRPr="00896429" w14:paraId="69A32A20"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3BACF6E"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83</w:t>
            </w:r>
          </w:p>
        </w:tc>
        <w:tc>
          <w:tcPr>
            <w:tcW w:w="9280" w:type="dxa"/>
            <w:tcBorders>
              <w:top w:val="nil"/>
              <w:left w:val="nil"/>
              <w:bottom w:val="single" w:sz="4" w:space="0" w:color="auto"/>
              <w:right w:val="single" w:sz="4" w:space="0" w:color="auto"/>
            </w:tcBorders>
            <w:shd w:val="clear" w:color="auto" w:fill="auto"/>
            <w:vAlign w:val="center"/>
            <w:hideMark/>
          </w:tcPr>
          <w:p w14:paraId="40B48D72"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Zestawy do wkłuć centralnych</w:t>
            </w:r>
          </w:p>
        </w:tc>
      </w:tr>
      <w:tr w:rsidR="009F5D9E" w:rsidRPr="00896429" w14:paraId="69D6A1F0" w14:textId="77777777" w:rsidTr="009F5D9E">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393F40E" w14:textId="77777777" w:rsidR="009F5D9E" w:rsidRPr="00896429" w:rsidRDefault="009F5D9E" w:rsidP="009F5D9E">
            <w:pPr>
              <w:spacing w:before="0" w:line="240" w:lineRule="auto"/>
              <w:jc w:val="center"/>
              <w:rPr>
                <w:rFonts w:asciiTheme="minorHAnsi" w:hAnsiTheme="minorHAnsi" w:cstheme="minorHAnsi"/>
                <w:color w:val="000000"/>
                <w:szCs w:val="22"/>
              </w:rPr>
            </w:pPr>
            <w:r w:rsidRPr="00896429">
              <w:rPr>
                <w:rFonts w:asciiTheme="minorHAnsi" w:hAnsiTheme="minorHAnsi" w:cstheme="minorHAnsi"/>
                <w:color w:val="000000"/>
                <w:szCs w:val="22"/>
              </w:rPr>
              <w:t>84</w:t>
            </w:r>
          </w:p>
        </w:tc>
        <w:tc>
          <w:tcPr>
            <w:tcW w:w="9280" w:type="dxa"/>
            <w:tcBorders>
              <w:top w:val="nil"/>
              <w:left w:val="nil"/>
              <w:bottom w:val="single" w:sz="4" w:space="0" w:color="auto"/>
              <w:right w:val="single" w:sz="4" w:space="0" w:color="auto"/>
            </w:tcBorders>
            <w:shd w:val="clear" w:color="auto" w:fill="auto"/>
            <w:vAlign w:val="center"/>
            <w:hideMark/>
          </w:tcPr>
          <w:p w14:paraId="4E067C2D" w14:textId="77777777" w:rsidR="009F5D9E" w:rsidRPr="00896429" w:rsidRDefault="009F5D9E" w:rsidP="009F5D9E">
            <w:pPr>
              <w:spacing w:before="0" w:line="240" w:lineRule="auto"/>
              <w:rPr>
                <w:rFonts w:asciiTheme="minorHAnsi" w:hAnsiTheme="minorHAnsi" w:cstheme="minorHAnsi"/>
                <w:szCs w:val="22"/>
              </w:rPr>
            </w:pPr>
            <w:r w:rsidRPr="00896429">
              <w:rPr>
                <w:rFonts w:asciiTheme="minorHAnsi" w:hAnsiTheme="minorHAnsi" w:cstheme="minorHAnsi"/>
                <w:szCs w:val="22"/>
              </w:rPr>
              <w:t>Zestawy do wkłuć dializacyjnych</w:t>
            </w:r>
          </w:p>
        </w:tc>
      </w:tr>
    </w:tbl>
    <w:p w14:paraId="6FC95FFE" w14:textId="77777777" w:rsidR="009F5D9E" w:rsidRPr="00896429" w:rsidRDefault="009F5D9E" w:rsidP="00320CD4">
      <w:pPr>
        <w:spacing w:line="240" w:lineRule="auto"/>
        <w:jc w:val="both"/>
        <w:rPr>
          <w:rFonts w:asciiTheme="minorHAnsi" w:hAnsiTheme="minorHAnsi" w:cstheme="minorHAnsi"/>
          <w:b/>
          <w:szCs w:val="22"/>
        </w:rPr>
      </w:pPr>
    </w:p>
    <w:sectPr w:rsidR="009F5D9E" w:rsidRPr="00896429" w:rsidSect="003A3F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CEBC" w14:textId="77777777" w:rsidR="006A2216" w:rsidRDefault="006A2216" w:rsidP="008C495E">
      <w:pPr>
        <w:spacing w:before="0" w:line="240" w:lineRule="auto"/>
      </w:pPr>
      <w:r>
        <w:separator/>
      </w:r>
    </w:p>
  </w:endnote>
  <w:endnote w:type="continuationSeparator" w:id="0">
    <w:p w14:paraId="3AC57D1C" w14:textId="77777777" w:rsidR="006A2216" w:rsidRDefault="006A2216"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EA47" w14:textId="77777777" w:rsidR="00E3464C" w:rsidRDefault="00E346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30044"/>
      <w:docPartObj>
        <w:docPartGallery w:val="Page Numbers (Bottom of Page)"/>
        <w:docPartUnique/>
      </w:docPartObj>
    </w:sdtPr>
    <w:sdtEndPr/>
    <w:sdtContent>
      <w:p w14:paraId="61278FB4" w14:textId="77777777" w:rsidR="00320CD4" w:rsidRDefault="00047842">
        <w:pPr>
          <w:pStyle w:val="Stopka"/>
          <w:jc w:val="right"/>
        </w:pPr>
        <w:r>
          <w:fldChar w:fldCharType="begin"/>
        </w:r>
        <w:r>
          <w:instrText>PAGE   \* MERGEFORMAT</w:instrText>
        </w:r>
        <w:r>
          <w:fldChar w:fldCharType="separate"/>
        </w:r>
        <w:r w:rsidR="00C36004">
          <w:rPr>
            <w:noProof/>
          </w:rPr>
          <w:t>2</w:t>
        </w:r>
        <w:r>
          <w:rPr>
            <w:noProof/>
          </w:rPr>
          <w:fldChar w:fldCharType="end"/>
        </w:r>
      </w:p>
    </w:sdtContent>
  </w:sdt>
  <w:p w14:paraId="45C0D24B" w14:textId="77777777" w:rsidR="00320CD4" w:rsidRDefault="00320C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470"/>
      <w:docPartObj>
        <w:docPartGallery w:val="Page Numbers (Bottom of Page)"/>
        <w:docPartUnique/>
      </w:docPartObj>
    </w:sdtPr>
    <w:sdtEndPr/>
    <w:sdtContent>
      <w:p w14:paraId="15088EF6" w14:textId="77777777" w:rsidR="00320CD4" w:rsidRDefault="00047842">
        <w:pPr>
          <w:pStyle w:val="Stopka"/>
          <w:jc w:val="right"/>
        </w:pPr>
        <w:r>
          <w:fldChar w:fldCharType="begin"/>
        </w:r>
        <w:r>
          <w:instrText xml:space="preserve"> PAGE   \* MERGEFORMAT </w:instrText>
        </w:r>
        <w:r>
          <w:fldChar w:fldCharType="separate"/>
        </w:r>
        <w:r w:rsidR="00C36004">
          <w:rPr>
            <w:noProof/>
          </w:rPr>
          <w:t>1</w:t>
        </w:r>
        <w:r>
          <w:rPr>
            <w:noProof/>
          </w:rPr>
          <w:fldChar w:fldCharType="end"/>
        </w:r>
      </w:p>
    </w:sdtContent>
  </w:sdt>
  <w:p w14:paraId="046132B0" w14:textId="77777777" w:rsidR="00320CD4" w:rsidRDefault="00320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2098" w14:textId="77777777" w:rsidR="006A2216" w:rsidRDefault="006A2216" w:rsidP="008C495E">
      <w:pPr>
        <w:spacing w:before="0" w:line="240" w:lineRule="auto"/>
      </w:pPr>
      <w:r>
        <w:separator/>
      </w:r>
    </w:p>
  </w:footnote>
  <w:footnote w:type="continuationSeparator" w:id="0">
    <w:p w14:paraId="1455DECF" w14:textId="77777777" w:rsidR="006A2216" w:rsidRDefault="006A2216"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5BDE" w14:textId="77777777" w:rsidR="00E3464C" w:rsidRDefault="00E346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8801" w14:textId="77777777" w:rsidR="00320CD4" w:rsidRDefault="00320CD4">
    <w:pPr>
      <w:pStyle w:val="Nagwek"/>
      <w:jc w:val="right"/>
    </w:pPr>
  </w:p>
  <w:p w14:paraId="6E187337" w14:textId="77777777" w:rsidR="00320CD4" w:rsidRPr="0083253A" w:rsidRDefault="00320CD4" w:rsidP="0083253A">
    <w:pPr>
      <w:pStyle w:val="Nagwek"/>
      <w:tabs>
        <w:tab w:val="clear" w:pos="4536"/>
        <w:tab w:val="clear" w:pos="9072"/>
        <w:tab w:val="left" w:pos="6720"/>
      </w:tabs>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5898" w14:textId="77777777" w:rsidR="00320CD4" w:rsidRDefault="00320CD4" w:rsidP="003A3F65">
    <w:pPr>
      <w:pStyle w:val="Nagwek"/>
      <w:jc w:val="right"/>
      <w:rPr>
        <w:sz w:val="16"/>
        <w:szCs w:val="16"/>
      </w:rPr>
    </w:pPr>
    <w:r w:rsidRPr="009F3688">
      <w:rPr>
        <w:noProof/>
        <w:sz w:val="16"/>
        <w:szCs w:val="16"/>
      </w:rPr>
      <w:drawing>
        <wp:anchor distT="0" distB="0" distL="114300" distR="114300" simplePos="0" relativeHeight="251689472" behindDoc="1" locked="0" layoutInCell="1" allowOverlap="1" wp14:anchorId="7F8D3DDA" wp14:editId="688AD957">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76EA367" w14:textId="77777777" w:rsidR="00320CD4" w:rsidRDefault="00320CD4" w:rsidP="003A3F65">
    <w:pPr>
      <w:pStyle w:val="Nagwek"/>
      <w:jc w:val="right"/>
      <w:rPr>
        <w:sz w:val="16"/>
        <w:szCs w:val="16"/>
      </w:rPr>
    </w:pPr>
  </w:p>
  <w:p w14:paraId="3A7F5446" w14:textId="77777777" w:rsidR="00320CD4" w:rsidRDefault="00320CD4" w:rsidP="009F3688">
    <w:pPr>
      <w:pStyle w:val="Nagwek"/>
      <w:rPr>
        <w:sz w:val="16"/>
        <w:szCs w:val="16"/>
      </w:rPr>
    </w:pPr>
  </w:p>
  <w:p w14:paraId="41D0E190" w14:textId="77777777" w:rsidR="00320CD4" w:rsidRDefault="00320CD4" w:rsidP="003A3F65">
    <w:pPr>
      <w:pStyle w:val="Nagwek"/>
      <w:jc w:val="right"/>
      <w:rPr>
        <w:sz w:val="16"/>
        <w:szCs w:val="16"/>
      </w:rPr>
    </w:pPr>
  </w:p>
  <w:p w14:paraId="488A0DD9" w14:textId="77777777" w:rsidR="006179F0" w:rsidRDefault="006179F0" w:rsidP="006179F0">
    <w:pPr>
      <w:pStyle w:val="Nagwek"/>
      <w:jc w:val="right"/>
      <w:rPr>
        <w:sz w:val="18"/>
        <w:szCs w:val="18"/>
      </w:rPr>
    </w:pPr>
  </w:p>
  <w:p w14:paraId="324504FE" w14:textId="77777777" w:rsidR="006179F0" w:rsidRDefault="006179F0" w:rsidP="006179F0">
    <w:pPr>
      <w:pStyle w:val="Nagwek"/>
      <w:jc w:val="right"/>
      <w:rPr>
        <w:sz w:val="18"/>
        <w:szCs w:val="18"/>
      </w:rPr>
    </w:pPr>
  </w:p>
  <w:p w14:paraId="67AD5ADA" w14:textId="77777777" w:rsidR="000A6E22" w:rsidRPr="000A6E22" w:rsidRDefault="000A6E22" w:rsidP="000A6E22">
    <w:pPr>
      <w:tabs>
        <w:tab w:val="center" w:pos="4536"/>
        <w:tab w:val="right" w:pos="9072"/>
      </w:tabs>
      <w:spacing w:line="240" w:lineRule="auto"/>
      <w:jc w:val="center"/>
      <w:rPr>
        <w:rFonts w:asciiTheme="minorHAnsi" w:hAnsiTheme="minorHAnsi" w:cstheme="minorHAnsi"/>
        <w:lang w:eastAsia="en-US"/>
      </w:rPr>
    </w:pPr>
    <w:r w:rsidRPr="000A6E22">
      <w:rPr>
        <w:rFonts w:asciiTheme="minorHAnsi" w:hAnsiTheme="minorHAnsi" w:cstheme="minorHAnsi"/>
        <w:lang w:eastAsia="en-US"/>
      </w:rPr>
      <w:t>Sfinansowano w ramach reakcji Unii na pandemię COVID-19</w:t>
    </w:r>
  </w:p>
  <w:p w14:paraId="009ED065" w14:textId="1FD3B6FF" w:rsidR="000A6E22" w:rsidRDefault="000A6E22" w:rsidP="006179F0">
    <w:pPr>
      <w:pStyle w:val="Nagwek"/>
      <w:jc w:val="right"/>
      <w:rPr>
        <w:sz w:val="16"/>
        <w:szCs w:val="16"/>
      </w:rPr>
    </w:pPr>
  </w:p>
  <w:p w14:paraId="1820276F" w14:textId="77777777" w:rsidR="000A6E22" w:rsidRDefault="000A6E22" w:rsidP="006179F0">
    <w:pPr>
      <w:pStyle w:val="Nagwek"/>
      <w:jc w:val="right"/>
      <w:rPr>
        <w:sz w:val="16"/>
        <w:szCs w:val="16"/>
      </w:rPr>
    </w:pPr>
  </w:p>
  <w:p w14:paraId="56FCB9A9" w14:textId="77777777" w:rsidR="000A6E22" w:rsidRDefault="000A6E22" w:rsidP="006179F0">
    <w:pPr>
      <w:pStyle w:val="Nagwek"/>
      <w:jc w:val="right"/>
      <w:rPr>
        <w:sz w:val="16"/>
        <w:szCs w:val="16"/>
      </w:rPr>
    </w:pPr>
  </w:p>
  <w:p w14:paraId="0DC66564" w14:textId="77777777" w:rsidR="000A6E22" w:rsidRDefault="000A6E22" w:rsidP="006179F0">
    <w:pPr>
      <w:pStyle w:val="Nagwek"/>
      <w:jc w:val="right"/>
      <w:rPr>
        <w:sz w:val="16"/>
        <w:szCs w:val="16"/>
      </w:rPr>
    </w:pPr>
  </w:p>
  <w:p w14:paraId="5815E79D" w14:textId="386B7724" w:rsidR="006179F0" w:rsidRPr="00896429" w:rsidRDefault="006179F0" w:rsidP="006179F0">
    <w:pPr>
      <w:pStyle w:val="Nagwek"/>
      <w:jc w:val="right"/>
      <w:rPr>
        <w:sz w:val="16"/>
        <w:szCs w:val="16"/>
      </w:rPr>
    </w:pPr>
    <w:r w:rsidRPr="00896429">
      <w:rPr>
        <w:sz w:val="16"/>
        <w:szCs w:val="16"/>
      </w:rPr>
      <w:t xml:space="preserve">Załącznik  nr </w:t>
    </w:r>
    <w:r w:rsidR="003A5EF1">
      <w:rPr>
        <w:sz w:val="16"/>
        <w:szCs w:val="16"/>
      </w:rPr>
      <w:t>2</w:t>
    </w:r>
    <w:r w:rsidRPr="00896429">
      <w:rPr>
        <w:sz w:val="16"/>
        <w:szCs w:val="16"/>
      </w:rPr>
      <w:t xml:space="preserve"> do </w:t>
    </w:r>
    <w:r w:rsidR="003A5EF1" w:rsidRPr="002347C8">
      <w:rPr>
        <w:sz w:val="16"/>
        <w:szCs w:val="16"/>
      </w:rPr>
      <w:t>Zasad ubiegania się o wsparcie w trybie pozakonkursowym</w:t>
    </w:r>
    <w:r w:rsidR="003A5EF1" w:rsidRPr="00896429" w:rsidDel="003A5EF1">
      <w:rPr>
        <w:sz w:val="16"/>
        <w:szCs w:val="16"/>
      </w:rPr>
      <w:t xml:space="preserve"> </w:t>
    </w:r>
  </w:p>
  <w:p w14:paraId="5B635218" w14:textId="74BA673C" w:rsidR="006179F0" w:rsidRDefault="006179F0" w:rsidP="00896429">
    <w:pPr>
      <w:spacing w:after="240" w:line="240" w:lineRule="auto"/>
      <w:rPr>
        <w:sz w:val="16"/>
        <w:szCs w:val="16"/>
      </w:rPr>
    </w:pPr>
    <w:r w:rsidRPr="00896429">
      <w:rPr>
        <w:sz w:val="16"/>
        <w:szCs w:val="16"/>
      </w:rPr>
      <w:tab/>
    </w:r>
    <w:r w:rsidRPr="00896429">
      <w:rPr>
        <w:sz w:val="16"/>
        <w:szCs w:val="16"/>
      </w:rPr>
      <w:tab/>
    </w:r>
    <w:r w:rsidRPr="00896429">
      <w:rPr>
        <w:sz w:val="16"/>
        <w:szCs w:val="16"/>
      </w:rPr>
      <w:tab/>
    </w:r>
    <w:r w:rsidRPr="00896429">
      <w:rPr>
        <w:sz w:val="16"/>
        <w:szCs w:val="16"/>
      </w:rPr>
      <w:tab/>
    </w:r>
    <w:r w:rsidRPr="00896429">
      <w:rPr>
        <w:sz w:val="16"/>
        <w:szCs w:val="16"/>
      </w:rPr>
      <w:tab/>
    </w:r>
    <w:r w:rsidRPr="00896429">
      <w:rPr>
        <w:sz w:val="16"/>
        <w:szCs w:val="16"/>
      </w:rPr>
      <w:tab/>
    </w:r>
    <w:r w:rsidRPr="00896429">
      <w:rPr>
        <w:sz w:val="16"/>
        <w:szCs w:val="16"/>
      </w:rPr>
      <w:tab/>
      <w:t xml:space="preserve">               </w:t>
    </w:r>
    <w:r>
      <w:rPr>
        <w:sz w:val="16"/>
        <w:szCs w:val="16"/>
      </w:rPr>
      <w:t xml:space="preserve">     </w:t>
    </w:r>
    <w:r w:rsidRPr="00896429">
      <w:rPr>
        <w:sz w:val="16"/>
        <w:szCs w:val="16"/>
      </w:rPr>
      <w:t xml:space="preserve">   Nr naboru </w:t>
    </w:r>
    <w:r w:rsidR="003A5EF1" w:rsidRPr="003A5EF1">
      <w:rPr>
        <w:sz w:val="16"/>
        <w:szCs w:val="16"/>
      </w:rPr>
      <w:t>RPDS.12.01.00-IZ.00-02-430/22</w:t>
    </w:r>
    <w:r w:rsidR="003A5EF1" w:rsidRPr="003A5EF1" w:rsidDel="003A5EF1">
      <w:rPr>
        <w:sz w:val="16"/>
        <w:szCs w:val="16"/>
      </w:rPr>
      <w:t xml:space="preserve"> </w:t>
    </w:r>
  </w:p>
  <w:p w14:paraId="2E1763AE" w14:textId="073BFB9E" w:rsidR="003A5EF1" w:rsidRDefault="003A5EF1" w:rsidP="003A5EF1">
    <w:pPr>
      <w:spacing w:after="240" w:line="240" w:lineRule="auto"/>
      <w:ind w:left="6372" w:hanging="418"/>
      <w:rPr>
        <w:sz w:val="16"/>
        <w:szCs w:val="16"/>
      </w:rPr>
    </w:pPr>
    <w:r w:rsidRPr="00896429">
      <w:rPr>
        <w:sz w:val="16"/>
        <w:szCs w:val="16"/>
      </w:rPr>
      <w:t xml:space="preserve">Nr naboru </w:t>
    </w:r>
    <w:r w:rsidRPr="003A5EF1">
      <w:rPr>
        <w:sz w:val="16"/>
        <w:szCs w:val="16"/>
      </w:rPr>
      <w:t>RPDS.12.01.00-</w:t>
    </w:r>
    <w:r>
      <w:rPr>
        <w:sz w:val="16"/>
        <w:szCs w:val="16"/>
      </w:rPr>
      <w:t>IZ</w:t>
    </w:r>
    <w:r w:rsidRPr="003A5EF1">
      <w:rPr>
        <w:sz w:val="16"/>
        <w:szCs w:val="16"/>
      </w:rPr>
      <w:t>.00-02-43</w:t>
    </w:r>
    <w:r>
      <w:rPr>
        <w:sz w:val="16"/>
        <w:szCs w:val="16"/>
      </w:rPr>
      <w:t>1</w:t>
    </w:r>
    <w:r w:rsidRPr="003A5EF1">
      <w:rPr>
        <w:sz w:val="16"/>
        <w:szCs w:val="16"/>
      </w:rPr>
      <w:t>/22</w:t>
    </w:r>
  </w:p>
  <w:p w14:paraId="13F6C007" w14:textId="0D8F72F5" w:rsidR="00320CD4" w:rsidRDefault="003A5EF1" w:rsidP="00E3464C">
    <w:pPr>
      <w:spacing w:after="240" w:line="240" w:lineRule="auto"/>
      <w:ind w:firstLine="5954"/>
      <w:rPr>
        <w:sz w:val="16"/>
        <w:szCs w:val="16"/>
      </w:rPr>
    </w:pPr>
    <w:r w:rsidRPr="00896429">
      <w:rPr>
        <w:sz w:val="16"/>
        <w:szCs w:val="16"/>
      </w:rPr>
      <w:t xml:space="preserve">Nr naboru </w:t>
    </w:r>
    <w:r w:rsidRPr="003A5EF1">
      <w:rPr>
        <w:sz w:val="16"/>
        <w:szCs w:val="16"/>
      </w:rPr>
      <w:t>RPDS.12.01.00-IZ.00-02-43</w:t>
    </w:r>
    <w:r>
      <w:rPr>
        <w:sz w:val="16"/>
        <w:szCs w:val="16"/>
      </w:rPr>
      <w:t>2</w:t>
    </w:r>
    <w:r w:rsidRPr="003A5EF1">
      <w:rPr>
        <w:sz w:val="16"/>
        <w:szCs w:val="16"/>
      </w:rPr>
      <w:t>/22</w:t>
    </w:r>
  </w:p>
  <w:p w14:paraId="35FAF351" w14:textId="77777777" w:rsidR="00E3464C" w:rsidRPr="00E3464C" w:rsidRDefault="00E3464C" w:rsidP="00E3464C">
    <w:pPr>
      <w:spacing w:after="240" w:line="240" w:lineRule="auto"/>
      <w:ind w:left="6372" w:hanging="418"/>
      <w:rPr>
        <w:sz w:val="16"/>
        <w:szCs w:val="16"/>
      </w:rPr>
    </w:pPr>
    <w:r w:rsidRPr="00E3464C">
      <w:rPr>
        <w:sz w:val="16"/>
        <w:szCs w:val="16"/>
      </w:rPr>
      <w:t>Nr naboru RPDS.12.01.00-IZ.00-02-435/22</w:t>
    </w:r>
  </w:p>
  <w:p w14:paraId="0D4F4AF3" w14:textId="073AB304" w:rsidR="00E3464C" w:rsidRPr="003A3F65" w:rsidRDefault="00E3464C" w:rsidP="00E3464C">
    <w:pPr>
      <w:spacing w:after="240" w:line="240" w:lineRule="auto"/>
      <w:ind w:left="6372" w:hanging="418"/>
      <w:rPr>
        <w:sz w:val="16"/>
        <w:szCs w:val="16"/>
      </w:rPr>
    </w:pPr>
    <w:r w:rsidRPr="00E3464C">
      <w:rPr>
        <w:sz w:val="16"/>
        <w:szCs w:val="16"/>
      </w:rPr>
      <w:t>Nr naboru RPDS.12.01.00-IZ.00-02-436/22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FB40CA"/>
    <w:multiLevelType w:val="hybridMultilevel"/>
    <w:tmpl w:val="A3102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8424072">
    <w:abstractNumId w:val="1"/>
  </w:num>
  <w:num w:numId="2" w16cid:durableId="1970236448">
    <w:abstractNumId w:val="6"/>
  </w:num>
  <w:num w:numId="3" w16cid:durableId="2039235154">
    <w:abstractNumId w:val="2"/>
  </w:num>
  <w:num w:numId="4" w16cid:durableId="1446690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3411247">
    <w:abstractNumId w:val="3"/>
  </w:num>
  <w:num w:numId="6" w16cid:durableId="1402480803">
    <w:abstractNumId w:val="4"/>
  </w:num>
  <w:num w:numId="7" w16cid:durableId="887842163">
    <w:abstractNumId w:val="8"/>
  </w:num>
  <w:num w:numId="8" w16cid:durableId="2139451397">
    <w:abstractNumId w:val="0"/>
  </w:num>
  <w:num w:numId="9" w16cid:durableId="903106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02E70"/>
    <w:rsid w:val="000253C7"/>
    <w:rsid w:val="00047842"/>
    <w:rsid w:val="00081A66"/>
    <w:rsid w:val="00094C3F"/>
    <w:rsid w:val="000972D6"/>
    <w:rsid w:val="000A6E22"/>
    <w:rsid w:val="000B05C7"/>
    <w:rsid w:val="000C0A4C"/>
    <w:rsid w:val="000C4123"/>
    <w:rsid w:val="000F2F7C"/>
    <w:rsid w:val="000F5C98"/>
    <w:rsid w:val="000F5D05"/>
    <w:rsid w:val="001026C3"/>
    <w:rsid w:val="00115B94"/>
    <w:rsid w:val="00125D84"/>
    <w:rsid w:val="001367B9"/>
    <w:rsid w:val="00141571"/>
    <w:rsid w:val="001437C9"/>
    <w:rsid w:val="00153F98"/>
    <w:rsid w:val="0015486C"/>
    <w:rsid w:val="00163894"/>
    <w:rsid w:val="00184A53"/>
    <w:rsid w:val="00191605"/>
    <w:rsid w:val="001B6A1A"/>
    <w:rsid w:val="001C4F9E"/>
    <w:rsid w:val="001D14B1"/>
    <w:rsid w:val="00222A42"/>
    <w:rsid w:val="002261A4"/>
    <w:rsid w:val="002347C8"/>
    <w:rsid w:val="00237177"/>
    <w:rsid w:val="002408B0"/>
    <w:rsid w:val="002466D8"/>
    <w:rsid w:val="00253FAA"/>
    <w:rsid w:val="00266D58"/>
    <w:rsid w:val="002972E4"/>
    <w:rsid w:val="002B5DA0"/>
    <w:rsid w:val="002C26FB"/>
    <w:rsid w:val="002D5507"/>
    <w:rsid w:val="002F3CD1"/>
    <w:rsid w:val="002F6273"/>
    <w:rsid w:val="00320CD4"/>
    <w:rsid w:val="0032765F"/>
    <w:rsid w:val="00335935"/>
    <w:rsid w:val="00340A6B"/>
    <w:rsid w:val="00370466"/>
    <w:rsid w:val="00380861"/>
    <w:rsid w:val="00381C30"/>
    <w:rsid w:val="00396F3C"/>
    <w:rsid w:val="003A3F65"/>
    <w:rsid w:val="003A5EF1"/>
    <w:rsid w:val="003A6137"/>
    <w:rsid w:val="003C55C7"/>
    <w:rsid w:val="003D2C3D"/>
    <w:rsid w:val="003D3BC5"/>
    <w:rsid w:val="003D5441"/>
    <w:rsid w:val="003F6A6D"/>
    <w:rsid w:val="004033E7"/>
    <w:rsid w:val="0041446A"/>
    <w:rsid w:val="00421C29"/>
    <w:rsid w:val="0044238B"/>
    <w:rsid w:val="00443051"/>
    <w:rsid w:val="0046263E"/>
    <w:rsid w:val="0046493A"/>
    <w:rsid w:val="00471B0C"/>
    <w:rsid w:val="00476947"/>
    <w:rsid w:val="00485CDD"/>
    <w:rsid w:val="004B303A"/>
    <w:rsid w:val="004F31F7"/>
    <w:rsid w:val="005025FD"/>
    <w:rsid w:val="00506413"/>
    <w:rsid w:val="00516B06"/>
    <w:rsid w:val="00522930"/>
    <w:rsid w:val="00523526"/>
    <w:rsid w:val="00530E5D"/>
    <w:rsid w:val="00535E8F"/>
    <w:rsid w:val="00555321"/>
    <w:rsid w:val="005615C8"/>
    <w:rsid w:val="005657D8"/>
    <w:rsid w:val="00572667"/>
    <w:rsid w:val="00581BD8"/>
    <w:rsid w:val="0059579B"/>
    <w:rsid w:val="005A1857"/>
    <w:rsid w:val="005D057A"/>
    <w:rsid w:val="005E3A05"/>
    <w:rsid w:val="0060140B"/>
    <w:rsid w:val="00607795"/>
    <w:rsid w:val="0061737E"/>
    <w:rsid w:val="006179F0"/>
    <w:rsid w:val="00620A45"/>
    <w:rsid w:val="00620B41"/>
    <w:rsid w:val="0062100A"/>
    <w:rsid w:val="00635DB0"/>
    <w:rsid w:val="0067179E"/>
    <w:rsid w:val="00677786"/>
    <w:rsid w:val="00690F02"/>
    <w:rsid w:val="006A09F0"/>
    <w:rsid w:val="006A2216"/>
    <w:rsid w:val="006A2353"/>
    <w:rsid w:val="006B05A8"/>
    <w:rsid w:val="006C3827"/>
    <w:rsid w:val="006C652C"/>
    <w:rsid w:val="006C7E86"/>
    <w:rsid w:val="00700827"/>
    <w:rsid w:val="00701E65"/>
    <w:rsid w:val="00704B1F"/>
    <w:rsid w:val="00717CB4"/>
    <w:rsid w:val="00726AC4"/>
    <w:rsid w:val="007300ED"/>
    <w:rsid w:val="00741B27"/>
    <w:rsid w:val="007650AC"/>
    <w:rsid w:val="00770BD0"/>
    <w:rsid w:val="00785C6B"/>
    <w:rsid w:val="00787387"/>
    <w:rsid w:val="00796464"/>
    <w:rsid w:val="007D1CF1"/>
    <w:rsid w:val="007D7DE7"/>
    <w:rsid w:val="007E025A"/>
    <w:rsid w:val="007E26CB"/>
    <w:rsid w:val="007E6D53"/>
    <w:rsid w:val="007E7019"/>
    <w:rsid w:val="0083253A"/>
    <w:rsid w:val="0083677D"/>
    <w:rsid w:val="008554A8"/>
    <w:rsid w:val="0085713F"/>
    <w:rsid w:val="0087148F"/>
    <w:rsid w:val="008961DF"/>
    <w:rsid w:val="00896429"/>
    <w:rsid w:val="008A09D1"/>
    <w:rsid w:val="008A195C"/>
    <w:rsid w:val="008B21E1"/>
    <w:rsid w:val="008B673D"/>
    <w:rsid w:val="008C1B3A"/>
    <w:rsid w:val="008C495E"/>
    <w:rsid w:val="008E3F0D"/>
    <w:rsid w:val="008F565D"/>
    <w:rsid w:val="009024D3"/>
    <w:rsid w:val="00911273"/>
    <w:rsid w:val="00916677"/>
    <w:rsid w:val="00917A35"/>
    <w:rsid w:val="009449EE"/>
    <w:rsid w:val="009456DB"/>
    <w:rsid w:val="00946665"/>
    <w:rsid w:val="00957260"/>
    <w:rsid w:val="009609F6"/>
    <w:rsid w:val="00982504"/>
    <w:rsid w:val="009926BE"/>
    <w:rsid w:val="009B52F7"/>
    <w:rsid w:val="009D3C56"/>
    <w:rsid w:val="009E65D0"/>
    <w:rsid w:val="009F3688"/>
    <w:rsid w:val="009F5D9E"/>
    <w:rsid w:val="00A318E7"/>
    <w:rsid w:val="00A41997"/>
    <w:rsid w:val="00A459F4"/>
    <w:rsid w:val="00A66C0C"/>
    <w:rsid w:val="00A7445E"/>
    <w:rsid w:val="00A804DB"/>
    <w:rsid w:val="00A80F84"/>
    <w:rsid w:val="00AA1C64"/>
    <w:rsid w:val="00AC0FA1"/>
    <w:rsid w:val="00AD2437"/>
    <w:rsid w:val="00AD3839"/>
    <w:rsid w:val="00AD5451"/>
    <w:rsid w:val="00AD64EC"/>
    <w:rsid w:val="00B145AE"/>
    <w:rsid w:val="00B17F26"/>
    <w:rsid w:val="00B204DD"/>
    <w:rsid w:val="00B235B0"/>
    <w:rsid w:val="00B32BB7"/>
    <w:rsid w:val="00B40F0F"/>
    <w:rsid w:val="00B56323"/>
    <w:rsid w:val="00B61B7A"/>
    <w:rsid w:val="00B63598"/>
    <w:rsid w:val="00B66623"/>
    <w:rsid w:val="00B840A9"/>
    <w:rsid w:val="00BC03CE"/>
    <w:rsid w:val="00BD79B0"/>
    <w:rsid w:val="00C0278F"/>
    <w:rsid w:val="00C10532"/>
    <w:rsid w:val="00C21D50"/>
    <w:rsid w:val="00C32F62"/>
    <w:rsid w:val="00C36004"/>
    <w:rsid w:val="00C40E8D"/>
    <w:rsid w:val="00C640CB"/>
    <w:rsid w:val="00C90F5E"/>
    <w:rsid w:val="00C9174F"/>
    <w:rsid w:val="00C931A0"/>
    <w:rsid w:val="00C94E13"/>
    <w:rsid w:val="00C96A75"/>
    <w:rsid w:val="00CA170C"/>
    <w:rsid w:val="00CC142D"/>
    <w:rsid w:val="00CC7758"/>
    <w:rsid w:val="00CF5466"/>
    <w:rsid w:val="00CF69D1"/>
    <w:rsid w:val="00D03CAB"/>
    <w:rsid w:val="00D06749"/>
    <w:rsid w:val="00D11CB4"/>
    <w:rsid w:val="00D11E26"/>
    <w:rsid w:val="00D16B83"/>
    <w:rsid w:val="00D23838"/>
    <w:rsid w:val="00D5098A"/>
    <w:rsid w:val="00D57D29"/>
    <w:rsid w:val="00D91571"/>
    <w:rsid w:val="00D93881"/>
    <w:rsid w:val="00DA3848"/>
    <w:rsid w:val="00DB617A"/>
    <w:rsid w:val="00DC184F"/>
    <w:rsid w:val="00DC3AAA"/>
    <w:rsid w:val="00E03E97"/>
    <w:rsid w:val="00E20DA1"/>
    <w:rsid w:val="00E232BD"/>
    <w:rsid w:val="00E32822"/>
    <w:rsid w:val="00E32B6F"/>
    <w:rsid w:val="00E3464C"/>
    <w:rsid w:val="00E4616B"/>
    <w:rsid w:val="00E46437"/>
    <w:rsid w:val="00E6017F"/>
    <w:rsid w:val="00E61834"/>
    <w:rsid w:val="00E72468"/>
    <w:rsid w:val="00E90CA0"/>
    <w:rsid w:val="00EA265F"/>
    <w:rsid w:val="00F02218"/>
    <w:rsid w:val="00F079A2"/>
    <w:rsid w:val="00F11106"/>
    <w:rsid w:val="00F17083"/>
    <w:rsid w:val="00F56AFD"/>
    <w:rsid w:val="00F66AA4"/>
    <w:rsid w:val="00F72230"/>
    <w:rsid w:val="00F84AEF"/>
    <w:rsid w:val="00FA12EA"/>
    <w:rsid w:val="00FC6B1D"/>
    <w:rsid w:val="00FC6F08"/>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8CB9D"/>
  <w15:docId w15:val="{D538F606-8EC6-41A1-A02D-41DB8D30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styleId="Poprawka">
    <w:name w:val="Revision"/>
    <w:hidden/>
    <w:uiPriority w:val="99"/>
    <w:semiHidden/>
    <w:rsid w:val="006179F0"/>
    <w:pPr>
      <w:spacing w:after="0" w:line="240" w:lineRule="auto"/>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18256246">
      <w:bodyDiv w:val="1"/>
      <w:marLeft w:val="0"/>
      <w:marRight w:val="0"/>
      <w:marTop w:val="0"/>
      <w:marBottom w:val="0"/>
      <w:divBdr>
        <w:top w:val="none" w:sz="0" w:space="0" w:color="auto"/>
        <w:left w:val="none" w:sz="0" w:space="0" w:color="auto"/>
        <w:bottom w:val="none" w:sz="0" w:space="0" w:color="auto"/>
        <w:right w:val="none" w:sz="0" w:space="0" w:color="auto"/>
      </w:divBdr>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3949859">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B99F-695F-4077-8E4B-A65321F8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2883</Words>
  <Characters>17303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2</cp:revision>
  <cp:lastPrinted>2015-12-18T11:43:00Z</cp:lastPrinted>
  <dcterms:created xsi:type="dcterms:W3CDTF">2022-05-16T06:59:00Z</dcterms:created>
  <dcterms:modified xsi:type="dcterms:W3CDTF">2022-05-16T06:59:00Z</dcterms:modified>
</cp:coreProperties>
</file>