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11EB" w14:textId="77777777" w:rsidR="00890C4C" w:rsidRPr="006A4042" w:rsidRDefault="00890C4C" w:rsidP="00AC14BD">
      <w:pPr>
        <w:pStyle w:val="Nagwek"/>
        <w:tabs>
          <w:tab w:val="clear" w:pos="4536"/>
        </w:tabs>
        <w:spacing w:before="120" w:after="120"/>
        <w:rPr>
          <w:rFonts w:cstheme="minorHAnsi"/>
          <w:b/>
          <w:color w:val="FF0000"/>
          <w:sz w:val="24"/>
          <w:szCs w:val="24"/>
        </w:rPr>
      </w:pPr>
      <w:r w:rsidRPr="006A4042">
        <w:rPr>
          <w:rFonts w:cstheme="minorHAnsi"/>
          <w:noProof/>
          <w:color w:val="FF0000"/>
          <w:sz w:val="24"/>
          <w:szCs w:val="24"/>
          <w:lang w:eastAsia="pl-PL"/>
        </w:rPr>
        <w:drawing>
          <wp:anchor distT="0" distB="0" distL="114300" distR="114300" simplePos="0" relativeHeight="251658752"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A4042" w:rsidRDefault="002533D1" w:rsidP="00AC14BD">
      <w:pPr>
        <w:spacing w:line="240" w:lineRule="auto"/>
        <w:rPr>
          <w:rFonts w:cstheme="minorHAnsi"/>
          <w:b/>
          <w:color w:val="FF0000"/>
          <w:sz w:val="24"/>
          <w:szCs w:val="24"/>
        </w:rPr>
      </w:pPr>
    </w:p>
    <w:p w14:paraId="47A68890" w14:textId="77777777" w:rsidR="00705179" w:rsidRPr="006A4042" w:rsidRDefault="00705179" w:rsidP="00AC14BD">
      <w:pPr>
        <w:autoSpaceDE w:val="0"/>
        <w:spacing w:line="240" w:lineRule="auto"/>
        <w:contextualSpacing/>
        <w:rPr>
          <w:rFonts w:cstheme="minorHAnsi"/>
          <w:b/>
          <w:color w:val="FF0000"/>
          <w:sz w:val="28"/>
          <w:szCs w:val="28"/>
        </w:rPr>
      </w:pPr>
    </w:p>
    <w:p w14:paraId="5C10E5FE" w14:textId="77777777" w:rsidR="00C20038" w:rsidRPr="006A4042" w:rsidRDefault="00C20038" w:rsidP="00AC14BD">
      <w:pPr>
        <w:autoSpaceDE w:val="0"/>
        <w:spacing w:line="240" w:lineRule="auto"/>
        <w:contextualSpacing/>
        <w:rPr>
          <w:rFonts w:cstheme="minorHAnsi"/>
          <w:b/>
          <w:color w:val="FF0000"/>
          <w:sz w:val="28"/>
          <w:szCs w:val="28"/>
        </w:rPr>
      </w:pPr>
    </w:p>
    <w:p w14:paraId="36577346" w14:textId="6B5CA41D" w:rsidR="0087487C" w:rsidRPr="006A4042" w:rsidRDefault="00104A3E" w:rsidP="00AC14BD">
      <w:pPr>
        <w:autoSpaceDE w:val="0"/>
        <w:spacing w:line="240" w:lineRule="auto"/>
        <w:contextualSpacing/>
        <w:rPr>
          <w:rFonts w:cstheme="minorHAnsi"/>
          <w:b/>
          <w:sz w:val="28"/>
          <w:szCs w:val="28"/>
        </w:rPr>
      </w:pPr>
      <w:r w:rsidRPr="006A4042">
        <w:rPr>
          <w:rFonts w:cstheme="minorHAnsi"/>
          <w:b/>
          <w:sz w:val="28"/>
          <w:szCs w:val="28"/>
        </w:rPr>
        <w:t xml:space="preserve">Zarząd Województwa Dolnośląskiego, </w:t>
      </w:r>
    </w:p>
    <w:p w14:paraId="6DBC14E3" w14:textId="77777777" w:rsidR="0087487C" w:rsidRPr="006A4042" w:rsidRDefault="00104A3E" w:rsidP="00AC14BD">
      <w:pPr>
        <w:autoSpaceDE w:val="0"/>
        <w:spacing w:line="240" w:lineRule="auto"/>
        <w:contextualSpacing/>
        <w:rPr>
          <w:rFonts w:cstheme="minorHAnsi"/>
          <w:b/>
          <w:sz w:val="28"/>
          <w:szCs w:val="28"/>
        </w:rPr>
      </w:pPr>
      <w:r w:rsidRPr="006A4042">
        <w:rPr>
          <w:rFonts w:cstheme="minorHAnsi"/>
          <w:b/>
          <w:sz w:val="28"/>
          <w:szCs w:val="28"/>
        </w:rPr>
        <w:t>pełniący funkcję</w:t>
      </w:r>
      <w:r w:rsidR="0087487C" w:rsidRPr="006A4042">
        <w:rPr>
          <w:rFonts w:cstheme="minorHAnsi"/>
          <w:b/>
          <w:sz w:val="28"/>
          <w:szCs w:val="28"/>
        </w:rPr>
        <w:t xml:space="preserve"> </w:t>
      </w:r>
      <w:r w:rsidRPr="006A4042">
        <w:rPr>
          <w:rFonts w:cstheme="minorHAnsi"/>
          <w:b/>
          <w:sz w:val="28"/>
          <w:szCs w:val="28"/>
        </w:rPr>
        <w:t>Instytucji Zarządzającej Regionalnym Programem Operacyjnym Województwa Dolnośląskiego</w:t>
      </w:r>
      <w:r w:rsidR="0087487C" w:rsidRPr="006A4042">
        <w:rPr>
          <w:rFonts w:cstheme="minorHAnsi"/>
          <w:b/>
          <w:sz w:val="28"/>
          <w:szCs w:val="28"/>
        </w:rPr>
        <w:t xml:space="preserve"> </w:t>
      </w:r>
      <w:r w:rsidRPr="006A4042">
        <w:rPr>
          <w:rFonts w:cstheme="minorHAnsi"/>
          <w:b/>
          <w:sz w:val="28"/>
          <w:szCs w:val="28"/>
        </w:rPr>
        <w:t>2014-2020</w:t>
      </w:r>
      <w:r w:rsidR="0087487C" w:rsidRPr="006A4042">
        <w:rPr>
          <w:rFonts w:cstheme="minorHAnsi"/>
          <w:b/>
          <w:sz w:val="28"/>
          <w:szCs w:val="28"/>
        </w:rPr>
        <w:t xml:space="preserve"> </w:t>
      </w:r>
    </w:p>
    <w:p w14:paraId="63684F48" w14:textId="77777777" w:rsidR="0087487C" w:rsidRPr="006A4042" w:rsidRDefault="008C79E0" w:rsidP="00AC14BD">
      <w:pPr>
        <w:autoSpaceDE w:val="0"/>
        <w:spacing w:line="240" w:lineRule="auto"/>
        <w:contextualSpacing/>
        <w:rPr>
          <w:rFonts w:cstheme="minorHAnsi"/>
          <w:b/>
          <w:sz w:val="28"/>
          <w:szCs w:val="28"/>
        </w:rPr>
      </w:pPr>
      <w:r w:rsidRPr="006A4042">
        <w:rPr>
          <w:rFonts w:cstheme="minorHAnsi"/>
          <w:b/>
          <w:bCs/>
          <w:sz w:val="28"/>
          <w:szCs w:val="28"/>
        </w:rPr>
        <w:t>ogłasza nabór wniosków o dofinansowanie realizacji projektów</w:t>
      </w:r>
      <w:r w:rsidR="0087487C" w:rsidRPr="006A4042">
        <w:rPr>
          <w:rFonts w:cstheme="minorHAnsi"/>
          <w:b/>
          <w:sz w:val="28"/>
          <w:szCs w:val="28"/>
        </w:rPr>
        <w:t xml:space="preserve"> </w:t>
      </w:r>
    </w:p>
    <w:p w14:paraId="752796F0" w14:textId="637A3C4D" w:rsidR="008C79E0" w:rsidRPr="006A4042" w:rsidRDefault="008C79E0" w:rsidP="00AC14BD">
      <w:pPr>
        <w:autoSpaceDE w:val="0"/>
        <w:spacing w:line="240" w:lineRule="auto"/>
        <w:contextualSpacing/>
        <w:rPr>
          <w:rFonts w:cstheme="minorHAnsi"/>
          <w:b/>
          <w:sz w:val="28"/>
          <w:szCs w:val="28"/>
        </w:rPr>
      </w:pPr>
      <w:r w:rsidRPr="006A4042">
        <w:rPr>
          <w:rFonts w:cstheme="minorHAnsi"/>
          <w:b/>
          <w:bCs/>
          <w:sz w:val="28"/>
          <w:szCs w:val="28"/>
        </w:rPr>
        <w:t>ze środków Europejskiego Funduszu Rozwoju Regionalnego</w:t>
      </w:r>
      <w:r w:rsidR="0087487C" w:rsidRPr="006A4042">
        <w:rPr>
          <w:rFonts w:cstheme="minorHAnsi"/>
          <w:b/>
          <w:sz w:val="28"/>
          <w:szCs w:val="28"/>
        </w:rPr>
        <w:t xml:space="preserve"> </w:t>
      </w:r>
      <w:r w:rsidRPr="006A4042">
        <w:rPr>
          <w:rFonts w:cstheme="minorHAnsi"/>
          <w:b/>
          <w:bCs/>
          <w:sz w:val="28"/>
          <w:szCs w:val="28"/>
        </w:rPr>
        <w:t>w  ramach Regionalnego Programu Operacyjnego Województwa Dolnośląskiego 2014-2020</w:t>
      </w:r>
    </w:p>
    <w:p w14:paraId="0AD67C49" w14:textId="1F67B9A9" w:rsidR="00FA3BA0" w:rsidRPr="006A4042" w:rsidRDefault="00FA3BA0" w:rsidP="00AC14BD">
      <w:pPr>
        <w:spacing w:before="240" w:after="0" w:line="240" w:lineRule="auto"/>
        <w:rPr>
          <w:rFonts w:cstheme="minorHAnsi"/>
          <w:b/>
          <w:sz w:val="24"/>
          <w:szCs w:val="24"/>
        </w:rPr>
      </w:pPr>
    </w:p>
    <w:p w14:paraId="76FBAB66" w14:textId="2FEB4F15" w:rsidR="0087487C" w:rsidRPr="006A4042" w:rsidRDefault="0087487C" w:rsidP="00AC14BD">
      <w:pPr>
        <w:spacing w:before="240" w:after="0" w:line="240" w:lineRule="auto"/>
        <w:rPr>
          <w:rFonts w:cstheme="minorHAnsi"/>
          <w:b/>
          <w:sz w:val="24"/>
          <w:szCs w:val="24"/>
        </w:rPr>
      </w:pPr>
    </w:p>
    <w:p w14:paraId="69DB134B" w14:textId="77777777" w:rsidR="00881E11" w:rsidRPr="006A4042" w:rsidRDefault="00881E11" w:rsidP="00AC14BD">
      <w:pPr>
        <w:spacing w:after="120" w:line="240" w:lineRule="auto"/>
        <w:rPr>
          <w:rFonts w:cstheme="minorHAnsi"/>
          <w:b/>
          <w:sz w:val="28"/>
          <w:szCs w:val="28"/>
        </w:rPr>
      </w:pPr>
      <w:r w:rsidRPr="006A4042">
        <w:rPr>
          <w:rFonts w:cstheme="minorHAnsi"/>
          <w:b/>
          <w:sz w:val="28"/>
          <w:szCs w:val="28"/>
        </w:rPr>
        <w:t xml:space="preserve">Oś priorytetowa </w:t>
      </w:r>
      <w:bookmarkStart w:id="0" w:name="_Hlk50469307"/>
      <w:r w:rsidRPr="006A4042">
        <w:rPr>
          <w:rFonts w:cstheme="minorHAnsi"/>
          <w:b/>
          <w:sz w:val="28"/>
          <w:szCs w:val="28"/>
        </w:rPr>
        <w:t>3 Gospodarka niskoemisyjna</w:t>
      </w:r>
    </w:p>
    <w:p w14:paraId="148010AC" w14:textId="6B4941FE" w:rsidR="00881E11" w:rsidRPr="006A4042" w:rsidRDefault="00881E11" w:rsidP="00AC14BD">
      <w:pPr>
        <w:spacing w:after="120" w:line="240" w:lineRule="auto"/>
        <w:rPr>
          <w:rFonts w:cstheme="minorHAnsi"/>
          <w:b/>
          <w:sz w:val="28"/>
          <w:szCs w:val="28"/>
        </w:rPr>
      </w:pPr>
      <w:r w:rsidRPr="006A4042">
        <w:rPr>
          <w:rFonts w:cstheme="minorHAnsi"/>
          <w:b/>
          <w:sz w:val="28"/>
          <w:szCs w:val="28"/>
        </w:rPr>
        <w:t xml:space="preserve">Działanie 3.3 </w:t>
      </w:r>
      <w:bookmarkEnd w:id="0"/>
      <w:r w:rsidRPr="006A4042">
        <w:rPr>
          <w:rFonts w:cstheme="minorHAnsi"/>
          <w:b/>
          <w:sz w:val="28"/>
          <w:szCs w:val="28"/>
        </w:rPr>
        <w:t xml:space="preserve">Efektywność energetyczna w budynkach użyteczności publicznej </w:t>
      </w:r>
      <w:r w:rsidR="00D83E7B">
        <w:rPr>
          <w:rFonts w:cstheme="minorHAnsi"/>
          <w:b/>
          <w:sz w:val="28"/>
          <w:szCs w:val="28"/>
        </w:rPr>
        <w:br/>
      </w:r>
      <w:r w:rsidRPr="006A4042">
        <w:rPr>
          <w:rFonts w:cstheme="minorHAnsi"/>
          <w:b/>
          <w:sz w:val="28"/>
          <w:szCs w:val="28"/>
        </w:rPr>
        <w:t>i sektorze mieszkaniowym</w:t>
      </w:r>
    </w:p>
    <w:p w14:paraId="100C4398" w14:textId="77777777" w:rsidR="00881E11" w:rsidRPr="006A4042" w:rsidRDefault="00881E11" w:rsidP="00AC14BD">
      <w:pPr>
        <w:spacing w:after="120" w:line="240" w:lineRule="auto"/>
        <w:rPr>
          <w:rFonts w:cstheme="minorHAnsi"/>
          <w:b/>
          <w:sz w:val="28"/>
          <w:szCs w:val="28"/>
        </w:rPr>
      </w:pPr>
      <w:r w:rsidRPr="006A4042">
        <w:rPr>
          <w:rFonts w:cstheme="minorHAnsi"/>
          <w:b/>
          <w:sz w:val="28"/>
          <w:szCs w:val="28"/>
        </w:rPr>
        <w:t>Poddziałanie 3.3.1 Efektywność energetyczna w budynkach użyteczności publicznej i sektorze mieszkaniowym – konkursy horyzontalne</w:t>
      </w:r>
    </w:p>
    <w:p w14:paraId="4189DF08" w14:textId="77777777" w:rsidR="00881E11" w:rsidRPr="006A4042" w:rsidRDefault="00881E11" w:rsidP="00AC14BD">
      <w:pPr>
        <w:pStyle w:val="Nagwek"/>
        <w:rPr>
          <w:rFonts w:cstheme="minorHAnsi"/>
          <w:sz w:val="28"/>
          <w:szCs w:val="28"/>
        </w:rPr>
      </w:pPr>
    </w:p>
    <w:p w14:paraId="613E1450" w14:textId="5BBDE9C9" w:rsidR="00881E11" w:rsidRPr="00763A7E" w:rsidRDefault="00881E11" w:rsidP="00AC14BD">
      <w:pPr>
        <w:spacing w:after="240" w:line="240" w:lineRule="auto"/>
        <w:rPr>
          <w:rFonts w:eastAsia="SimSun" w:cstheme="minorHAnsi"/>
          <w:kern w:val="3"/>
          <w:sz w:val="28"/>
          <w:szCs w:val="28"/>
        </w:rPr>
      </w:pPr>
      <w:r w:rsidRPr="00763A7E">
        <w:rPr>
          <w:rFonts w:eastAsia="SimSun" w:cstheme="minorHAnsi"/>
          <w:kern w:val="3"/>
          <w:sz w:val="28"/>
          <w:szCs w:val="28"/>
        </w:rPr>
        <w:t>3.3 a - Projekty związane z kompleksową modernizacją energetyczną budynków użyteczności publicznej – z ograniczeniem do budynków użytkowanych przez GOPR na cele realizacji zadań publicznych (ratownictwo)</w:t>
      </w:r>
    </w:p>
    <w:p w14:paraId="1FBEBDB5" w14:textId="73807BA1" w:rsidR="00881E11" w:rsidRPr="006A4042" w:rsidRDefault="00881E11" w:rsidP="00AC14BD">
      <w:pPr>
        <w:spacing w:after="240" w:line="240" w:lineRule="auto"/>
        <w:rPr>
          <w:rFonts w:eastAsia="SimSun" w:cstheme="minorHAnsi"/>
          <w:kern w:val="3"/>
          <w:sz w:val="28"/>
          <w:szCs w:val="28"/>
          <w:u w:val="single"/>
        </w:rPr>
      </w:pPr>
    </w:p>
    <w:p w14:paraId="2313B624" w14:textId="77777777" w:rsidR="00881E11" w:rsidRPr="006A4042" w:rsidRDefault="00881E11" w:rsidP="00AC14BD">
      <w:pPr>
        <w:spacing w:after="240" w:line="240" w:lineRule="auto"/>
        <w:rPr>
          <w:rFonts w:cstheme="minorHAnsi"/>
          <w:b/>
          <w:sz w:val="28"/>
          <w:szCs w:val="28"/>
        </w:rPr>
      </w:pPr>
    </w:p>
    <w:p w14:paraId="259E3C2C" w14:textId="77777777" w:rsidR="00881E11" w:rsidRPr="006A4042" w:rsidRDefault="00881E11" w:rsidP="00AC14BD">
      <w:pPr>
        <w:spacing w:after="240" w:line="240" w:lineRule="auto"/>
        <w:rPr>
          <w:rFonts w:cstheme="minorHAnsi"/>
          <w:b/>
          <w:sz w:val="24"/>
          <w:szCs w:val="28"/>
          <w:highlight w:val="yellow"/>
        </w:rPr>
      </w:pPr>
      <w:bookmarkStart w:id="1" w:name="_Hlk50464563"/>
      <w:r w:rsidRPr="006A4042">
        <w:rPr>
          <w:rFonts w:cstheme="minorHAnsi"/>
          <w:b/>
          <w:sz w:val="24"/>
          <w:szCs w:val="28"/>
        </w:rPr>
        <w:t xml:space="preserve">Nr naboru </w:t>
      </w:r>
      <w:r w:rsidRPr="006A4042">
        <w:rPr>
          <w:rFonts w:cstheme="minorHAnsi"/>
          <w:b/>
          <w:bCs/>
          <w:sz w:val="24"/>
          <w:szCs w:val="24"/>
        </w:rPr>
        <w:t>RPDS.03.03.01-IZ.00-02-438/22</w:t>
      </w:r>
    </w:p>
    <w:bookmarkEnd w:id="1"/>
    <w:p w14:paraId="43F601BE" w14:textId="77777777" w:rsidR="007665BF" w:rsidRPr="006A4042" w:rsidRDefault="007665BF" w:rsidP="00AC14BD">
      <w:pPr>
        <w:spacing w:after="0" w:line="240" w:lineRule="auto"/>
        <w:rPr>
          <w:rFonts w:cstheme="minorHAnsi"/>
          <w:sz w:val="24"/>
          <w:szCs w:val="24"/>
        </w:rPr>
      </w:pPr>
    </w:p>
    <w:p w14:paraId="53521933" w14:textId="77777777" w:rsidR="007665BF" w:rsidRPr="006A4042" w:rsidRDefault="007665BF" w:rsidP="00AC14BD">
      <w:pPr>
        <w:spacing w:after="0" w:line="240" w:lineRule="auto"/>
        <w:rPr>
          <w:rFonts w:cstheme="minorHAnsi"/>
          <w:sz w:val="24"/>
          <w:szCs w:val="24"/>
        </w:rPr>
      </w:pPr>
    </w:p>
    <w:p w14:paraId="2DD7700B" w14:textId="77777777" w:rsidR="007665BF" w:rsidRPr="006A4042" w:rsidRDefault="007665BF" w:rsidP="00AC14BD">
      <w:pPr>
        <w:spacing w:after="0" w:line="240" w:lineRule="auto"/>
        <w:rPr>
          <w:rFonts w:cstheme="minorHAnsi"/>
          <w:sz w:val="24"/>
          <w:szCs w:val="24"/>
        </w:rPr>
      </w:pPr>
    </w:p>
    <w:p w14:paraId="4E285BC3" w14:textId="6C781327" w:rsidR="00C20038" w:rsidRPr="006A4042" w:rsidRDefault="00C20038" w:rsidP="00AC14BD">
      <w:pPr>
        <w:spacing w:after="0" w:line="240" w:lineRule="auto"/>
        <w:rPr>
          <w:rFonts w:cstheme="minorHAnsi"/>
          <w:sz w:val="24"/>
          <w:szCs w:val="24"/>
        </w:rPr>
      </w:pPr>
    </w:p>
    <w:p w14:paraId="5583A0A6" w14:textId="35B6E648" w:rsidR="00881E11" w:rsidRPr="006A4042" w:rsidRDefault="00881E11" w:rsidP="00AC14BD">
      <w:pPr>
        <w:spacing w:after="0" w:line="240" w:lineRule="auto"/>
        <w:rPr>
          <w:rFonts w:cstheme="minorHAnsi"/>
          <w:sz w:val="24"/>
          <w:szCs w:val="24"/>
        </w:rPr>
      </w:pPr>
    </w:p>
    <w:p w14:paraId="44AD3A2A" w14:textId="449D2736" w:rsidR="00881E11" w:rsidRPr="006A4042" w:rsidRDefault="00881E11" w:rsidP="00AC14BD">
      <w:pPr>
        <w:spacing w:after="0" w:line="240" w:lineRule="auto"/>
        <w:rPr>
          <w:rFonts w:cstheme="minorHAnsi"/>
          <w:sz w:val="24"/>
          <w:szCs w:val="24"/>
        </w:rPr>
      </w:pPr>
    </w:p>
    <w:p w14:paraId="5BF6272B" w14:textId="0D4993B0" w:rsidR="00881E11" w:rsidRPr="006A4042" w:rsidRDefault="00881E11" w:rsidP="00AC14BD">
      <w:pPr>
        <w:spacing w:after="0" w:line="240" w:lineRule="auto"/>
        <w:rPr>
          <w:rFonts w:cstheme="minorHAnsi"/>
          <w:sz w:val="24"/>
          <w:szCs w:val="24"/>
        </w:rPr>
      </w:pPr>
    </w:p>
    <w:p w14:paraId="2EACEAFC" w14:textId="77777777" w:rsidR="00881E11" w:rsidRPr="006A4042" w:rsidRDefault="00881E11" w:rsidP="00AC14BD">
      <w:pPr>
        <w:spacing w:after="0" w:line="240" w:lineRule="auto"/>
        <w:rPr>
          <w:rFonts w:cstheme="minorHAnsi"/>
          <w:sz w:val="24"/>
          <w:szCs w:val="24"/>
        </w:rPr>
      </w:pPr>
    </w:p>
    <w:p w14:paraId="48D6E0E8" w14:textId="77777777" w:rsidR="00C20038" w:rsidRPr="006A4042" w:rsidRDefault="00C20038" w:rsidP="00AC14BD">
      <w:pPr>
        <w:spacing w:after="0" w:line="240" w:lineRule="auto"/>
        <w:rPr>
          <w:rFonts w:cstheme="minorHAnsi"/>
          <w:sz w:val="24"/>
          <w:szCs w:val="24"/>
        </w:rPr>
      </w:pPr>
    </w:p>
    <w:p w14:paraId="2AD5916E" w14:textId="46F97E88" w:rsidR="001703AB" w:rsidRPr="006A4042" w:rsidRDefault="00594CA5" w:rsidP="00AC14BD">
      <w:pPr>
        <w:spacing w:after="0" w:line="240" w:lineRule="auto"/>
        <w:rPr>
          <w:rFonts w:cstheme="minorHAnsi"/>
          <w:sz w:val="24"/>
          <w:szCs w:val="24"/>
        </w:rPr>
      </w:pPr>
      <w:r w:rsidRPr="006A4042">
        <w:rPr>
          <w:rFonts w:cstheme="minorHAnsi"/>
          <w:sz w:val="24"/>
          <w:szCs w:val="24"/>
        </w:rPr>
        <w:t xml:space="preserve">Wrocław, </w:t>
      </w:r>
      <w:r w:rsidR="00881E11" w:rsidRPr="006A4042">
        <w:rPr>
          <w:rFonts w:cstheme="minorHAnsi"/>
          <w:sz w:val="24"/>
          <w:szCs w:val="24"/>
        </w:rPr>
        <w:t>maj</w:t>
      </w:r>
      <w:r w:rsidR="00281302" w:rsidRPr="006A4042">
        <w:rPr>
          <w:rFonts w:cstheme="minorHAnsi"/>
          <w:sz w:val="24"/>
          <w:szCs w:val="24"/>
        </w:rPr>
        <w:t xml:space="preserve"> </w:t>
      </w:r>
      <w:r w:rsidR="00B82B56" w:rsidRPr="006A4042">
        <w:rPr>
          <w:rFonts w:cstheme="minorHAnsi"/>
          <w:sz w:val="24"/>
          <w:szCs w:val="24"/>
        </w:rPr>
        <w:t>202</w:t>
      </w:r>
      <w:r w:rsidR="00281302" w:rsidRPr="006A4042">
        <w:rPr>
          <w:rFonts w:cstheme="minorHAnsi"/>
          <w:sz w:val="24"/>
          <w:szCs w:val="24"/>
        </w:rPr>
        <w:t>2</w:t>
      </w:r>
      <w:r w:rsidR="00B82B56" w:rsidRPr="006A4042">
        <w:rPr>
          <w:rFonts w:cstheme="minorHAnsi"/>
          <w:sz w:val="24"/>
          <w:szCs w:val="24"/>
        </w:rPr>
        <w:t xml:space="preserve"> </w:t>
      </w:r>
      <w:r w:rsidRPr="006A4042">
        <w:rPr>
          <w:rFonts w:cstheme="minorHAnsi"/>
          <w:sz w:val="24"/>
          <w:szCs w:val="24"/>
        </w:rPr>
        <w:t>r.</w:t>
      </w:r>
    </w:p>
    <w:p w14:paraId="27CAC0C5" w14:textId="77777777" w:rsidR="001703AB" w:rsidRPr="006A4042" w:rsidRDefault="001703AB" w:rsidP="00AC14BD">
      <w:pPr>
        <w:spacing w:line="240" w:lineRule="auto"/>
        <w:rPr>
          <w:rFonts w:cstheme="minorHAnsi"/>
          <w:color w:val="FF0000"/>
          <w:sz w:val="24"/>
          <w:szCs w:val="24"/>
        </w:rPr>
      </w:pPr>
      <w:r w:rsidRPr="006A4042">
        <w:rPr>
          <w:rFonts w:cstheme="minorHAnsi"/>
          <w:color w:val="FF0000"/>
          <w:sz w:val="24"/>
          <w:szCs w:val="24"/>
        </w:rPr>
        <w:br w:type="page"/>
      </w:r>
    </w:p>
    <w:p w14:paraId="02310A57" w14:textId="77777777" w:rsidR="001666BC" w:rsidRPr="006A4042" w:rsidRDefault="001666BC" w:rsidP="00AC14BD">
      <w:pPr>
        <w:spacing w:after="0" w:line="240" w:lineRule="auto"/>
        <w:rPr>
          <w:rFonts w:cstheme="minorHAnsi"/>
          <w:color w:val="FF0000"/>
          <w:sz w:val="24"/>
          <w:szCs w:val="24"/>
        </w:rPr>
      </w:pPr>
    </w:p>
    <w:p w14:paraId="414A3981" w14:textId="77777777" w:rsidR="009938A4" w:rsidRPr="006A4042" w:rsidRDefault="001F3778" w:rsidP="00AC14BD">
      <w:pPr>
        <w:pStyle w:val="Nagwek1"/>
        <w:spacing w:before="0" w:after="0" w:line="240" w:lineRule="auto"/>
        <w:rPr>
          <w:rFonts w:asciiTheme="minorHAnsi" w:hAnsiTheme="minorHAnsi" w:cstheme="minorHAnsi"/>
          <w:sz w:val="24"/>
          <w:szCs w:val="24"/>
        </w:rPr>
      </w:pPr>
      <w:r w:rsidRPr="006A4042">
        <w:rPr>
          <w:rFonts w:asciiTheme="minorHAnsi" w:hAnsiTheme="minorHAnsi" w:cstheme="minorHAnsi"/>
          <w:sz w:val="24"/>
          <w:szCs w:val="24"/>
        </w:rPr>
        <w:t xml:space="preserve">I . </w:t>
      </w:r>
      <w:r w:rsidR="009938A4" w:rsidRPr="006A4042">
        <w:rPr>
          <w:rFonts w:asciiTheme="minorHAnsi" w:hAnsiTheme="minorHAnsi" w:cstheme="minorHAnsi"/>
          <w:sz w:val="24"/>
          <w:szCs w:val="24"/>
        </w:rPr>
        <w:t>Informacje ogólne</w:t>
      </w:r>
    </w:p>
    <w:p w14:paraId="2A790AE6" w14:textId="77777777" w:rsidR="00567534" w:rsidRPr="006A4042" w:rsidRDefault="00567534" w:rsidP="00AC14BD">
      <w:pPr>
        <w:spacing w:after="120" w:line="240" w:lineRule="auto"/>
        <w:rPr>
          <w:rFonts w:cstheme="minorHAnsi"/>
          <w:sz w:val="24"/>
          <w:szCs w:val="24"/>
        </w:rPr>
      </w:pPr>
    </w:p>
    <w:p w14:paraId="4D87D54A" w14:textId="77777777" w:rsidR="00D95D6A" w:rsidRPr="006A4042" w:rsidRDefault="00567534" w:rsidP="00AC14BD">
      <w:pPr>
        <w:spacing w:after="120" w:line="240" w:lineRule="auto"/>
        <w:rPr>
          <w:rFonts w:cstheme="minorHAnsi"/>
          <w:b/>
          <w:sz w:val="24"/>
          <w:szCs w:val="24"/>
        </w:rPr>
      </w:pPr>
      <w:r w:rsidRPr="006A4042">
        <w:rPr>
          <w:rFonts w:cstheme="minorHAnsi"/>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Pr="006A4042">
        <w:rPr>
          <w:rFonts w:cstheme="minorHAnsi"/>
          <w:b/>
          <w:sz w:val="24"/>
          <w:szCs w:val="24"/>
        </w:rPr>
        <w:t xml:space="preserve"> </w:t>
      </w:r>
      <w:r w:rsidR="00D95D6A" w:rsidRPr="006A4042">
        <w:rPr>
          <w:rFonts w:cstheme="minorHAnsi"/>
          <w:b/>
          <w:sz w:val="24"/>
          <w:szCs w:val="24"/>
        </w:rPr>
        <w:t>Oś priorytetowa 3 Gospodarka niskoemisyjna, Działanie 3.3 Efektywność energetyczna w budynkach użyteczności publicznej i sektorze mieszkaniowym. Nabór w trybie konkursowym – horyzontalny.</w:t>
      </w:r>
    </w:p>
    <w:p w14:paraId="20C90417" w14:textId="530B0D11" w:rsidR="00567534" w:rsidRPr="006A4042" w:rsidRDefault="00567534" w:rsidP="00AC14BD">
      <w:pPr>
        <w:spacing w:after="120" w:line="240" w:lineRule="auto"/>
        <w:rPr>
          <w:rFonts w:cstheme="minorHAnsi"/>
          <w:sz w:val="24"/>
          <w:szCs w:val="24"/>
        </w:rPr>
      </w:pPr>
      <w:r w:rsidRPr="006A4042">
        <w:rPr>
          <w:rFonts w:cstheme="minorHAnsi"/>
          <w:sz w:val="24"/>
          <w:szCs w:val="24"/>
        </w:rPr>
        <w:t xml:space="preserve">Przez konkurs horyzontalny rozumie się prowadzony w trybie konkursowym nabór wniosków </w:t>
      </w:r>
      <w:r w:rsidR="006A4042">
        <w:rPr>
          <w:rFonts w:cstheme="minorHAnsi"/>
          <w:sz w:val="24"/>
          <w:szCs w:val="24"/>
        </w:rPr>
        <w:br/>
      </w:r>
      <w:r w:rsidRPr="006A4042">
        <w:rPr>
          <w:rFonts w:cstheme="minorHAnsi"/>
          <w:sz w:val="24"/>
          <w:szCs w:val="24"/>
        </w:rPr>
        <w:t xml:space="preserve">o dofinansowanie ogłaszany na projekty dotyczące całego obszaru Województwa Dolnośląskiego. </w:t>
      </w:r>
    </w:p>
    <w:p w14:paraId="5AAEB3FB" w14:textId="77777777" w:rsidR="00567534" w:rsidRPr="006A4042" w:rsidRDefault="00567534" w:rsidP="00AC14BD">
      <w:pPr>
        <w:pStyle w:val="Tekstkomentarza"/>
        <w:spacing w:before="240"/>
        <w:rPr>
          <w:rFonts w:asciiTheme="minorHAnsi" w:hAnsiTheme="minorHAnsi" w:cstheme="minorHAnsi"/>
          <w:sz w:val="24"/>
          <w:szCs w:val="24"/>
        </w:rPr>
      </w:pPr>
      <w:r w:rsidRPr="006A4042">
        <w:rPr>
          <w:rFonts w:asciiTheme="minorHAnsi" w:hAnsiTheme="minorHAnsi" w:cstheme="minorHAnsi"/>
          <w:sz w:val="24"/>
          <w:szCs w:val="24"/>
        </w:rPr>
        <w:t xml:space="preserve">Regulamin oraz wszystkie niezbędne do złożenia w konkursie dokumenty są dostępne na stronie internetowej RPO WD 2014-2020 </w:t>
      </w:r>
      <w:hyperlink r:id="rId9" w:history="1">
        <w:r w:rsidRPr="006A4042">
          <w:rPr>
            <w:rStyle w:val="Hipercze"/>
            <w:rFonts w:asciiTheme="minorHAnsi" w:hAnsiTheme="minorHAnsi" w:cstheme="minorHAnsi"/>
            <w:color w:val="auto"/>
            <w:sz w:val="24"/>
            <w:szCs w:val="24"/>
          </w:rPr>
          <w:t>www.rpo.dolnyslask.pl</w:t>
        </w:r>
      </w:hyperlink>
      <w:r w:rsidRPr="006A4042">
        <w:rPr>
          <w:rFonts w:asciiTheme="minorHAnsi" w:hAnsiTheme="minorHAnsi" w:cstheme="minorHAnsi"/>
          <w:sz w:val="24"/>
          <w:szCs w:val="24"/>
        </w:rPr>
        <w:t xml:space="preserve"> oraz na  portalu funduszy europejskich </w:t>
      </w:r>
      <w:hyperlink r:id="rId10" w:history="1">
        <w:r w:rsidRPr="006A4042">
          <w:rPr>
            <w:rStyle w:val="Hipercze"/>
            <w:rFonts w:asciiTheme="minorHAnsi" w:hAnsiTheme="minorHAnsi" w:cstheme="minorHAnsi"/>
            <w:color w:val="auto"/>
            <w:sz w:val="24"/>
            <w:szCs w:val="24"/>
          </w:rPr>
          <w:t>www.funduszeeuropejskie.gov.pl</w:t>
        </w:r>
      </w:hyperlink>
      <w:r w:rsidRPr="006A4042">
        <w:rPr>
          <w:rStyle w:val="Hipercze"/>
          <w:rFonts w:asciiTheme="minorHAnsi" w:hAnsiTheme="minorHAnsi" w:cstheme="minorHAnsi"/>
          <w:color w:val="auto"/>
          <w:sz w:val="24"/>
          <w:szCs w:val="24"/>
        </w:rPr>
        <w:t>.</w:t>
      </w:r>
    </w:p>
    <w:p w14:paraId="7B3B84EA" w14:textId="77777777" w:rsidR="00567534" w:rsidRPr="006A4042" w:rsidRDefault="00567534" w:rsidP="00AC14BD">
      <w:pPr>
        <w:spacing w:after="0" w:line="240" w:lineRule="auto"/>
        <w:rPr>
          <w:rFonts w:cstheme="minorHAnsi"/>
          <w:sz w:val="24"/>
          <w:szCs w:val="24"/>
        </w:rPr>
      </w:pPr>
    </w:p>
    <w:p w14:paraId="3566F1F4" w14:textId="77777777" w:rsidR="00567534" w:rsidRPr="006A4042" w:rsidRDefault="00567534" w:rsidP="00AC14BD">
      <w:pPr>
        <w:spacing w:after="0" w:line="240" w:lineRule="auto"/>
        <w:rPr>
          <w:rFonts w:cstheme="minorHAnsi"/>
          <w:b/>
          <w:bCs/>
          <w:sz w:val="24"/>
          <w:szCs w:val="24"/>
        </w:rPr>
      </w:pPr>
      <w:r w:rsidRPr="006A4042">
        <w:rPr>
          <w:rFonts w:cstheme="minorHAnsi"/>
          <w:b/>
          <w:bCs/>
          <w:sz w:val="24"/>
          <w:szCs w:val="24"/>
        </w:rPr>
        <w:t xml:space="preserve">Przystąpienie do konkursu jest równoznaczne z akceptacją przez Wnioskodawcę postanowień Regulaminu. </w:t>
      </w:r>
    </w:p>
    <w:p w14:paraId="495CFBAD" w14:textId="77777777" w:rsidR="00567534" w:rsidRPr="006A4042" w:rsidRDefault="00567534" w:rsidP="00AC14BD">
      <w:pPr>
        <w:spacing w:after="0" w:line="240" w:lineRule="auto"/>
        <w:rPr>
          <w:rFonts w:cstheme="minorHAnsi"/>
          <w:color w:val="FF0000"/>
          <w:sz w:val="24"/>
          <w:szCs w:val="24"/>
        </w:rPr>
      </w:pPr>
    </w:p>
    <w:p w14:paraId="0F2FF41E" w14:textId="4E3329DE" w:rsidR="00567534" w:rsidRPr="006A4042" w:rsidRDefault="00567534" w:rsidP="00AC14BD">
      <w:pPr>
        <w:spacing w:after="0" w:line="240" w:lineRule="auto"/>
        <w:rPr>
          <w:rFonts w:cstheme="minorHAnsi"/>
          <w:sz w:val="24"/>
          <w:szCs w:val="24"/>
        </w:rPr>
      </w:pPr>
      <w:r w:rsidRPr="006A4042">
        <w:rPr>
          <w:rFonts w:cstheme="minorHAnsi"/>
          <w:sz w:val="24"/>
          <w:szCs w:val="24"/>
        </w:rPr>
        <w:t xml:space="preserve">W kwestiach nieuregulowanych Regulaminem konkursu, zastosowanie mają odpowiednie przepisy prawa polskiego i Unii Europejskiej. </w:t>
      </w:r>
    </w:p>
    <w:p w14:paraId="3DB4D553" w14:textId="77777777" w:rsidR="00567534" w:rsidRPr="006A4042" w:rsidRDefault="00567534" w:rsidP="00AC14BD">
      <w:pPr>
        <w:spacing w:after="0" w:line="240" w:lineRule="auto"/>
        <w:rPr>
          <w:rFonts w:cstheme="minorHAnsi"/>
          <w:sz w:val="24"/>
          <w:szCs w:val="24"/>
          <w:highlight w:val="lightGray"/>
        </w:rPr>
      </w:pPr>
    </w:p>
    <w:p w14:paraId="5D68B45B" w14:textId="77777777" w:rsidR="00567534" w:rsidRPr="006A4042" w:rsidRDefault="00567534" w:rsidP="00AC14BD">
      <w:pPr>
        <w:spacing w:after="0" w:line="240" w:lineRule="auto"/>
        <w:rPr>
          <w:rFonts w:cstheme="minorHAnsi"/>
          <w:sz w:val="24"/>
          <w:szCs w:val="24"/>
        </w:rPr>
      </w:pPr>
      <w:r w:rsidRPr="006A4042">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14DBF3C8" w14:textId="77777777" w:rsidR="00567534" w:rsidRPr="006A4042" w:rsidRDefault="00567534" w:rsidP="00AC14BD">
      <w:pPr>
        <w:spacing w:after="0" w:line="240" w:lineRule="auto"/>
        <w:rPr>
          <w:rFonts w:cstheme="minorHAnsi"/>
          <w:color w:val="FF0000"/>
          <w:sz w:val="24"/>
          <w:szCs w:val="24"/>
          <w:highlight w:val="lightGray"/>
        </w:rPr>
      </w:pPr>
    </w:p>
    <w:p w14:paraId="552408A3" w14:textId="77777777" w:rsidR="00567534" w:rsidRPr="006A4042" w:rsidRDefault="00567534" w:rsidP="00AC14BD">
      <w:pPr>
        <w:spacing w:after="0" w:line="240" w:lineRule="auto"/>
        <w:rPr>
          <w:rFonts w:cstheme="minorHAnsi"/>
          <w:sz w:val="24"/>
          <w:szCs w:val="24"/>
          <w:u w:val="single"/>
        </w:rPr>
      </w:pPr>
      <w:r w:rsidRPr="006A4042">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626C2BE8" w14:textId="77777777" w:rsidR="00567534" w:rsidRPr="006A4042" w:rsidRDefault="00567534" w:rsidP="00AC14BD">
      <w:pPr>
        <w:spacing w:after="0" w:line="240" w:lineRule="auto"/>
        <w:rPr>
          <w:rFonts w:cstheme="minorHAnsi"/>
          <w:sz w:val="24"/>
          <w:szCs w:val="24"/>
          <w:highlight w:val="lightGray"/>
        </w:rPr>
      </w:pPr>
    </w:p>
    <w:p w14:paraId="280BB16C" w14:textId="6A01386A" w:rsidR="00567534" w:rsidRDefault="00567534" w:rsidP="00AC14BD">
      <w:pPr>
        <w:spacing w:after="120" w:line="240" w:lineRule="auto"/>
        <w:rPr>
          <w:rFonts w:cstheme="minorHAnsi"/>
          <w:sz w:val="24"/>
          <w:szCs w:val="24"/>
        </w:rPr>
      </w:pPr>
      <w:r w:rsidRPr="006A4042">
        <w:rPr>
          <w:rFonts w:cstheme="minorHAnsi"/>
          <w:sz w:val="24"/>
          <w:szCs w:val="24"/>
        </w:rPr>
        <w:t>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w:t>
      </w:r>
      <w:r w:rsidR="00D95D6A" w:rsidRPr="006A4042">
        <w:rPr>
          <w:rFonts w:cstheme="minorHAnsi"/>
          <w:sz w:val="24"/>
          <w:szCs w:val="24"/>
        </w:rPr>
        <w:t>.</w:t>
      </w:r>
    </w:p>
    <w:p w14:paraId="4BDE2248" w14:textId="77777777" w:rsidR="006A4042" w:rsidRPr="006A4042" w:rsidRDefault="006A4042" w:rsidP="00AC14BD">
      <w:pPr>
        <w:spacing w:after="120" w:line="240" w:lineRule="auto"/>
        <w:rPr>
          <w:rFonts w:cstheme="minorHAnsi"/>
          <w:sz w:val="24"/>
          <w:szCs w:val="24"/>
        </w:rPr>
      </w:pPr>
    </w:p>
    <w:p w14:paraId="775377F4" w14:textId="73FCAE9F" w:rsidR="009938A4" w:rsidRPr="006A4042" w:rsidRDefault="001F3778" w:rsidP="00AC14BD">
      <w:pPr>
        <w:tabs>
          <w:tab w:val="left" w:pos="2835"/>
        </w:tabs>
        <w:spacing w:line="240" w:lineRule="auto"/>
        <w:rPr>
          <w:rFonts w:cstheme="minorHAnsi"/>
          <w:b/>
          <w:bCs/>
          <w:sz w:val="24"/>
          <w:szCs w:val="24"/>
        </w:rPr>
      </w:pPr>
      <w:r w:rsidRPr="006A4042">
        <w:rPr>
          <w:rFonts w:cstheme="minorHAnsi"/>
          <w:b/>
          <w:bCs/>
          <w:sz w:val="24"/>
          <w:szCs w:val="24"/>
        </w:rPr>
        <w:t xml:space="preserve">II. </w:t>
      </w:r>
      <w:r w:rsidR="009938A4" w:rsidRPr="006A4042">
        <w:rPr>
          <w:rFonts w:cstheme="minorHAnsi"/>
          <w:b/>
          <w:bCs/>
          <w:sz w:val="24"/>
          <w:szCs w:val="24"/>
        </w:rPr>
        <w:t>Pełna nazwa i adres właściwej instytucji</w:t>
      </w:r>
      <w:r w:rsidR="009938A4" w:rsidRPr="006A4042">
        <w:rPr>
          <w:rFonts w:cstheme="minorHAnsi"/>
          <w:b/>
          <w:sz w:val="24"/>
          <w:szCs w:val="24"/>
        </w:rPr>
        <w:t xml:space="preserve"> organizującej konkurs</w:t>
      </w:r>
      <w:r w:rsidR="009938A4" w:rsidRPr="006A4042">
        <w:rPr>
          <w:rFonts w:cstheme="minorHAnsi"/>
          <w:b/>
          <w:bCs/>
          <w:sz w:val="24"/>
          <w:szCs w:val="24"/>
        </w:rPr>
        <w:t>:</w:t>
      </w:r>
    </w:p>
    <w:p w14:paraId="2572F26F" w14:textId="77777777" w:rsidR="00567534" w:rsidRPr="006A4042" w:rsidRDefault="00567534" w:rsidP="00AC14BD">
      <w:pPr>
        <w:spacing w:after="120" w:line="240" w:lineRule="auto"/>
        <w:rPr>
          <w:rFonts w:cstheme="minorHAnsi"/>
          <w:sz w:val="24"/>
          <w:szCs w:val="24"/>
        </w:rPr>
      </w:pPr>
      <w:bookmarkStart w:id="2" w:name="_Hlk26800243"/>
      <w:r w:rsidRPr="006A4042">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p>
    <w:p w14:paraId="45CB5D3F" w14:textId="77777777" w:rsidR="00567534" w:rsidRPr="006A4042" w:rsidRDefault="00567534" w:rsidP="00AC14BD">
      <w:pPr>
        <w:spacing w:after="0" w:line="240" w:lineRule="auto"/>
        <w:rPr>
          <w:rFonts w:eastAsia="Droid Sans Fallback" w:cstheme="minorHAnsi"/>
          <w:sz w:val="24"/>
          <w:szCs w:val="24"/>
        </w:rPr>
      </w:pPr>
      <w:r w:rsidRPr="006A4042">
        <w:rPr>
          <w:rFonts w:cstheme="minorHAnsi"/>
          <w:sz w:val="24"/>
          <w:szCs w:val="24"/>
        </w:rPr>
        <w:lastRenderedPageBreak/>
        <w:t>Zadania związane z naborem realizuje Departament Funduszy Europejskich w Urzędzie Marszałkowskim Województwa Dolnośląskiego – ul. Mazowiecka 17, 50-412 Wrocław</w:t>
      </w:r>
      <w:r w:rsidRPr="006A4042">
        <w:rPr>
          <w:rFonts w:eastAsia="Droid Sans Fallback" w:cstheme="minorHAnsi"/>
          <w:sz w:val="24"/>
          <w:szCs w:val="24"/>
        </w:rPr>
        <w:t>.</w:t>
      </w:r>
    </w:p>
    <w:bookmarkEnd w:id="2"/>
    <w:p w14:paraId="0A845F4F" w14:textId="0F542C0D" w:rsidR="00FC4FAD" w:rsidRPr="006A4042" w:rsidRDefault="00FC4FAD" w:rsidP="00AC14BD">
      <w:pPr>
        <w:tabs>
          <w:tab w:val="left" w:pos="2835"/>
        </w:tabs>
        <w:spacing w:line="240" w:lineRule="auto"/>
        <w:rPr>
          <w:rFonts w:cstheme="minorHAnsi"/>
          <w:b/>
          <w:bCs/>
          <w:sz w:val="24"/>
          <w:szCs w:val="24"/>
        </w:rPr>
      </w:pPr>
    </w:p>
    <w:p w14:paraId="0E8439B5" w14:textId="5A3FC277" w:rsidR="009938A4" w:rsidRPr="006A4042" w:rsidRDefault="001F3778" w:rsidP="00AC14BD">
      <w:pPr>
        <w:tabs>
          <w:tab w:val="left" w:pos="2835"/>
        </w:tabs>
        <w:spacing w:line="240" w:lineRule="auto"/>
        <w:rPr>
          <w:rFonts w:cstheme="minorHAnsi"/>
          <w:b/>
          <w:bCs/>
          <w:sz w:val="24"/>
          <w:szCs w:val="24"/>
        </w:rPr>
      </w:pPr>
      <w:r w:rsidRPr="006A4042">
        <w:rPr>
          <w:rFonts w:cstheme="minorHAnsi"/>
          <w:b/>
          <w:bCs/>
          <w:sz w:val="24"/>
          <w:szCs w:val="24"/>
        </w:rPr>
        <w:t xml:space="preserve">III. </w:t>
      </w:r>
      <w:r w:rsidR="009938A4" w:rsidRPr="006A4042">
        <w:rPr>
          <w:rFonts w:cstheme="minorHAnsi"/>
          <w:b/>
          <w:bCs/>
          <w:sz w:val="24"/>
          <w:szCs w:val="24"/>
        </w:rPr>
        <w:t>Przedmiot konkursu, w tym typy projektów podlegających dofinansowaniu:</w:t>
      </w:r>
    </w:p>
    <w:p w14:paraId="5CC8ABD3" w14:textId="77777777" w:rsidR="006A4042" w:rsidRPr="006A4042" w:rsidRDefault="006A4042" w:rsidP="00AC14BD">
      <w:pPr>
        <w:autoSpaceDE w:val="0"/>
        <w:autoSpaceDN w:val="0"/>
        <w:adjustRightInd w:val="0"/>
        <w:spacing w:before="240" w:after="0" w:line="240" w:lineRule="auto"/>
        <w:rPr>
          <w:rFonts w:eastAsia="Calibri" w:cstheme="minorHAnsi"/>
          <w:b/>
          <w:bCs/>
          <w:sz w:val="24"/>
          <w:highlight w:val="yellow"/>
          <w:lang w:eastAsia="pl-PL"/>
        </w:rPr>
      </w:pPr>
      <w:bookmarkStart w:id="3" w:name="_Hlk57720750"/>
      <w:bookmarkStart w:id="4" w:name="_Hlk26800304"/>
      <w:r w:rsidRPr="006A4042">
        <w:rPr>
          <w:rFonts w:eastAsia="Calibri" w:cstheme="minorHAnsi"/>
          <w:sz w:val="24"/>
          <w:szCs w:val="24"/>
          <w:lang w:eastAsia="pl-PL"/>
        </w:rPr>
        <w:t xml:space="preserve">Przedmiotem konkursu są projekty związane z </w:t>
      </w:r>
      <w:r w:rsidRPr="006A4042">
        <w:rPr>
          <w:rFonts w:eastAsia="Calibri" w:cstheme="minorHAnsi"/>
          <w:b/>
          <w:bCs/>
          <w:sz w:val="24"/>
          <w:lang w:eastAsia="pl-PL"/>
        </w:rPr>
        <w:t xml:space="preserve">kompleksową termomodernizacją budynków użyteczności publicznej użytkowanych przez Górskie Ochotnicze Pogotowie Ratunkowe (GOPR) na cele realizacji zadań publicznych (ratownictwo), w tym wymiana lub modernizacja źródeł ciepła i montaż mikroinstalacji OZE, </w:t>
      </w:r>
      <w:r w:rsidRPr="006A4042">
        <w:rPr>
          <w:rFonts w:eastAsia="Calibri" w:cstheme="minorHAnsi"/>
          <w:b/>
          <w:bCs/>
          <w:sz w:val="24"/>
          <w:szCs w:val="24"/>
          <w:lang w:eastAsia="pl-PL"/>
        </w:rPr>
        <w:t xml:space="preserve">realizowane na terenie województwa dolnośląskiego. </w:t>
      </w:r>
      <w:r w:rsidRPr="006A4042">
        <w:rPr>
          <w:rFonts w:eastAsia="Calibri" w:cstheme="minorHAnsi"/>
          <w:sz w:val="24"/>
          <w:szCs w:val="24"/>
          <w:lang w:eastAsia="pl-PL"/>
        </w:rPr>
        <w:t>Nabór ogłoszony jest w ramach typu projektu</w:t>
      </w:r>
      <w:r w:rsidRPr="006A4042">
        <w:rPr>
          <w:rFonts w:eastAsia="Calibri" w:cstheme="minorHAnsi"/>
          <w:b/>
          <w:bCs/>
          <w:sz w:val="24"/>
          <w:szCs w:val="24"/>
          <w:lang w:eastAsia="pl-PL"/>
        </w:rPr>
        <w:t xml:space="preserve"> </w:t>
      </w:r>
      <w:r w:rsidRPr="006A4042">
        <w:rPr>
          <w:rFonts w:eastAsia="Calibri" w:cstheme="minorHAnsi"/>
          <w:b/>
          <w:sz w:val="24"/>
          <w:szCs w:val="24"/>
          <w:lang w:eastAsia="pl-PL"/>
        </w:rPr>
        <w:t>3.3 a</w:t>
      </w:r>
      <w:r w:rsidRPr="006A4042">
        <w:rPr>
          <w:rFonts w:eastAsia="Calibri" w:cstheme="minorHAnsi"/>
          <w:bCs/>
          <w:sz w:val="24"/>
          <w:szCs w:val="24"/>
          <w:lang w:eastAsia="pl-PL"/>
        </w:rPr>
        <w:t xml:space="preserve"> określonego dla Osi priorytetowej 3 </w:t>
      </w:r>
      <w:r w:rsidRPr="006A4042">
        <w:rPr>
          <w:rFonts w:eastAsia="Calibri" w:cstheme="minorHAnsi"/>
          <w:bCs/>
          <w:sz w:val="24"/>
          <w:lang w:eastAsia="pl-PL"/>
        </w:rPr>
        <w:t>Gospodarka niskoemisyjna</w:t>
      </w:r>
      <w:r w:rsidRPr="006A4042">
        <w:rPr>
          <w:rFonts w:eastAsia="Calibri" w:cstheme="minorHAnsi"/>
          <w:bCs/>
          <w:sz w:val="24"/>
          <w:szCs w:val="24"/>
          <w:lang w:eastAsia="pl-PL"/>
        </w:rPr>
        <w:t xml:space="preserve">, Działanie </w:t>
      </w:r>
      <w:r w:rsidRPr="006A4042">
        <w:rPr>
          <w:rFonts w:eastAsia="Calibri" w:cstheme="minorHAnsi"/>
          <w:bCs/>
          <w:sz w:val="24"/>
          <w:lang w:eastAsia="pl-PL"/>
        </w:rPr>
        <w:t xml:space="preserve">3.3 Efektywność energetyczna w budynkach użyteczności publicznej i sektorze mieszkaniowym, Poddziałania 3.3.1 </w:t>
      </w:r>
      <w:r w:rsidRPr="006A4042">
        <w:rPr>
          <w:rFonts w:eastAsia="Calibri" w:cstheme="minorHAnsi"/>
          <w:sz w:val="24"/>
          <w:szCs w:val="24"/>
          <w:lang w:eastAsia="pl-PL"/>
        </w:rPr>
        <w:t xml:space="preserve">Efektywność energetyczna w budynkach użyteczności publicznej i sektorze mieszkaniowym – konkursy horyzontalne. </w:t>
      </w:r>
      <w:bookmarkStart w:id="5" w:name="_Hlk19775645"/>
    </w:p>
    <w:bookmarkEnd w:id="3"/>
    <w:p w14:paraId="19749878" w14:textId="77777777" w:rsidR="006A4042" w:rsidRPr="006A4042" w:rsidRDefault="006A4042" w:rsidP="00AC14BD">
      <w:pPr>
        <w:autoSpaceDE w:val="0"/>
        <w:autoSpaceDN w:val="0"/>
        <w:adjustRightInd w:val="0"/>
        <w:spacing w:after="0" w:line="240" w:lineRule="auto"/>
        <w:ind w:left="67" w:hanging="10"/>
        <w:rPr>
          <w:rFonts w:eastAsia="Calibri" w:cstheme="minorHAnsi"/>
          <w:sz w:val="24"/>
          <w:highlight w:val="yellow"/>
          <w:lang w:eastAsia="pl-PL"/>
        </w:rPr>
      </w:pPr>
    </w:p>
    <w:p w14:paraId="2909ECC4" w14:textId="77777777" w:rsidR="006A4042" w:rsidRPr="006A4042" w:rsidRDefault="006A4042" w:rsidP="00AC14BD">
      <w:pPr>
        <w:autoSpaceDE w:val="0"/>
        <w:autoSpaceDN w:val="0"/>
        <w:adjustRightInd w:val="0"/>
        <w:spacing w:after="0" w:line="240" w:lineRule="auto"/>
        <w:ind w:left="67" w:hanging="10"/>
        <w:rPr>
          <w:rFonts w:eastAsia="Calibri" w:cstheme="minorHAnsi"/>
          <w:sz w:val="24"/>
          <w:highlight w:val="yellow"/>
          <w:lang w:eastAsia="pl-PL"/>
        </w:rPr>
      </w:pPr>
      <w:r w:rsidRPr="006A4042">
        <w:rPr>
          <w:rFonts w:eastAsia="Calibri" w:cstheme="minorHAnsi"/>
          <w:sz w:val="24"/>
          <w:lang w:eastAsia="pl-PL"/>
        </w:rPr>
        <w:t>Zakres projektów dotyczyć może (o ile wynika z audytu):</w:t>
      </w:r>
    </w:p>
    <w:p w14:paraId="7CCCE561" w14:textId="77777777" w:rsidR="006A4042" w:rsidRPr="006A4042" w:rsidRDefault="006A4042" w:rsidP="00AC14BD">
      <w:pPr>
        <w:numPr>
          <w:ilvl w:val="1"/>
          <w:numId w:val="27"/>
        </w:numPr>
        <w:spacing w:after="0" w:line="240" w:lineRule="auto"/>
        <w:ind w:left="741"/>
        <w:contextualSpacing/>
        <w:rPr>
          <w:rFonts w:eastAsia="Calibri" w:cstheme="minorHAnsi"/>
          <w:sz w:val="24"/>
          <w:lang w:eastAsia="pl-PL"/>
        </w:rPr>
      </w:pPr>
      <w:r w:rsidRPr="006A4042">
        <w:rPr>
          <w:rFonts w:eastAsia="Calibri" w:cstheme="minorHAnsi"/>
          <w:sz w:val="24"/>
          <w:lang w:eastAsia="pl-P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6A4042">
        <w:rPr>
          <w:rFonts w:eastAsia="Calibri" w:cstheme="minorHAnsi"/>
          <w:b/>
          <w:sz w:val="24"/>
          <w:lang w:eastAsia="pl-PL"/>
        </w:rPr>
        <w:t>tzw. komponent termomodernizacyjny</w:t>
      </w:r>
      <w:r w:rsidRPr="006A4042">
        <w:rPr>
          <w:rFonts w:eastAsia="Calibri" w:cstheme="minorHAnsi"/>
          <w:sz w:val="24"/>
          <w:lang w:eastAsia="pl-PL"/>
        </w:rPr>
        <w:t>;</w:t>
      </w:r>
    </w:p>
    <w:p w14:paraId="5B88B3B2" w14:textId="4B4F34FE" w:rsidR="006A4042" w:rsidRPr="006A4042" w:rsidRDefault="006A4042" w:rsidP="00AC14BD">
      <w:pPr>
        <w:numPr>
          <w:ilvl w:val="1"/>
          <w:numId w:val="27"/>
        </w:numPr>
        <w:spacing w:after="0" w:line="240" w:lineRule="auto"/>
        <w:ind w:left="741"/>
        <w:contextualSpacing/>
        <w:rPr>
          <w:rFonts w:eastAsia="Calibri" w:cstheme="minorHAnsi"/>
          <w:sz w:val="24"/>
          <w:lang w:eastAsia="pl-PL"/>
        </w:rPr>
      </w:pPr>
      <w:r w:rsidRPr="006A4042">
        <w:rPr>
          <w:rFonts w:eastAsia="Calibri" w:cstheme="minorHAnsi"/>
          <w:sz w:val="24"/>
          <w:lang w:eastAsia="pl-P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r>
        <w:rPr>
          <w:rFonts w:eastAsia="Calibri" w:cstheme="minorHAnsi"/>
          <w:sz w:val="24"/>
          <w:lang w:eastAsia="pl-PL"/>
        </w:rPr>
        <w:br/>
      </w:r>
      <w:r w:rsidRPr="006A4042">
        <w:rPr>
          <w:rFonts w:eastAsia="Calibri" w:cstheme="minorHAnsi"/>
          <w:sz w:val="24"/>
          <w:lang w:eastAsia="pl-PL"/>
        </w:rPr>
        <w:t xml:space="preserve">(-ami)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w:t>
      </w:r>
      <w:r>
        <w:rPr>
          <w:rFonts w:eastAsia="Calibri" w:cstheme="minorHAnsi"/>
          <w:sz w:val="24"/>
          <w:lang w:eastAsia="pl-PL"/>
        </w:rPr>
        <w:br/>
      </w:r>
      <w:r w:rsidRPr="006A4042">
        <w:rPr>
          <w:rFonts w:eastAsia="Calibri" w:cstheme="minorHAnsi"/>
          <w:sz w:val="24"/>
          <w:lang w:eastAsia="pl-PL"/>
        </w:rPr>
        <w:t>z sieci energetycznej (za wyjątkiem „odbierania” z sieci nadwyżki, np. uzyskanej w miesiącach letnich). Inwestycje muszą przyczyniać się do zmniejszenia emisji CO</w:t>
      </w:r>
      <w:r w:rsidRPr="006A4042">
        <w:rPr>
          <w:rFonts w:eastAsia="Calibri" w:cstheme="minorHAnsi"/>
          <w:sz w:val="24"/>
          <w:vertAlign w:val="subscript"/>
          <w:lang w:eastAsia="pl-PL"/>
        </w:rPr>
        <w:t>2</w:t>
      </w:r>
      <w:r w:rsidRPr="006A4042">
        <w:rPr>
          <w:rFonts w:eastAsia="Calibri" w:cstheme="minorHAnsi"/>
          <w:sz w:val="24"/>
          <w:lang w:eastAsia="pl-P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26629E70" w14:textId="77777777" w:rsidR="006A4042" w:rsidRPr="006A4042" w:rsidRDefault="006A4042" w:rsidP="00AC14BD">
      <w:pPr>
        <w:numPr>
          <w:ilvl w:val="1"/>
          <w:numId w:val="27"/>
        </w:numPr>
        <w:spacing w:after="0" w:line="240" w:lineRule="auto"/>
        <w:ind w:left="741"/>
        <w:contextualSpacing/>
        <w:rPr>
          <w:rFonts w:eastAsia="Calibri" w:cstheme="minorHAnsi"/>
          <w:sz w:val="24"/>
          <w:lang w:eastAsia="pl-PL"/>
        </w:rPr>
      </w:pPr>
      <w:r w:rsidRPr="006A4042">
        <w:rPr>
          <w:rFonts w:eastAsia="Calibri" w:cstheme="minorHAnsi"/>
          <w:sz w:val="24"/>
          <w:lang w:eastAsia="pl-PL"/>
        </w:rPr>
        <w:t xml:space="preserve">modernizacja przyłącza do sieci ciepłowniczej; </w:t>
      </w:r>
    </w:p>
    <w:p w14:paraId="088C8C00" w14:textId="77777777" w:rsidR="00A05FE7" w:rsidRDefault="006A4042" w:rsidP="00A05FE7">
      <w:pPr>
        <w:numPr>
          <w:ilvl w:val="1"/>
          <w:numId w:val="27"/>
        </w:numPr>
        <w:spacing w:after="0" w:line="240" w:lineRule="auto"/>
        <w:ind w:left="741"/>
        <w:contextualSpacing/>
        <w:rPr>
          <w:rFonts w:eastAsia="Calibri" w:cstheme="minorHAnsi"/>
          <w:sz w:val="24"/>
          <w:lang w:eastAsia="pl-PL"/>
        </w:rPr>
      </w:pPr>
      <w:r w:rsidRPr="006A4042">
        <w:rPr>
          <w:rFonts w:eastAsia="Calibri" w:cstheme="minorHAnsi"/>
          <w:sz w:val="24"/>
          <w:lang w:eastAsia="pl-PL"/>
        </w:rPr>
        <w:lastRenderedPageBreak/>
        <w:t xml:space="preserve">modernizacji systemów wentylacji (w tym z odzyskiem ciepła),  modernizacji i/lub instalacji systemów klimatyzacji; </w:t>
      </w:r>
    </w:p>
    <w:p w14:paraId="2E165F73" w14:textId="3F039C36" w:rsidR="006A4042" w:rsidRPr="00A05FE7" w:rsidRDefault="006A4042" w:rsidP="00A05FE7">
      <w:pPr>
        <w:numPr>
          <w:ilvl w:val="1"/>
          <w:numId w:val="27"/>
        </w:numPr>
        <w:spacing w:after="0" w:line="240" w:lineRule="auto"/>
        <w:ind w:left="741"/>
        <w:contextualSpacing/>
        <w:rPr>
          <w:rFonts w:eastAsia="Calibri" w:cstheme="minorHAnsi"/>
          <w:sz w:val="24"/>
          <w:lang w:eastAsia="pl-PL"/>
        </w:rPr>
      </w:pPr>
      <w:r w:rsidRPr="00A05FE7">
        <w:rPr>
          <w:rFonts w:eastAsia="Calibri" w:cstheme="minorHAnsi"/>
          <w:sz w:val="24"/>
          <w:lang w:eastAsia="pl-P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6A4042">
        <w:rPr>
          <w:rFonts w:eastAsia="Calibri" w:cstheme="minorHAnsi"/>
          <w:sz w:val="24"/>
          <w:vertAlign w:val="superscript"/>
          <w:lang w:eastAsia="pl-PL"/>
        </w:rPr>
        <w:footnoteReference w:id="1"/>
      </w:r>
      <w:r w:rsidRPr="00A05FE7">
        <w:rPr>
          <w:rFonts w:eastAsia="Calibri" w:cstheme="minorHAnsi"/>
          <w:sz w:val="24"/>
          <w:lang w:eastAsia="pl-PL"/>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 lub magazynowanie energii na miejscu (magazyn energii będący częścią instalacji OZE) – jeśli wynika z audytu;</w:t>
      </w:r>
    </w:p>
    <w:p w14:paraId="2B5894F2" w14:textId="77777777" w:rsidR="006A4042" w:rsidRPr="006A4042" w:rsidRDefault="006A4042" w:rsidP="00AC14BD">
      <w:pPr>
        <w:numPr>
          <w:ilvl w:val="1"/>
          <w:numId w:val="27"/>
        </w:numPr>
        <w:spacing w:after="0" w:line="240" w:lineRule="auto"/>
        <w:ind w:left="741"/>
        <w:contextualSpacing/>
        <w:rPr>
          <w:rFonts w:eastAsia="Calibri" w:cstheme="minorHAnsi"/>
          <w:sz w:val="24"/>
          <w:lang w:eastAsia="pl-PL"/>
        </w:rPr>
      </w:pPr>
      <w:r w:rsidRPr="006A4042">
        <w:rPr>
          <w:rFonts w:eastAsia="Calibri" w:cstheme="minorHAnsi"/>
          <w:sz w:val="24"/>
          <w:lang w:eastAsia="pl-P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6A4042">
        <w:rPr>
          <w:rFonts w:eastAsia="Calibri" w:cstheme="minorHAnsi"/>
          <w:b/>
          <w:sz w:val="24"/>
          <w:lang w:eastAsia="pl-PL"/>
        </w:rPr>
        <w:t>tzw. komponent zarządzania energią</w:t>
      </w:r>
      <w:r w:rsidRPr="006A4042">
        <w:rPr>
          <w:rFonts w:eastAsia="Calibri" w:cstheme="minorHAnsi"/>
          <w:sz w:val="24"/>
          <w:lang w:eastAsia="pl-PL"/>
        </w:rPr>
        <w:t>;</w:t>
      </w:r>
    </w:p>
    <w:p w14:paraId="0056DD69" w14:textId="77777777" w:rsidR="006A4042" w:rsidRPr="006A4042" w:rsidRDefault="006A4042" w:rsidP="00AC14BD">
      <w:pPr>
        <w:numPr>
          <w:ilvl w:val="1"/>
          <w:numId w:val="27"/>
        </w:numPr>
        <w:spacing w:after="0" w:line="240" w:lineRule="auto"/>
        <w:ind w:left="741"/>
        <w:contextualSpacing/>
        <w:rPr>
          <w:rFonts w:eastAsia="Calibri" w:cstheme="minorHAnsi"/>
          <w:sz w:val="24"/>
          <w:lang w:eastAsia="pl-PL"/>
        </w:rPr>
      </w:pPr>
      <w:r w:rsidRPr="006A4042">
        <w:rPr>
          <w:rFonts w:eastAsia="Calibri" w:cstheme="minorHAnsi"/>
          <w:sz w:val="24"/>
          <w:lang w:eastAsia="pl-P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Pr="006A4042">
        <w:rPr>
          <w:rFonts w:eastAsia="Calibri" w:cstheme="minorHAnsi"/>
          <w:sz w:val="24"/>
          <w:lang w:eastAsia="pl-PL"/>
        </w:rPr>
        <w:br/>
        <w:t>w instalacjach C.O. i C.W.U – dotyczy to wyposażenia technicznego budynku czyli instalacji i ich elementów, a nie wyposażenia pomieszczeń w urządzenia AGD, RTV itp.)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w:t>
      </w:r>
      <w:r w:rsidRPr="006A4042">
        <w:rPr>
          <w:rFonts w:eastAsia="Times New Roman" w:cstheme="minorHAnsi"/>
          <w:sz w:val="24"/>
          <w:lang w:eastAsia="pl-PL"/>
        </w:rPr>
        <w:t xml:space="preserve">owoinstalowane urządzenia muszą zużywać co najmniej o 25% mniej energii od dotychczasowych. </w:t>
      </w:r>
      <w:r w:rsidRPr="006A4042">
        <w:rPr>
          <w:rFonts w:eastAsia="Calibri" w:cstheme="minorHAnsi"/>
          <w:sz w:val="24"/>
          <w:lang w:eastAsia="pl-PL"/>
        </w:rPr>
        <w:t>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1F78C24A" w14:textId="77777777" w:rsidR="006A4042" w:rsidRPr="006A4042" w:rsidRDefault="006A4042" w:rsidP="00AC14BD">
      <w:pPr>
        <w:spacing w:after="0" w:line="240" w:lineRule="auto"/>
        <w:ind w:left="381"/>
        <w:rPr>
          <w:rFonts w:eastAsia="Calibri" w:cstheme="minorHAnsi"/>
          <w:sz w:val="24"/>
          <w:lang w:eastAsia="pl-PL"/>
        </w:rPr>
      </w:pPr>
    </w:p>
    <w:p w14:paraId="76C24CC0" w14:textId="77777777" w:rsidR="006A4042" w:rsidRPr="006A4042" w:rsidRDefault="006A4042" w:rsidP="00AC14BD">
      <w:pPr>
        <w:spacing w:after="0" w:line="240" w:lineRule="auto"/>
        <w:ind w:left="32" w:hanging="10"/>
        <w:rPr>
          <w:rFonts w:eastAsia="Calibri" w:cstheme="minorHAnsi"/>
          <w:sz w:val="24"/>
          <w:szCs w:val="24"/>
          <w:lang w:eastAsia="pl-PL"/>
        </w:rPr>
      </w:pPr>
      <w:r w:rsidRPr="006A4042">
        <w:rPr>
          <w:rFonts w:eastAsia="Calibri" w:cstheme="minorHAnsi"/>
          <w:b/>
          <w:sz w:val="24"/>
          <w:szCs w:val="24"/>
          <w:lang w:eastAsia="pl-PL"/>
        </w:rPr>
        <w:t xml:space="preserve">Modernizacja kompleksowa oznacza, że każdy projekt powinien zawierać co najmniej komponent termomodernizacji oraz zarządzania energią (chyba, że system ten już istnieje </w:t>
      </w:r>
      <w:r w:rsidRPr="006A4042">
        <w:rPr>
          <w:rFonts w:eastAsia="Calibri" w:cstheme="minorHAnsi"/>
          <w:b/>
          <w:sz w:val="24"/>
          <w:szCs w:val="24"/>
          <w:lang w:eastAsia="pl-PL"/>
        </w:rPr>
        <w:br/>
        <w:t>i nie ma potrzeby rozwijania go).</w:t>
      </w:r>
      <w:r w:rsidRPr="006A4042">
        <w:rPr>
          <w:rFonts w:eastAsia="Calibri" w:cstheme="minorHAnsi"/>
          <w:sz w:val="24"/>
          <w:szCs w:val="24"/>
          <w:lang w:eastAsia="pl-PL"/>
        </w:rPr>
        <w:t xml:space="preserve"> Ponieważ poprawne funkcjonowanie nowoczesnych systemów ogrzewania / chłodzenia wymaga świadomego ich użytkowania i często zmiany dotychczasowych zachowań, </w:t>
      </w:r>
      <w:r w:rsidRPr="006A4042">
        <w:rPr>
          <w:rFonts w:eastAsia="Calibri" w:cstheme="minorHAnsi"/>
          <w:b/>
          <w:sz w:val="24"/>
          <w:szCs w:val="24"/>
          <w:lang w:eastAsia="pl-PL"/>
        </w:rPr>
        <w:t>projekty powinny obejmować również element edukacyjny użytkowników docelowych.</w:t>
      </w:r>
      <w:r w:rsidRPr="006A4042">
        <w:rPr>
          <w:rFonts w:eastAsia="Calibri" w:cstheme="minorHAnsi"/>
          <w:sz w:val="24"/>
          <w:szCs w:val="24"/>
          <w:lang w:eastAsia="pl-PL"/>
        </w:rPr>
        <w:t xml:space="preserve"> Nie powinien on się jednak ograniczać wyłącznie do technicznej instrukcji obsługi urządzeń (która powinna być zapewniona) ale powinien również odnieść się </w:t>
      </w:r>
      <w:r w:rsidRPr="006A4042">
        <w:rPr>
          <w:rFonts w:eastAsia="Calibri" w:cstheme="minorHAnsi"/>
          <w:sz w:val="24"/>
          <w:szCs w:val="24"/>
          <w:lang w:eastAsia="pl-PL"/>
        </w:rPr>
        <w:lastRenderedPageBreak/>
        <w:t>do szerszego kontekstu projektu, wskazując na jego walor ekologiczny – tzw. komponent edukacyjny.</w:t>
      </w:r>
    </w:p>
    <w:p w14:paraId="17074F00" w14:textId="77777777" w:rsidR="006A4042" w:rsidRPr="006A4042" w:rsidRDefault="006A4042" w:rsidP="00AC14BD">
      <w:pPr>
        <w:spacing w:after="0" w:line="240" w:lineRule="auto"/>
        <w:ind w:left="32" w:hanging="10"/>
        <w:rPr>
          <w:rFonts w:eastAsia="Calibri" w:cstheme="minorHAnsi"/>
          <w:bCs/>
          <w:sz w:val="24"/>
          <w:szCs w:val="24"/>
          <w:highlight w:val="red"/>
          <w:lang w:eastAsia="pl-PL"/>
        </w:rPr>
      </w:pPr>
    </w:p>
    <w:p w14:paraId="0E6E602F" w14:textId="77777777" w:rsidR="006A4042" w:rsidRPr="006A4042" w:rsidRDefault="006A4042" w:rsidP="00AC14BD">
      <w:pPr>
        <w:spacing w:after="0" w:line="240" w:lineRule="auto"/>
        <w:ind w:left="32" w:hanging="10"/>
        <w:rPr>
          <w:rFonts w:eastAsia="Calibri" w:cstheme="minorHAnsi"/>
          <w:bCs/>
          <w:sz w:val="24"/>
          <w:szCs w:val="24"/>
          <w:lang w:eastAsia="pl-PL"/>
        </w:rPr>
      </w:pPr>
      <w:r w:rsidRPr="006A4042">
        <w:rPr>
          <w:rFonts w:eastAsia="Calibri" w:cstheme="minorHAnsi"/>
          <w:bCs/>
          <w:sz w:val="24"/>
          <w:szCs w:val="24"/>
          <w:lang w:eastAsia="pl-PL"/>
        </w:rPr>
        <w:t xml:space="preserve">Komponent edukacyjny nie polega na finansowaniu dedykowanych szkoleń. Nie oznacza to instruktażu w zakresie całościowej obsługi urządzeń grzejnych osób odpowiedzialnych </w:t>
      </w:r>
      <w:r w:rsidRPr="006A4042">
        <w:rPr>
          <w:rFonts w:eastAsia="Calibri" w:cstheme="minorHAnsi"/>
          <w:bCs/>
          <w:sz w:val="24"/>
          <w:szCs w:val="24"/>
          <w:lang w:eastAsia="pl-PL"/>
        </w:rPr>
        <w:br/>
        <w:t>w budynku za ogrzewanie (co powinno być zapewnione przez dostawcę / instalatora urządzeń) lecz instruktaż osób korzystających z budynku w ramach codziennych zajęć w zakresie zasad wietrzenia, używania zaworów termostatycznych czy zachowań w przypadku zastosowania wentylacji mechanicznej (np. uświadomienie użytkownikom, że na czas wietrzenia pomieszczeń należy zamknąć zawory termostatyczne). Należy przy tym wskazać szerszy kontekst takich zachowań, związany ze świadomym oszczędzaniem energii. Płatne szkolenia są niekwalifikowalne.</w:t>
      </w:r>
    </w:p>
    <w:p w14:paraId="3B6CB2DB" w14:textId="77777777" w:rsidR="006A4042" w:rsidRPr="006A4042" w:rsidRDefault="006A4042" w:rsidP="00AC14BD">
      <w:pPr>
        <w:spacing w:after="0" w:line="240" w:lineRule="auto"/>
        <w:ind w:left="32" w:hanging="10"/>
        <w:rPr>
          <w:rFonts w:eastAsia="Calibri" w:cstheme="minorHAnsi"/>
          <w:bCs/>
          <w:sz w:val="24"/>
          <w:szCs w:val="24"/>
          <w:lang w:eastAsia="pl-PL"/>
        </w:rPr>
      </w:pPr>
    </w:p>
    <w:p w14:paraId="541655D9" w14:textId="77777777" w:rsidR="006A4042" w:rsidRPr="006A4042" w:rsidRDefault="006A4042" w:rsidP="00AC14BD">
      <w:pPr>
        <w:spacing w:after="0" w:line="240" w:lineRule="auto"/>
        <w:ind w:left="32" w:hanging="10"/>
        <w:rPr>
          <w:rFonts w:eastAsia="Calibri" w:cstheme="minorHAnsi"/>
          <w:bCs/>
          <w:sz w:val="24"/>
          <w:szCs w:val="24"/>
          <w:lang w:eastAsia="pl-PL"/>
        </w:rPr>
      </w:pPr>
      <w:r w:rsidRPr="006A4042">
        <w:rPr>
          <w:rFonts w:eastAsia="Calibri" w:cstheme="minorHAnsi"/>
          <w:bCs/>
          <w:sz w:val="24"/>
          <w:szCs w:val="24"/>
          <w:lang w:eastAsia="pl-PL"/>
        </w:rPr>
        <w:t xml:space="preserve">W przypadku wymiany źródła ciepła należy spełnić wymogi opisane w kryterium </w:t>
      </w:r>
      <w:r w:rsidRPr="006A4042">
        <w:rPr>
          <w:rFonts w:eastAsia="Calibri" w:cstheme="minorHAnsi"/>
          <w:b/>
          <w:sz w:val="24"/>
          <w:szCs w:val="24"/>
          <w:lang w:eastAsia="pl-PL"/>
        </w:rPr>
        <w:t>Wymiana źródła ciepła,</w:t>
      </w:r>
      <w:r w:rsidRPr="006A4042">
        <w:rPr>
          <w:rFonts w:eastAsia="Calibri" w:cstheme="minorHAnsi"/>
          <w:bCs/>
          <w:sz w:val="24"/>
          <w:szCs w:val="24"/>
          <w:lang w:eastAsia="pl-PL"/>
        </w:rPr>
        <w:t xml:space="preserve"> w szczególności dotyczące wymagań ekoprojektu. Na etapie składania wniosku wymagane jest złożenie oświadczenia o zapewnieniu spełnienia powyższego wymogu w czasie realizacji projektu.</w:t>
      </w:r>
    </w:p>
    <w:p w14:paraId="77E83AF3" w14:textId="77777777" w:rsidR="006A4042" w:rsidRPr="006A4042" w:rsidRDefault="006A4042" w:rsidP="00AC14BD">
      <w:pPr>
        <w:spacing w:after="0" w:line="240" w:lineRule="auto"/>
        <w:ind w:left="32" w:hanging="10"/>
        <w:rPr>
          <w:rFonts w:eastAsia="Calibri" w:cstheme="minorHAnsi"/>
          <w:bCs/>
          <w:sz w:val="24"/>
          <w:szCs w:val="24"/>
          <w:lang w:eastAsia="pl-PL"/>
        </w:rPr>
      </w:pPr>
    </w:p>
    <w:p w14:paraId="232A634E" w14:textId="77777777" w:rsidR="006A4042" w:rsidRPr="006A4042" w:rsidRDefault="006A4042" w:rsidP="00AC14BD">
      <w:pPr>
        <w:spacing w:after="0" w:line="240" w:lineRule="auto"/>
        <w:ind w:left="32" w:hanging="10"/>
        <w:rPr>
          <w:rFonts w:eastAsia="Calibri" w:cstheme="minorHAnsi"/>
          <w:b/>
          <w:sz w:val="28"/>
          <w:szCs w:val="24"/>
          <w:lang w:eastAsia="pl-PL"/>
        </w:rPr>
      </w:pPr>
      <w:bookmarkStart w:id="6" w:name="_Hlk57368124"/>
      <w:r w:rsidRPr="006A4042">
        <w:rPr>
          <w:rFonts w:eastAsia="Calibri" w:cstheme="minorHAnsi"/>
          <w:b/>
          <w:sz w:val="24"/>
          <w:szCs w:val="24"/>
          <w:lang w:eastAsia="pl-PL"/>
        </w:rPr>
        <w:t>Szczegółowe wymogi dot. projektu i jego elementów mogą wynikać z Kryteriów wyboru projektu,  których wyciąg stanowi załącznik nr 1 do niniejszego regulaminu i z którym należy się bezwzględnie zapoznać.</w:t>
      </w:r>
    </w:p>
    <w:bookmarkEnd w:id="6"/>
    <w:p w14:paraId="2C3077E3" w14:textId="77777777" w:rsidR="006A4042" w:rsidRPr="006A4042" w:rsidRDefault="006A4042" w:rsidP="00AC14BD">
      <w:pPr>
        <w:spacing w:after="0" w:line="240" w:lineRule="auto"/>
        <w:ind w:left="523" w:hanging="10"/>
        <w:rPr>
          <w:rFonts w:eastAsia="Calibri" w:cstheme="minorHAnsi"/>
          <w:sz w:val="28"/>
          <w:szCs w:val="24"/>
          <w:lang w:eastAsia="pl-PL"/>
        </w:rPr>
      </w:pPr>
    </w:p>
    <w:p w14:paraId="5A73FD0E" w14:textId="77777777" w:rsidR="006A4042" w:rsidRPr="006A4042" w:rsidRDefault="006A4042" w:rsidP="00AC14BD">
      <w:pPr>
        <w:spacing w:after="4" w:line="240" w:lineRule="auto"/>
        <w:ind w:left="32" w:hanging="10"/>
        <w:rPr>
          <w:rFonts w:eastAsia="Calibri" w:cstheme="minorHAnsi"/>
          <w:b/>
          <w:bCs/>
          <w:sz w:val="28"/>
          <w:szCs w:val="24"/>
          <w:lang w:eastAsia="pl-PL"/>
        </w:rPr>
      </w:pPr>
      <w:r w:rsidRPr="006A4042">
        <w:rPr>
          <w:rFonts w:eastAsia="Calibri" w:cstheme="minorHAnsi"/>
          <w:b/>
          <w:bCs/>
          <w:sz w:val="24"/>
          <w:szCs w:val="24"/>
          <w:lang w:eastAsia="pl-PL"/>
        </w:rPr>
        <w:t xml:space="preserve"> W projekcie </w:t>
      </w:r>
      <w:r w:rsidRPr="006A4042">
        <w:rPr>
          <w:rFonts w:eastAsia="Calibri" w:cstheme="minorHAnsi"/>
          <w:b/>
          <w:bCs/>
          <w:sz w:val="24"/>
          <w:szCs w:val="24"/>
          <w:u w:val="single"/>
          <w:lang w:eastAsia="pl-PL"/>
        </w:rPr>
        <w:t>nie można kwalifikować wydatków nie służących bezpośrednio poprawie efektywności energetycznej w budynku</w:t>
      </w:r>
      <w:r w:rsidRPr="006A4042">
        <w:rPr>
          <w:rFonts w:eastAsia="Calibri" w:cstheme="minorHAnsi"/>
          <w:b/>
          <w:bCs/>
          <w:sz w:val="24"/>
          <w:szCs w:val="24"/>
          <w:lang w:eastAsia="pl-PL"/>
        </w:rPr>
        <w:t xml:space="preserve"> (nie wynikających z audytu), np. zmiana układu pomieszczeń, wyposażenie pomieszczeń w meble, montaż urządzeń sanitarnych, remont klatki schodowej, wykończenie pomieszczeń. Wydatek na audyt jest wydatkiem kwalifikowalnym </w:t>
      </w:r>
      <w:r w:rsidRPr="006A4042">
        <w:rPr>
          <w:rFonts w:eastAsia="Calibri" w:cstheme="minorHAnsi"/>
          <w:sz w:val="24"/>
          <w:szCs w:val="24"/>
          <w:lang w:eastAsia="pl-PL"/>
        </w:rPr>
        <w:t xml:space="preserve">za wyjątkiem </w:t>
      </w:r>
      <w:r w:rsidRPr="006A4042">
        <w:rPr>
          <w:rFonts w:eastAsia="Times New Roman" w:cstheme="minorHAnsi"/>
          <w:sz w:val="24"/>
          <w:lang w:eastAsia="pl-PL"/>
        </w:rPr>
        <w:t>audytów sporządzonych (zaktualizowanych) wcześniej niż na dwa lata przed rokiem ogłoszenia konkursu.</w:t>
      </w:r>
    </w:p>
    <w:p w14:paraId="2EBFE7C4" w14:textId="77777777" w:rsidR="006A4042" w:rsidRPr="006A4042" w:rsidRDefault="006A4042" w:rsidP="00AC14BD">
      <w:pPr>
        <w:spacing w:before="240" w:after="4" w:line="240" w:lineRule="auto"/>
        <w:ind w:left="32" w:hanging="10"/>
        <w:rPr>
          <w:rFonts w:eastAsia="Calibri" w:cstheme="minorHAnsi"/>
          <w:sz w:val="28"/>
          <w:szCs w:val="24"/>
          <w:lang w:eastAsia="pl-PL"/>
        </w:rPr>
      </w:pPr>
      <w:r w:rsidRPr="006A4042">
        <w:rPr>
          <w:rFonts w:eastAsia="Calibri" w:cstheme="minorHAnsi"/>
          <w:sz w:val="24"/>
          <w:szCs w:val="24"/>
          <w:u w:val="single"/>
          <w:lang w:eastAsia="pl-PL"/>
        </w:rPr>
        <w:t>Wyjątek stanowią</w:t>
      </w:r>
      <w:r w:rsidRPr="006A4042">
        <w:rPr>
          <w:rFonts w:eastAsia="Calibri" w:cstheme="minorHAnsi"/>
          <w:sz w:val="24"/>
          <w:szCs w:val="24"/>
          <w:lang w:eastAsia="pl-PL"/>
        </w:rPr>
        <w:t xml:space="preserve"> wydatki na prace niezbędne do poprawy efektywności ale bezpośrednio z nią nie związane, bez których nie da się skutecznie zrealizować prac bezpośrednio związanych </w:t>
      </w:r>
      <w:r w:rsidRPr="006A4042">
        <w:rPr>
          <w:rFonts w:eastAsia="Calibri" w:cstheme="minorHAnsi"/>
          <w:sz w:val="24"/>
          <w:szCs w:val="24"/>
          <w:lang w:eastAsia="pl-PL"/>
        </w:rPr>
        <w:br/>
        <w:t xml:space="preserve">z poprawą efektywności, np. osuszenie ścian, naprawa i uzupełnienie ubytków przegrody przed zamocowaniem izolacji itp. oraz prace odtworzeniowe. Dopuszcza się również ewentualne sfinansowanie kosztów czasowego użytkowania pomieszczeń zastępczych w związku </w:t>
      </w:r>
      <w:r w:rsidRPr="006A4042">
        <w:rPr>
          <w:rFonts w:eastAsia="Calibri" w:cstheme="minorHAnsi"/>
          <w:sz w:val="24"/>
          <w:szCs w:val="24"/>
          <w:lang w:eastAsia="pl-PL"/>
        </w:rPr>
        <w:br/>
        <w:t xml:space="preserve">z koniecznością realizacji działalności ratunkowej GOPR (np. najem, dzierżawa ale nie zakup). </w:t>
      </w:r>
    </w:p>
    <w:p w14:paraId="132B1057" w14:textId="77777777" w:rsidR="006A4042" w:rsidRPr="006A4042" w:rsidRDefault="006A4042" w:rsidP="00AC14BD">
      <w:pPr>
        <w:spacing w:before="240" w:after="4" w:line="240" w:lineRule="auto"/>
        <w:ind w:left="32" w:hanging="10"/>
        <w:rPr>
          <w:rFonts w:eastAsia="Calibri" w:cstheme="minorHAnsi"/>
          <w:sz w:val="24"/>
          <w:szCs w:val="24"/>
          <w:lang w:eastAsia="pl-PL"/>
        </w:rPr>
      </w:pPr>
      <w:r w:rsidRPr="006A4042">
        <w:rPr>
          <w:rFonts w:eastAsia="Calibri" w:cstheme="minorHAnsi"/>
          <w:sz w:val="24"/>
          <w:szCs w:val="24"/>
          <w:u w:val="single"/>
          <w:lang w:eastAsia="pl-PL"/>
        </w:rPr>
        <w:t>Drugi wyjątek</w:t>
      </w:r>
      <w:r w:rsidRPr="006A4042">
        <w:rPr>
          <w:rFonts w:eastAsia="Calibri" w:cstheme="minorHAnsi"/>
          <w:sz w:val="24"/>
          <w:szCs w:val="24"/>
          <w:lang w:eastAsia="pl-PL"/>
        </w:rPr>
        <w:t xml:space="preserve"> dotyczy usprawnień na rzecz osób z niepełnosprawnościami, związanych </w:t>
      </w:r>
      <w:r w:rsidRPr="006A4042">
        <w:rPr>
          <w:rFonts w:eastAsia="Calibri" w:cstheme="minorHAnsi"/>
          <w:sz w:val="24"/>
          <w:szCs w:val="24"/>
          <w:lang w:eastAsia="pl-PL"/>
        </w:rPr>
        <w:br/>
        <w:t xml:space="preserve">z realizacją koncepcji uniwersalnego projektowania, o której mowa w </w:t>
      </w:r>
      <w:r w:rsidRPr="006A4042">
        <w:rPr>
          <w:rFonts w:eastAsia="Calibri" w:cstheme="minorHAnsi"/>
          <w:i/>
          <w:sz w:val="24"/>
          <w:szCs w:val="24"/>
          <w:lang w:eastAsia="pl-PL"/>
        </w:rPr>
        <w:t xml:space="preserve">Wytycznych w zakresie realizacji zasady równości szans i niedyskryminacji, w tym dostępności dla osób </w:t>
      </w:r>
      <w:r w:rsidRPr="006A4042">
        <w:rPr>
          <w:rFonts w:eastAsia="Calibri" w:cstheme="minorHAnsi"/>
          <w:i/>
          <w:sz w:val="24"/>
          <w:szCs w:val="24"/>
          <w:lang w:eastAsia="pl-PL"/>
        </w:rPr>
        <w:br/>
        <w:t>z niepełnosprawnościami oraz zasady równości szans kobiet i mężczyzn w ramach funduszy unijnych na lata 2014-2020</w:t>
      </w:r>
      <w:r w:rsidRPr="006A4042">
        <w:rPr>
          <w:rFonts w:eastAsia="Calibri" w:cstheme="minorHAnsi"/>
          <w:sz w:val="24"/>
          <w:szCs w:val="24"/>
          <w:lang w:eastAsia="pl-PL"/>
        </w:rPr>
        <w:t xml:space="preserve">,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w:t>
      </w:r>
      <w:bookmarkStart w:id="7" w:name="_Hlk57366558"/>
      <w:r w:rsidRPr="006A4042">
        <w:rPr>
          <w:rFonts w:eastAsia="Calibri" w:cstheme="minorHAnsi"/>
          <w:sz w:val="24"/>
          <w:szCs w:val="24"/>
          <w:lang w:eastAsia="pl-PL"/>
        </w:rPr>
        <w:t xml:space="preserve">(jak np. prace poza budynkiem, nie </w:t>
      </w:r>
      <w:r w:rsidRPr="006A4042">
        <w:rPr>
          <w:rFonts w:eastAsia="Calibri" w:cstheme="minorHAnsi"/>
          <w:sz w:val="24"/>
          <w:szCs w:val="24"/>
          <w:lang w:eastAsia="pl-PL"/>
        </w:rPr>
        <w:lastRenderedPageBreak/>
        <w:t xml:space="preserve">związane bezpośrednio z likwidacją barier architektonicznych przy wejściu do budynku oraz </w:t>
      </w:r>
      <w:r w:rsidRPr="006A4042">
        <w:rPr>
          <w:rFonts w:eastAsia="Calibri" w:cstheme="minorHAnsi"/>
          <w:sz w:val="24"/>
          <w:szCs w:val="24"/>
          <w:lang w:eastAsia="pl-PL"/>
        </w:rPr>
        <w:br/>
        <w:t xml:space="preserve">w jego wnętrzu, np. przebudowa dojazdów, parkingów, chodników). Należy pamiętać </w:t>
      </w:r>
      <w:r w:rsidRPr="006A4042">
        <w:rPr>
          <w:rFonts w:eastAsia="Calibri" w:cstheme="minorHAnsi"/>
          <w:sz w:val="24"/>
          <w:szCs w:val="24"/>
          <w:lang w:eastAsia="pl-PL"/>
        </w:rPr>
        <w:br/>
        <w:t>o zastosowaniu odpowiedniego wskaźnika produktu / rezultatu.</w:t>
      </w:r>
    </w:p>
    <w:p w14:paraId="0D2E2F45" w14:textId="77777777" w:rsidR="006A4042" w:rsidRPr="006A4042" w:rsidRDefault="006A4042" w:rsidP="00AC14BD">
      <w:pPr>
        <w:autoSpaceDE w:val="0"/>
        <w:autoSpaceDN w:val="0"/>
        <w:adjustRightInd w:val="0"/>
        <w:spacing w:before="240" w:after="0" w:line="240" w:lineRule="auto"/>
        <w:rPr>
          <w:rFonts w:eastAsia="Calibri" w:cstheme="minorHAnsi"/>
          <w:sz w:val="24"/>
          <w:szCs w:val="24"/>
        </w:rPr>
      </w:pPr>
      <w:bookmarkStart w:id="8" w:name="_Hlk57369192"/>
      <w:bookmarkEnd w:id="7"/>
      <w:r w:rsidRPr="006A4042">
        <w:rPr>
          <w:rFonts w:eastAsia="Calibri" w:cstheme="minorHAnsi"/>
          <w:b/>
          <w:bCs/>
          <w:sz w:val="24"/>
          <w:szCs w:val="24"/>
        </w:rPr>
        <w:t>Kwalifikowalne mogą być wydatki związane z pełnieniem przez GOPR zadań ratowniczych</w:t>
      </w:r>
      <w:r w:rsidRPr="006A4042">
        <w:rPr>
          <w:rFonts w:eastAsia="Calibri" w:cstheme="minorHAnsi"/>
          <w:sz w:val="24"/>
          <w:szCs w:val="24"/>
        </w:rPr>
        <w:t xml:space="preserve">. </w:t>
      </w:r>
      <w:r w:rsidRPr="006A4042">
        <w:rPr>
          <w:rFonts w:eastAsia="Calibri" w:cstheme="minorHAnsi"/>
          <w:sz w:val="24"/>
          <w:szCs w:val="24"/>
        </w:rPr>
        <w:br/>
        <w:t xml:space="preserve">W przypadku budynków o podwójnej funkcji, np. współdzielonych przez GOPR i inną instytucję albo wykorzystywanie przez GOPR części budynku na inne cele, nie związane bezpośrednio </w:t>
      </w:r>
      <w:r w:rsidRPr="006A4042">
        <w:rPr>
          <w:rFonts w:eastAsia="Calibri" w:cstheme="minorHAnsi"/>
          <w:sz w:val="24"/>
          <w:szCs w:val="24"/>
        </w:rPr>
        <w:br/>
        <w:t xml:space="preserve">z ratownictwem, kwalifikowalne są wydatki przypadające wyłącznie na część związaną </w:t>
      </w:r>
      <w:r w:rsidRPr="006A4042">
        <w:rPr>
          <w:rFonts w:eastAsia="Calibri" w:cstheme="minorHAnsi"/>
          <w:sz w:val="24"/>
          <w:szCs w:val="24"/>
        </w:rPr>
        <w:br/>
        <w:t xml:space="preserve">z ratownictwem (wydatki na część nie związaną z ratownictwem należy wyliczyć proporcją </w:t>
      </w:r>
      <w:r w:rsidRPr="006A4042">
        <w:rPr>
          <w:rFonts w:eastAsia="Calibri" w:cstheme="minorHAnsi"/>
          <w:sz w:val="24"/>
          <w:szCs w:val="24"/>
        </w:rPr>
        <w:br/>
        <w:t xml:space="preserve">w związku z zajmowaną powierzchnią użytkową i przypisać do wydatków niekwalifikowalnych; wyjątek stanowią wydatki na promocję projektu, studium wykonalności, audyt i dokumentację techniczną a także koszty zarządzania, do których nie stosuje się podziału proporcją). </w:t>
      </w:r>
    </w:p>
    <w:p w14:paraId="3FD822A3" w14:textId="77777777" w:rsidR="006A4042" w:rsidRPr="006A4042" w:rsidRDefault="006A4042" w:rsidP="00AC14BD">
      <w:pPr>
        <w:autoSpaceDE w:val="0"/>
        <w:autoSpaceDN w:val="0"/>
        <w:adjustRightInd w:val="0"/>
        <w:spacing w:after="0" w:line="240" w:lineRule="auto"/>
        <w:rPr>
          <w:rFonts w:eastAsia="Calibri" w:cstheme="minorHAnsi"/>
          <w:sz w:val="24"/>
          <w:szCs w:val="24"/>
        </w:rPr>
      </w:pPr>
    </w:p>
    <w:p w14:paraId="61B5A65F" w14:textId="77777777" w:rsidR="006A4042" w:rsidRPr="006A4042" w:rsidRDefault="006A4042" w:rsidP="00AC14BD">
      <w:pPr>
        <w:autoSpaceDE w:val="0"/>
        <w:autoSpaceDN w:val="0"/>
        <w:adjustRightInd w:val="0"/>
        <w:spacing w:after="0" w:line="240" w:lineRule="auto"/>
        <w:rPr>
          <w:rFonts w:eastAsia="SimSun" w:cstheme="minorHAnsi"/>
          <w:color w:val="000000"/>
          <w:kern w:val="3"/>
          <w:sz w:val="24"/>
          <w:szCs w:val="24"/>
          <w:lang w:eastAsia="pl-PL"/>
        </w:rPr>
      </w:pPr>
      <w:r w:rsidRPr="006A4042">
        <w:rPr>
          <w:rFonts w:eastAsia="Calibri" w:cstheme="minorHAnsi"/>
          <w:sz w:val="24"/>
          <w:szCs w:val="24"/>
        </w:rPr>
        <w:t xml:space="preserve">Jeśli budynek lub jego część wykorzystywany jest zarówno do celów związanych z działalnością ratowniczą, jak i działalnością o charakterze gospodarczym, możliwe jest kwalifikowanie takich wydatków i finansowanie ich zgodnie z zasadami pomocy publicznej (zgodnie z p. 10 Pomoc publiczna i pomoc de minimis). Należy przy tym pamiętać, że </w:t>
      </w:r>
      <w:r w:rsidRPr="006A4042">
        <w:rPr>
          <w:rFonts w:eastAsia="SimSun" w:cstheme="minorHAnsi"/>
          <w:color w:val="000000"/>
          <w:kern w:val="3"/>
          <w:sz w:val="24"/>
          <w:szCs w:val="24"/>
          <w:lang w:eastAsia="pl-PL"/>
        </w:rPr>
        <w:t xml:space="preserve">podatek VAT w stosunku do wydatków, dla których podatek ten </w:t>
      </w:r>
      <w:r w:rsidRPr="006A4042">
        <w:rPr>
          <w:rFonts w:eastAsia="SimSun" w:cstheme="minorHAnsi"/>
          <w:b/>
          <w:bCs/>
          <w:color w:val="000000"/>
          <w:kern w:val="3"/>
          <w:sz w:val="24"/>
          <w:szCs w:val="24"/>
          <w:lang w:eastAsia="pl-PL"/>
        </w:rPr>
        <w:t>odliczany</w:t>
      </w:r>
      <w:r w:rsidRPr="006A4042">
        <w:rPr>
          <w:rFonts w:eastAsia="SimSun" w:cstheme="minorHAnsi"/>
          <w:color w:val="000000"/>
          <w:kern w:val="3"/>
          <w:sz w:val="24"/>
          <w:szCs w:val="24"/>
          <w:lang w:eastAsia="pl-PL"/>
        </w:rPr>
        <w:t xml:space="preserve"> jest częściowo na podstawie art. 86 ust. 2a/art. 90 ust.2 ustawy z dnia 11 marca 2004 r. o podatku od towarów i usług, </w:t>
      </w:r>
      <w:r w:rsidRPr="006A4042">
        <w:rPr>
          <w:rFonts w:eastAsia="SimSun" w:cstheme="minorHAnsi"/>
          <w:b/>
          <w:bCs/>
          <w:color w:val="000000"/>
          <w:kern w:val="3"/>
          <w:sz w:val="24"/>
          <w:szCs w:val="24"/>
          <w:lang w:eastAsia="pl-PL"/>
        </w:rPr>
        <w:t>jest w całości niekwalifikowalny</w:t>
      </w:r>
      <w:r w:rsidRPr="006A4042">
        <w:rPr>
          <w:rFonts w:eastAsia="SimSun" w:cstheme="minorHAnsi"/>
          <w:color w:val="000000"/>
          <w:kern w:val="3"/>
          <w:sz w:val="24"/>
          <w:szCs w:val="24"/>
          <w:lang w:eastAsia="pl-PL"/>
        </w:rPr>
        <w:t xml:space="preserve"> (więcej w pkt 32 – Kwalifikowalność podatku VAT).</w:t>
      </w:r>
    </w:p>
    <w:bookmarkEnd w:id="8"/>
    <w:p w14:paraId="10BC7E94" w14:textId="77777777" w:rsidR="006A4042" w:rsidRPr="006A4042" w:rsidRDefault="006A4042" w:rsidP="00AC14BD">
      <w:pPr>
        <w:spacing w:before="240" w:after="4" w:line="240" w:lineRule="auto"/>
        <w:ind w:left="32" w:hanging="10"/>
        <w:rPr>
          <w:rFonts w:eastAsia="Calibri" w:cstheme="minorHAnsi"/>
          <w:sz w:val="24"/>
          <w:szCs w:val="24"/>
          <w:lang w:eastAsia="pl-PL"/>
        </w:rPr>
      </w:pPr>
      <w:r w:rsidRPr="006A4042">
        <w:rPr>
          <w:rFonts w:eastAsia="Calibri" w:cstheme="minorHAnsi"/>
          <w:sz w:val="24"/>
          <w:szCs w:val="24"/>
          <w:lang w:eastAsia="pl-PL"/>
        </w:rPr>
        <w:t xml:space="preserve">Nie jest możliwa termomodernizacja budynków zdewastowanych i/lub znajdujących się </w:t>
      </w:r>
      <w:r w:rsidRPr="006A4042">
        <w:rPr>
          <w:rFonts w:eastAsia="Calibri" w:cstheme="minorHAnsi"/>
          <w:sz w:val="24"/>
          <w:szCs w:val="24"/>
          <w:lang w:eastAsia="pl-PL"/>
        </w:rPr>
        <w:br/>
        <w:t xml:space="preserve">w stanie technicznym, który uniemożliwia sporządzenie audytu energetycznego zgodnie </w:t>
      </w:r>
      <w:r w:rsidRPr="006A4042">
        <w:rPr>
          <w:rFonts w:eastAsia="Calibri" w:cstheme="minorHAnsi"/>
          <w:sz w:val="24"/>
          <w:szCs w:val="24"/>
          <w:lang w:eastAsia="pl-PL"/>
        </w:rPr>
        <w:br/>
        <w:t>z metodologią wskazaną w:</w:t>
      </w:r>
    </w:p>
    <w:p w14:paraId="2A50B51B" w14:textId="77777777" w:rsidR="006A4042" w:rsidRPr="006A4042" w:rsidRDefault="006A4042" w:rsidP="00AC14BD">
      <w:pPr>
        <w:numPr>
          <w:ilvl w:val="0"/>
          <w:numId w:val="28"/>
        </w:numPr>
        <w:spacing w:before="240" w:after="4" w:line="240" w:lineRule="auto"/>
        <w:contextualSpacing/>
        <w:rPr>
          <w:rFonts w:eastAsia="Calibri" w:cstheme="minorHAnsi"/>
          <w:sz w:val="24"/>
          <w:szCs w:val="24"/>
          <w:lang w:eastAsia="pl-PL"/>
        </w:rPr>
      </w:pPr>
      <w:r w:rsidRPr="006A4042">
        <w:rPr>
          <w:rFonts w:eastAsia="Calibri" w:cstheme="minorHAnsi"/>
          <w:sz w:val="24"/>
          <w:szCs w:val="24"/>
          <w:lang w:eastAsia="pl-PL"/>
        </w:rPr>
        <w:t xml:space="preserve">ustawie z dnia 21 listopada 2008 r. o wspieraniu termomodernizacji i remontów </w:t>
      </w:r>
    </w:p>
    <w:p w14:paraId="75408F44" w14:textId="77777777" w:rsidR="006A4042" w:rsidRPr="006A4042" w:rsidRDefault="006A4042" w:rsidP="00AC14BD">
      <w:pPr>
        <w:numPr>
          <w:ilvl w:val="0"/>
          <w:numId w:val="28"/>
        </w:numPr>
        <w:spacing w:before="240" w:after="4" w:line="240" w:lineRule="auto"/>
        <w:contextualSpacing/>
        <w:rPr>
          <w:rFonts w:eastAsia="Calibri" w:cstheme="minorHAnsi"/>
          <w:sz w:val="28"/>
          <w:szCs w:val="24"/>
          <w:lang w:eastAsia="pl-PL"/>
        </w:rPr>
      </w:pPr>
      <w:r w:rsidRPr="006A4042">
        <w:rPr>
          <w:rFonts w:eastAsia="Calibri" w:cstheme="minorHAnsi"/>
          <w:sz w:val="24"/>
          <w:szCs w:val="24"/>
          <w:lang w:eastAsia="pl-PL"/>
        </w:rPr>
        <w:t>ustawie z dnia 20 maja 2016 r. o efektywności energetycznej jeśli zakres projektu wykracza poza działania termomodernizacyjne i zakłada np. wymianę oświetlenia czy urządzeń elektrycznych.</w:t>
      </w:r>
    </w:p>
    <w:p w14:paraId="48C52853" w14:textId="77777777" w:rsidR="006A4042" w:rsidRPr="006A4042" w:rsidRDefault="006A4042" w:rsidP="00AC14BD">
      <w:pPr>
        <w:autoSpaceDE w:val="0"/>
        <w:autoSpaceDN w:val="0"/>
        <w:adjustRightInd w:val="0"/>
        <w:spacing w:after="0" w:line="240" w:lineRule="auto"/>
        <w:ind w:left="67" w:hanging="10"/>
        <w:rPr>
          <w:rFonts w:eastAsia="Calibri" w:cstheme="minorHAnsi"/>
          <w:sz w:val="24"/>
          <w:lang w:eastAsia="pl-PL"/>
        </w:rPr>
      </w:pPr>
    </w:p>
    <w:p w14:paraId="4EA8E579" w14:textId="77777777" w:rsidR="006A4042" w:rsidRPr="006A4042" w:rsidRDefault="006A4042" w:rsidP="00AC14BD">
      <w:pPr>
        <w:autoSpaceDE w:val="0"/>
        <w:autoSpaceDN w:val="0"/>
        <w:adjustRightInd w:val="0"/>
        <w:spacing w:after="0" w:line="240" w:lineRule="auto"/>
        <w:rPr>
          <w:rFonts w:eastAsia="Calibri" w:cstheme="minorHAnsi"/>
          <w:b/>
          <w:bCs/>
          <w:sz w:val="24"/>
          <w:lang w:eastAsia="pl-PL"/>
        </w:rPr>
      </w:pPr>
      <w:r w:rsidRPr="006A4042">
        <w:rPr>
          <w:rFonts w:eastAsia="Calibri" w:cstheme="minorHAnsi"/>
          <w:b/>
          <w:bCs/>
          <w:sz w:val="24"/>
          <w:lang w:eastAsia="pl-PL"/>
        </w:rPr>
        <w:t xml:space="preserve">Kategoria interwencji (zakres interwencji) dla niniejszego typu projektu: </w:t>
      </w:r>
    </w:p>
    <w:p w14:paraId="40782D52" w14:textId="77777777" w:rsidR="006A4042" w:rsidRPr="006A4042" w:rsidRDefault="006A4042" w:rsidP="00AC14BD">
      <w:pPr>
        <w:autoSpaceDE w:val="0"/>
        <w:autoSpaceDN w:val="0"/>
        <w:adjustRightInd w:val="0"/>
        <w:spacing w:after="0" w:line="240" w:lineRule="auto"/>
        <w:rPr>
          <w:rFonts w:eastAsia="Calibri" w:cstheme="minorHAnsi"/>
          <w:sz w:val="24"/>
          <w:lang w:eastAsia="pl-PL"/>
        </w:rPr>
      </w:pPr>
      <w:r w:rsidRPr="006A4042">
        <w:rPr>
          <w:rFonts w:eastAsia="Calibri" w:cstheme="minorHAnsi"/>
          <w:b/>
          <w:sz w:val="24"/>
          <w:lang w:eastAsia="pl-PL"/>
        </w:rPr>
        <w:t>013 Renowacja infrastruktury publicznej dla celów efektywności energetycznej, projekty demonstracyjne i  środki  wsparcia.</w:t>
      </w:r>
    </w:p>
    <w:p w14:paraId="5D6F7EE0" w14:textId="77777777" w:rsidR="006A4042" w:rsidRPr="006A4042" w:rsidRDefault="006A4042" w:rsidP="00AC14BD">
      <w:pPr>
        <w:autoSpaceDE w:val="0"/>
        <w:autoSpaceDN w:val="0"/>
        <w:adjustRightInd w:val="0"/>
        <w:spacing w:after="0" w:line="240" w:lineRule="auto"/>
        <w:rPr>
          <w:rFonts w:eastAsia="Calibri" w:cstheme="minorHAnsi"/>
          <w:b/>
          <w:bCs/>
          <w:color w:val="FF0000"/>
          <w:sz w:val="24"/>
          <w:szCs w:val="24"/>
        </w:rPr>
      </w:pPr>
    </w:p>
    <w:p w14:paraId="19633A48" w14:textId="77777777" w:rsidR="006A4042" w:rsidRPr="006A4042" w:rsidRDefault="006A4042" w:rsidP="00AC14BD">
      <w:pPr>
        <w:suppressAutoHyphens/>
        <w:autoSpaceDN w:val="0"/>
        <w:spacing w:after="0" w:line="240" w:lineRule="auto"/>
        <w:textAlignment w:val="baseline"/>
        <w:rPr>
          <w:rFonts w:eastAsia="SimSun" w:cstheme="minorHAnsi"/>
          <w:kern w:val="3"/>
          <w:sz w:val="24"/>
          <w:szCs w:val="24"/>
          <w:lang w:eastAsia="pl-PL"/>
        </w:rPr>
      </w:pPr>
      <w:r w:rsidRPr="006A4042">
        <w:rPr>
          <w:rFonts w:eastAsia="SimSun" w:cstheme="minorHAnsi"/>
          <w:kern w:val="3"/>
          <w:sz w:val="24"/>
          <w:szCs w:val="24"/>
          <w:lang w:eastAsia="pl-PL"/>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6A5CD8D3" w14:textId="01C24265" w:rsidR="006A4042" w:rsidRPr="006A4042" w:rsidRDefault="006A4042" w:rsidP="00AC14BD">
      <w:pPr>
        <w:spacing w:before="240" w:line="240" w:lineRule="auto"/>
        <w:rPr>
          <w:rFonts w:eastAsia="Calibri" w:cstheme="minorHAnsi"/>
          <w:sz w:val="24"/>
          <w:szCs w:val="24"/>
        </w:rPr>
      </w:pPr>
      <w:bookmarkStart w:id="9" w:name="_Hlk32926766"/>
      <w:bookmarkEnd w:id="5"/>
      <w:r w:rsidRPr="006A4042">
        <w:rPr>
          <w:rFonts w:eastAsia="Calibri" w:cstheme="minorHAnsi"/>
          <w:sz w:val="24"/>
          <w:szCs w:val="24"/>
        </w:rPr>
        <w:t xml:space="preserve">Co do zasady 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6A4042">
        <w:rPr>
          <w:rFonts w:eastAsia="Calibri" w:cstheme="minorHAnsi"/>
          <w:i/>
          <w:iCs/>
          <w:sz w:val="24"/>
          <w:szCs w:val="24"/>
        </w:rPr>
        <w:t>„</w:t>
      </w:r>
      <w:r w:rsidRPr="006A4042">
        <w:rPr>
          <w:rFonts w:eastAsia="Calibri" w:cstheme="minorHAnsi"/>
          <w:iCs/>
          <w:sz w:val="24"/>
          <w:szCs w:val="24"/>
        </w:rPr>
        <w:t xml:space="preserve">Wytycznych w zakresie realizacji zasady równości szans i niedyskryminacji, w tym dostępności dla osób </w:t>
      </w:r>
      <w:r>
        <w:rPr>
          <w:rFonts w:eastAsia="Calibri" w:cstheme="minorHAnsi"/>
          <w:iCs/>
          <w:sz w:val="24"/>
          <w:szCs w:val="24"/>
        </w:rPr>
        <w:br/>
      </w:r>
      <w:r w:rsidRPr="006A4042">
        <w:rPr>
          <w:rFonts w:eastAsia="Calibri" w:cstheme="minorHAnsi"/>
          <w:iCs/>
          <w:sz w:val="24"/>
          <w:szCs w:val="24"/>
        </w:rPr>
        <w:t xml:space="preserve">z niepełnosprawnościami oraz zasady równości szans kobiet i mężczyzn w ramach funduszy </w:t>
      </w:r>
      <w:r w:rsidRPr="006A4042">
        <w:rPr>
          <w:rFonts w:eastAsia="Calibri" w:cstheme="minorHAnsi"/>
          <w:iCs/>
          <w:sz w:val="24"/>
          <w:szCs w:val="24"/>
        </w:rPr>
        <w:lastRenderedPageBreak/>
        <w:t>unijnych na lata 2014-2020</w:t>
      </w:r>
      <w:r w:rsidRPr="006A4042">
        <w:rPr>
          <w:rFonts w:eastAsia="Calibri" w:cstheme="minorHAnsi"/>
          <w:i/>
          <w:iCs/>
          <w:sz w:val="24"/>
          <w:szCs w:val="24"/>
        </w:rPr>
        <w:t>”</w:t>
      </w:r>
      <w:r w:rsidRPr="006A4042">
        <w:rPr>
          <w:rFonts w:eastAsia="Calibri" w:cstheme="minorHAnsi"/>
          <w:sz w:val="24"/>
          <w:szCs w:val="24"/>
        </w:rPr>
        <w:t xml:space="preserve"> zwłaszcza w zakresie stosowania standardów dostępności dla polityki spójności na lata 2014-2020.</w:t>
      </w:r>
    </w:p>
    <w:p w14:paraId="06F71237" w14:textId="77777777" w:rsidR="006A4042" w:rsidRPr="006A4042" w:rsidRDefault="006A4042" w:rsidP="00AC14BD">
      <w:pPr>
        <w:spacing w:line="240" w:lineRule="auto"/>
        <w:rPr>
          <w:rFonts w:eastAsia="Calibri" w:cstheme="minorHAnsi"/>
          <w:color w:val="FF0000"/>
          <w:sz w:val="24"/>
          <w:szCs w:val="24"/>
        </w:rPr>
      </w:pPr>
      <w:r w:rsidRPr="006A4042">
        <w:rPr>
          <w:rFonts w:eastAsia="Calibri"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F82693F" w14:textId="7213362D" w:rsidR="006A4042" w:rsidRPr="006A4042" w:rsidRDefault="006A4042" w:rsidP="00AC14BD">
      <w:pPr>
        <w:spacing w:line="240" w:lineRule="auto"/>
        <w:rPr>
          <w:rFonts w:eastAsia="Calibri" w:cstheme="minorHAnsi"/>
          <w:sz w:val="24"/>
          <w:szCs w:val="24"/>
        </w:rPr>
      </w:pPr>
      <w:r w:rsidRPr="006A4042">
        <w:rPr>
          <w:rFonts w:eastAsia="Calibri" w:cstheme="minorHAnsi"/>
          <w:sz w:val="24"/>
          <w:szCs w:val="24"/>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w:t>
      </w:r>
      <w:r w:rsidR="00170598">
        <w:rPr>
          <w:rFonts w:eastAsia="Calibri" w:cstheme="minorHAnsi"/>
          <w:sz w:val="24"/>
          <w:szCs w:val="24"/>
        </w:rPr>
        <w:t xml:space="preserve"> </w:t>
      </w:r>
      <w:r w:rsidRPr="006A4042">
        <w:rPr>
          <w:rFonts w:eastAsia="Calibri" w:cstheme="minorHAnsi"/>
          <w:sz w:val="24"/>
          <w:szCs w:val="24"/>
        </w:rPr>
        <w:t xml:space="preserve">z niepełnosprawnościami. </w:t>
      </w:r>
    </w:p>
    <w:p w14:paraId="590C889A" w14:textId="77777777" w:rsidR="006A4042" w:rsidRPr="006A4042" w:rsidRDefault="006A4042" w:rsidP="00AC14BD">
      <w:pPr>
        <w:spacing w:line="240" w:lineRule="auto"/>
        <w:rPr>
          <w:rFonts w:eastAsia="Calibri" w:cstheme="minorHAnsi"/>
          <w:sz w:val="24"/>
          <w:szCs w:val="24"/>
        </w:rPr>
      </w:pPr>
      <w:r w:rsidRPr="006A4042">
        <w:rPr>
          <w:rFonts w:eastAsia="Calibri" w:cstheme="minorHAnsi"/>
          <w:sz w:val="24"/>
          <w:szCs w:val="24"/>
        </w:rPr>
        <w:t xml:space="preserve">Wypełniając wniosek o dofinansowanie, należy zapoznać się z zapisami </w:t>
      </w:r>
      <w:r w:rsidRPr="006A4042">
        <w:rPr>
          <w:rFonts w:eastAsia="Calibri" w:cstheme="minorHAns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6A4042">
        <w:rPr>
          <w:rFonts w:eastAsia="Calibri" w:cstheme="minorHAnsi"/>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Pr="006A4042">
        <w:rPr>
          <w:rFonts w:eastAsia="Calibri" w:cstheme="minorHAnsi"/>
          <w:sz w:val="24"/>
          <w:szCs w:val="24"/>
        </w:rPr>
        <w:br/>
        <w:t xml:space="preserve">w tym z Poradnikiem opublikowanym przez Ministerstwo Inwestycji i Rozwoju </w:t>
      </w:r>
      <w:r w:rsidRPr="006A4042">
        <w:rPr>
          <w:rFonts w:eastAsia="Calibri" w:cstheme="minorHAnsi"/>
          <w:i/>
          <w:iCs/>
          <w:sz w:val="24"/>
          <w:szCs w:val="24"/>
        </w:rPr>
        <w:t>„</w:t>
      </w:r>
      <w:r w:rsidRPr="006A4042">
        <w:rPr>
          <w:rFonts w:eastAsia="Calibri" w:cstheme="minorHAnsi"/>
          <w:iCs/>
          <w:sz w:val="24"/>
          <w:szCs w:val="24"/>
        </w:rPr>
        <w:t xml:space="preserve">Realizacja zasady równości szans i niedyskryminacji, w tym dostępności dla osób </w:t>
      </w:r>
      <w:r w:rsidRPr="006A4042">
        <w:rPr>
          <w:rFonts w:eastAsia="Calibri" w:cstheme="minorHAnsi"/>
          <w:iCs/>
          <w:sz w:val="24"/>
          <w:szCs w:val="24"/>
        </w:rPr>
        <w:br/>
        <w:t>z niepełnosprawnościami</w:t>
      </w:r>
      <w:r w:rsidRPr="006A4042">
        <w:rPr>
          <w:rFonts w:eastAsia="Calibri" w:cstheme="minorHAnsi"/>
          <w:i/>
          <w:iCs/>
          <w:sz w:val="24"/>
          <w:szCs w:val="24"/>
        </w:rPr>
        <w:t>”</w:t>
      </w:r>
      <w:r w:rsidRPr="006A4042">
        <w:rPr>
          <w:rFonts w:eastAsia="Calibri" w:cstheme="minorHAnsi"/>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6A4042">
        <w:rPr>
          <w:rFonts w:eastAsia="Calibri" w:cstheme="minorHAnsi"/>
          <w:i/>
          <w:iCs/>
          <w:sz w:val="24"/>
          <w:szCs w:val="24"/>
        </w:rPr>
        <w:t>„</w:t>
      </w:r>
      <w:r w:rsidRPr="006A4042">
        <w:rPr>
          <w:rFonts w:eastAsia="Calibri" w:cstheme="minorHAnsi"/>
          <w:iCs/>
          <w:sz w:val="24"/>
          <w:szCs w:val="24"/>
        </w:rPr>
        <w:t>Standardach dostępności dla polityki spójności 2014-2020</w:t>
      </w:r>
      <w:r w:rsidRPr="006A4042">
        <w:rPr>
          <w:rFonts w:eastAsia="Calibri" w:cstheme="minorHAnsi"/>
          <w:i/>
          <w:iCs/>
          <w:sz w:val="24"/>
          <w:szCs w:val="24"/>
        </w:rPr>
        <w:t>”</w:t>
      </w:r>
      <w:r w:rsidRPr="006A4042">
        <w:rPr>
          <w:rFonts w:eastAsia="Calibri" w:cstheme="minorHAnsi"/>
          <w:sz w:val="24"/>
          <w:szCs w:val="24"/>
        </w:rPr>
        <w:t xml:space="preserve">,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6A4042">
        <w:rPr>
          <w:rFonts w:eastAsia="Calibri" w:cstheme="minorHAnsi"/>
          <w:i/>
          <w:iCs/>
          <w:sz w:val="24"/>
          <w:szCs w:val="24"/>
        </w:rPr>
        <w:t>„</w:t>
      </w:r>
      <w:r w:rsidRPr="006A4042">
        <w:rPr>
          <w:rFonts w:eastAsia="Calibri" w:cstheme="minorHAnsi"/>
          <w:iCs/>
          <w:sz w:val="24"/>
          <w:szCs w:val="24"/>
        </w:rPr>
        <w:t>Wytycznych w zakresie równości szans i niedyskryminacji, w tym dostępności dla osób z niepełnosprawnościami oraz zasady równości szans kobiet i mężczyzn w ramach funduszy unijnych na lata 2014-2020</w:t>
      </w:r>
      <w:r w:rsidRPr="006A4042">
        <w:rPr>
          <w:rFonts w:eastAsia="Calibri" w:cstheme="minorHAnsi"/>
          <w:i/>
          <w:iCs/>
          <w:sz w:val="24"/>
          <w:szCs w:val="24"/>
        </w:rPr>
        <w:t>”</w:t>
      </w:r>
      <w:r w:rsidRPr="006A4042">
        <w:rPr>
          <w:rFonts w:eastAsia="Calibri" w:cstheme="minorHAnsi"/>
          <w:sz w:val="24"/>
          <w:szCs w:val="24"/>
        </w:rPr>
        <w:t>.</w:t>
      </w:r>
    </w:p>
    <w:p w14:paraId="50E1594E" w14:textId="77777777" w:rsidR="006A4042" w:rsidRPr="006A4042" w:rsidRDefault="006A4042" w:rsidP="00AC14BD">
      <w:pPr>
        <w:spacing w:after="0" w:line="240" w:lineRule="auto"/>
        <w:rPr>
          <w:rFonts w:eastAsia="Calibri" w:cstheme="minorHAnsi"/>
          <w:bCs/>
          <w:sz w:val="24"/>
          <w:szCs w:val="24"/>
          <w:lang w:eastAsia="pl-PL"/>
        </w:rPr>
      </w:pPr>
      <w:r w:rsidRPr="006A4042">
        <w:rPr>
          <w:rFonts w:eastAsia="Calibri" w:cstheme="minorHAnsi"/>
          <w:bCs/>
          <w:sz w:val="24"/>
          <w:szCs w:val="24"/>
          <w:lang w:eastAsia="pl-PL"/>
        </w:rPr>
        <w:t xml:space="preserve">Warunki oraz preferencje w zakresie realizacji projektów szczegółowo określają </w:t>
      </w:r>
      <w:r w:rsidRPr="006A4042">
        <w:rPr>
          <w:rFonts w:eastAsia="Calibri" w:cstheme="minorHAnsi"/>
          <w:bCs/>
          <w:i/>
          <w:iCs/>
          <w:sz w:val="24"/>
          <w:szCs w:val="24"/>
          <w:lang w:eastAsia="pl-PL"/>
        </w:rPr>
        <w:t>„Kryteria wyboru projektów w ramach RPO WD 2014-2020”</w:t>
      </w:r>
      <w:r w:rsidRPr="006A4042">
        <w:rPr>
          <w:rFonts w:eastAsia="Calibri" w:cstheme="minorHAnsi"/>
          <w:bCs/>
          <w:iCs/>
          <w:sz w:val="24"/>
          <w:szCs w:val="24"/>
          <w:lang w:eastAsia="pl-PL"/>
        </w:rPr>
        <w:t xml:space="preserve">, </w:t>
      </w:r>
      <w:r w:rsidRPr="006A4042">
        <w:rPr>
          <w:rFonts w:eastAsia="Calibri" w:cstheme="minorHAnsi"/>
          <w:bCs/>
          <w:sz w:val="24"/>
          <w:szCs w:val="24"/>
          <w:lang w:eastAsia="pl-PL"/>
        </w:rPr>
        <w:t xml:space="preserve">zatwierdzone Uchwałą nr 2/15 Komitetu Monitorującego RPO WD 2014-2020 z dnia 6 maja 2015 r. z późn. zm., zamieszczone na stronie internetowej RPO WD: </w:t>
      </w:r>
      <w:r w:rsidRPr="006A4042">
        <w:rPr>
          <w:rFonts w:eastAsia="Calibri" w:cstheme="minorHAnsi"/>
          <w:bCs/>
          <w:sz w:val="24"/>
          <w:lang w:eastAsia="pl-PL"/>
        </w:rPr>
        <w:t xml:space="preserve">http://rpo.dolnyslask.pl/posiedzenia-i-uchwaly/. </w:t>
      </w:r>
      <w:r w:rsidRPr="006A4042">
        <w:rPr>
          <w:rFonts w:eastAsia="Calibri" w:cstheme="minorHAnsi"/>
          <w:bCs/>
          <w:sz w:val="24"/>
          <w:szCs w:val="24"/>
          <w:lang w:eastAsia="pl-PL"/>
        </w:rPr>
        <w:t>„</w:t>
      </w:r>
      <w:r w:rsidRPr="006A4042">
        <w:rPr>
          <w:rFonts w:eastAsia="Calibri" w:cstheme="minorHAnsi"/>
          <w:bCs/>
          <w:i/>
          <w:sz w:val="24"/>
          <w:szCs w:val="24"/>
          <w:lang w:eastAsia="pl-PL"/>
        </w:rPr>
        <w:t>Wyciąg z Kryteriów wyboru projektów</w:t>
      </w:r>
      <w:r w:rsidRPr="006A4042">
        <w:rPr>
          <w:rFonts w:eastAsia="Calibri" w:cstheme="minorHAnsi"/>
          <w:bCs/>
          <w:sz w:val="24"/>
          <w:szCs w:val="24"/>
          <w:lang w:eastAsia="pl-PL"/>
        </w:rPr>
        <w:t>” obowiązujących dla naboru stanowi Załącznik nr 1 do niniejszego Regulaminu.</w:t>
      </w:r>
    </w:p>
    <w:bookmarkEnd w:id="4"/>
    <w:bookmarkEnd w:id="9"/>
    <w:p w14:paraId="10B27301" w14:textId="4BB15FC7" w:rsidR="00F66690" w:rsidRPr="006A4042" w:rsidRDefault="00F66690" w:rsidP="00AC14BD">
      <w:pPr>
        <w:rPr>
          <w:rFonts w:cstheme="minorHAnsi"/>
          <w:b/>
          <w:bCs/>
          <w:color w:val="FF0000"/>
        </w:rPr>
      </w:pPr>
    </w:p>
    <w:p w14:paraId="7E23FE71" w14:textId="48B6323F" w:rsidR="00567534" w:rsidRPr="00AF23BD" w:rsidRDefault="001F3778" w:rsidP="00AC14BD">
      <w:pPr>
        <w:autoSpaceDE w:val="0"/>
        <w:autoSpaceDN w:val="0"/>
        <w:adjustRightInd w:val="0"/>
        <w:spacing w:line="240" w:lineRule="auto"/>
        <w:rPr>
          <w:rFonts w:cstheme="minorHAnsi"/>
          <w:b/>
          <w:sz w:val="24"/>
          <w:szCs w:val="24"/>
        </w:rPr>
      </w:pPr>
      <w:r w:rsidRPr="00AF23BD">
        <w:rPr>
          <w:rFonts w:cstheme="minorHAnsi"/>
          <w:b/>
          <w:bCs/>
          <w:sz w:val="24"/>
          <w:szCs w:val="24"/>
        </w:rPr>
        <w:lastRenderedPageBreak/>
        <w:t xml:space="preserve">IV. </w:t>
      </w:r>
      <w:bookmarkStart w:id="10" w:name="_Toc18957531"/>
      <w:r w:rsidR="001D710F" w:rsidRPr="00AF23BD">
        <w:rPr>
          <w:rFonts w:cstheme="minorHAnsi"/>
          <w:b/>
          <w:sz w:val="24"/>
          <w:szCs w:val="24"/>
        </w:rPr>
        <w:t>Typy Wnioskodawców/Beneficjentów oraz Partnerów</w:t>
      </w:r>
      <w:bookmarkEnd w:id="10"/>
      <w:r w:rsidR="009938A4" w:rsidRPr="00AF23BD">
        <w:rPr>
          <w:rFonts w:cstheme="minorHAnsi"/>
          <w:b/>
          <w:bCs/>
          <w:sz w:val="24"/>
          <w:szCs w:val="24"/>
        </w:rPr>
        <w:t xml:space="preserve">: </w:t>
      </w:r>
      <w:bookmarkStart w:id="11" w:name="_Hlk26800473"/>
    </w:p>
    <w:bookmarkEnd w:id="11"/>
    <w:p w14:paraId="3D1DCFD7" w14:textId="77777777" w:rsidR="00AF23BD" w:rsidRPr="00AF23BD" w:rsidRDefault="00AF23BD" w:rsidP="00AC14BD">
      <w:pPr>
        <w:pStyle w:val="Akapitzlist1"/>
        <w:autoSpaceDE w:val="0"/>
        <w:autoSpaceDN w:val="0"/>
        <w:adjustRightInd w:val="0"/>
        <w:spacing w:after="120" w:line="240" w:lineRule="auto"/>
        <w:ind w:left="0"/>
        <w:rPr>
          <w:rFonts w:cs="Calibri"/>
          <w:sz w:val="24"/>
          <w:szCs w:val="24"/>
        </w:rPr>
      </w:pPr>
      <w:r w:rsidRPr="00AF23BD">
        <w:rPr>
          <w:rFonts w:cs="Calibri"/>
          <w:sz w:val="24"/>
          <w:szCs w:val="24"/>
          <w:u w:val="single"/>
        </w:rPr>
        <w:t>O dofinansowanie w ramach konkursu może ubiegać się</w:t>
      </w:r>
      <w:r w:rsidRPr="00AF23BD">
        <w:rPr>
          <w:rFonts w:cs="Calibri"/>
          <w:sz w:val="24"/>
          <w:szCs w:val="24"/>
        </w:rPr>
        <w:t>:</w:t>
      </w:r>
    </w:p>
    <w:p w14:paraId="3BBB4445" w14:textId="77777777" w:rsidR="00AF23BD" w:rsidRPr="00AF23BD" w:rsidRDefault="00AF23BD" w:rsidP="00AC14BD">
      <w:pPr>
        <w:pStyle w:val="Akapitzlist1"/>
        <w:autoSpaceDE w:val="0"/>
        <w:autoSpaceDN w:val="0"/>
        <w:adjustRightInd w:val="0"/>
        <w:spacing w:after="120" w:line="240" w:lineRule="auto"/>
        <w:ind w:left="0"/>
        <w:rPr>
          <w:rFonts w:eastAsia="Times New Roman" w:cs="Calibri"/>
          <w:iCs/>
          <w:sz w:val="24"/>
          <w:szCs w:val="24"/>
        </w:rPr>
      </w:pPr>
      <w:r w:rsidRPr="00AF23BD">
        <w:rPr>
          <w:rFonts w:cs="Calibri"/>
          <w:sz w:val="24"/>
          <w:szCs w:val="24"/>
        </w:rPr>
        <w:t xml:space="preserve">wyłącznie organizacja pozarządowa - Górskie Ochotnicze Pogotowie Ratunkowe, reprezentowane przez Grupy Regionalne GOPR – Sudecką i Karkonoską, </w:t>
      </w:r>
      <w:r w:rsidRPr="00AF23BD">
        <w:rPr>
          <w:rFonts w:eastAsia="Times New Roman" w:cs="Calibri"/>
          <w:iCs/>
          <w:sz w:val="24"/>
          <w:szCs w:val="24"/>
        </w:rPr>
        <w:t>realizujące projekt na terenie całego województwa</w:t>
      </w:r>
      <w:r w:rsidRPr="00AF23BD">
        <w:rPr>
          <w:rFonts w:cs="Calibri"/>
          <w:sz w:val="24"/>
          <w:szCs w:val="24"/>
        </w:rPr>
        <w:t xml:space="preserve"> (bez demarkacji na OSI i ZIT).</w:t>
      </w:r>
    </w:p>
    <w:p w14:paraId="1A36EAC1" w14:textId="77777777" w:rsidR="00AF23BD" w:rsidRPr="00AF23BD" w:rsidRDefault="00AF23BD" w:rsidP="00AC14BD">
      <w:pPr>
        <w:pStyle w:val="Akapitzlist1"/>
        <w:autoSpaceDE w:val="0"/>
        <w:autoSpaceDN w:val="0"/>
        <w:adjustRightInd w:val="0"/>
        <w:spacing w:after="0" w:line="240" w:lineRule="auto"/>
        <w:ind w:left="0"/>
        <w:rPr>
          <w:rFonts w:eastAsia="Times New Roman" w:cs="Calibri"/>
          <w:iCs/>
          <w:sz w:val="24"/>
          <w:szCs w:val="24"/>
        </w:rPr>
      </w:pPr>
    </w:p>
    <w:p w14:paraId="47D89FDE" w14:textId="77777777" w:rsidR="00AF23BD" w:rsidRPr="00AF23BD" w:rsidRDefault="00AF23BD" w:rsidP="00AC14BD">
      <w:pPr>
        <w:pStyle w:val="Akapitzlist1"/>
        <w:autoSpaceDE w:val="0"/>
        <w:autoSpaceDN w:val="0"/>
        <w:adjustRightInd w:val="0"/>
        <w:spacing w:after="0" w:line="240" w:lineRule="auto"/>
        <w:ind w:left="0"/>
        <w:rPr>
          <w:rFonts w:asciiTheme="minorHAnsi" w:hAnsiTheme="minorHAnsi" w:cstheme="minorHAnsi"/>
          <w:sz w:val="24"/>
          <w:szCs w:val="24"/>
        </w:rPr>
      </w:pPr>
      <w:r w:rsidRPr="00AF23BD">
        <w:rPr>
          <w:rFonts w:eastAsia="Times New Roman"/>
          <w:iCs/>
          <w:sz w:val="24"/>
          <w:szCs w:val="24"/>
        </w:rPr>
        <w:t>Partnerem w projekcie może być tylko podmiot wskazany powyżej.</w:t>
      </w:r>
    </w:p>
    <w:p w14:paraId="5C79D280" w14:textId="77777777" w:rsidR="00AF23BD" w:rsidRPr="00AF23BD" w:rsidRDefault="00AF23BD" w:rsidP="00AC14BD">
      <w:pPr>
        <w:spacing w:before="240" w:after="0" w:line="240" w:lineRule="auto"/>
        <w:rPr>
          <w:rFonts w:eastAsia="Times New Roman" w:cstheme="minorHAnsi"/>
          <w:sz w:val="24"/>
          <w:szCs w:val="24"/>
          <w:u w:val="single"/>
        </w:rPr>
      </w:pPr>
      <w:r w:rsidRPr="00AF23BD">
        <w:rPr>
          <w:rFonts w:eastAsia="Times New Roman" w:cstheme="minorHAnsi"/>
          <w:sz w:val="24"/>
          <w:szCs w:val="24"/>
          <w:u w:val="single"/>
        </w:rPr>
        <w:t xml:space="preserve">W ramach konkursu o dofinansowanie nie mogą ubiegać się podmioty: </w:t>
      </w:r>
    </w:p>
    <w:p w14:paraId="488D63F2" w14:textId="77777777" w:rsidR="00AF23BD" w:rsidRPr="00AF23BD" w:rsidRDefault="00AF23BD" w:rsidP="00AC14B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AF23BD">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734026E2" w14:textId="77777777" w:rsidR="00AF23BD" w:rsidRPr="00AF23BD" w:rsidRDefault="00AF23BD" w:rsidP="00AC14B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AF23BD">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7F20A27C" w14:textId="77777777" w:rsidR="00AF23BD" w:rsidRPr="00AF23BD" w:rsidRDefault="00AF23BD" w:rsidP="00AC14B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AF23BD">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22066EF4" w14:textId="77777777" w:rsidR="00AF23BD" w:rsidRPr="00AF23BD" w:rsidRDefault="00AF23BD" w:rsidP="00AC14B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AF23BD">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6BDB3C83" w14:textId="77777777" w:rsidR="00AF23BD" w:rsidRPr="00AF23BD" w:rsidRDefault="00AF23BD" w:rsidP="00AC14B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AF23BD">
        <w:rPr>
          <w:rFonts w:asciiTheme="minorHAnsi" w:hAnsiTheme="minorHAnsi" w:cstheme="minorHAnsi"/>
          <w:sz w:val="24"/>
          <w:szCs w:val="24"/>
        </w:rPr>
        <w:t>przedsiębiorstwa w trudnej sytuacji w rozumieniu unijnych przepisów dotyczących pomocy państwa.</w:t>
      </w:r>
    </w:p>
    <w:p w14:paraId="54AD5E6E" w14:textId="77777777" w:rsidR="00AF23BD" w:rsidRPr="00AF23BD" w:rsidRDefault="00AF23BD" w:rsidP="00AC14BD">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1A0C9115" w14:textId="77777777" w:rsidR="00AF23BD" w:rsidRPr="00AF23BD" w:rsidRDefault="00AF23BD" w:rsidP="00AC14BD">
      <w:pPr>
        <w:spacing w:after="0" w:line="240" w:lineRule="auto"/>
        <w:rPr>
          <w:rFonts w:cstheme="minorHAnsi"/>
          <w:sz w:val="24"/>
          <w:szCs w:val="24"/>
        </w:rPr>
      </w:pPr>
      <w:r w:rsidRPr="00AF23BD">
        <w:rPr>
          <w:rFonts w:cstheme="minorHAnsi"/>
          <w:sz w:val="24"/>
          <w:szCs w:val="24"/>
        </w:rPr>
        <w:t xml:space="preserve">Powyższe wykluczenia dotyczą zarówno Wnioskodawców / Beneficjentów, jak również Partnerów projektu.  </w:t>
      </w:r>
    </w:p>
    <w:p w14:paraId="2F09B87E" w14:textId="77777777" w:rsidR="009938A4" w:rsidRPr="00FB50CC" w:rsidRDefault="001F3778" w:rsidP="00AC14BD">
      <w:pPr>
        <w:pStyle w:val="Nagwek1"/>
        <w:spacing w:line="240" w:lineRule="auto"/>
        <w:rPr>
          <w:rFonts w:asciiTheme="minorHAnsi" w:eastAsiaTheme="minorHAnsi" w:hAnsiTheme="minorHAnsi" w:cstheme="minorHAnsi"/>
          <w:kern w:val="0"/>
          <w:sz w:val="24"/>
          <w:szCs w:val="24"/>
          <w:lang w:eastAsia="en-US"/>
        </w:rPr>
      </w:pPr>
      <w:r w:rsidRPr="00FB50CC">
        <w:rPr>
          <w:rFonts w:asciiTheme="minorHAnsi" w:eastAsiaTheme="minorHAnsi" w:hAnsiTheme="minorHAnsi" w:cstheme="minorHAnsi"/>
          <w:kern w:val="0"/>
          <w:sz w:val="24"/>
          <w:szCs w:val="24"/>
          <w:lang w:eastAsia="en-US"/>
        </w:rPr>
        <w:t xml:space="preserve">V. </w:t>
      </w:r>
      <w:bookmarkStart w:id="12" w:name="_Toc4137251"/>
      <w:r w:rsidR="00664EFC" w:rsidRPr="00FB50CC">
        <w:rPr>
          <w:rFonts w:asciiTheme="minorHAnsi" w:eastAsiaTheme="minorHAnsi" w:hAnsiTheme="minorHAnsi" w:cstheme="minorHAnsi"/>
          <w:kern w:val="0"/>
          <w:sz w:val="24"/>
          <w:szCs w:val="24"/>
          <w:lang w:eastAsia="en-US"/>
        </w:rPr>
        <w:t>Kwota przeznaczona na dofinansowanie projektów w konkursie</w:t>
      </w:r>
      <w:bookmarkEnd w:id="12"/>
      <w:r w:rsidR="009938A4" w:rsidRPr="00FB50CC">
        <w:rPr>
          <w:rFonts w:asciiTheme="minorHAnsi" w:eastAsiaTheme="minorHAnsi" w:hAnsiTheme="minorHAnsi" w:cstheme="minorHAnsi"/>
          <w:kern w:val="0"/>
          <w:sz w:val="24"/>
          <w:szCs w:val="24"/>
          <w:lang w:eastAsia="en-US"/>
        </w:rPr>
        <w:t xml:space="preserve">: </w:t>
      </w:r>
    </w:p>
    <w:p w14:paraId="1068EA92" w14:textId="77777777" w:rsidR="00DE32A7" w:rsidRPr="00FB50CC" w:rsidRDefault="00DE32A7" w:rsidP="00AC14BD">
      <w:pPr>
        <w:spacing w:after="0" w:line="240" w:lineRule="auto"/>
        <w:rPr>
          <w:rFonts w:cstheme="minorHAnsi"/>
          <w:color w:val="FF0000"/>
          <w:sz w:val="24"/>
          <w:szCs w:val="24"/>
        </w:rPr>
      </w:pPr>
    </w:p>
    <w:p w14:paraId="3161D561" w14:textId="77777777" w:rsidR="00FB50CC" w:rsidRPr="00FB50CC" w:rsidRDefault="00FB50CC" w:rsidP="00AC14BD">
      <w:pPr>
        <w:spacing w:line="240" w:lineRule="auto"/>
        <w:rPr>
          <w:sz w:val="24"/>
          <w:szCs w:val="24"/>
        </w:rPr>
      </w:pPr>
      <w:r w:rsidRPr="00FB50CC">
        <w:rPr>
          <w:rFonts w:cstheme="minorHAnsi"/>
          <w:sz w:val="24"/>
          <w:szCs w:val="24"/>
        </w:rPr>
        <w:t xml:space="preserve">Alokacja przeznaczona na konkurs w ramach Poddziałania 3.3.1 w osi 3 </w:t>
      </w:r>
      <w:bookmarkStart w:id="13" w:name="_Hlk57721291"/>
      <w:r w:rsidRPr="00FB50CC">
        <w:rPr>
          <w:rFonts w:cstheme="minorHAnsi"/>
          <w:sz w:val="24"/>
          <w:szCs w:val="24"/>
        </w:rPr>
        <w:t xml:space="preserve">Gospodarka niskoemisyjna wynosi </w:t>
      </w:r>
      <w:bookmarkStart w:id="14" w:name="_Hlk19775385"/>
      <w:r w:rsidRPr="00FB50CC">
        <w:rPr>
          <w:rFonts w:cstheme="minorHAnsi"/>
          <w:b/>
          <w:bCs/>
          <w:sz w:val="24"/>
          <w:szCs w:val="24"/>
        </w:rPr>
        <w:t>1 0</w:t>
      </w:r>
      <w:r w:rsidRPr="00FB50CC">
        <w:rPr>
          <w:rFonts w:cstheme="minorHAnsi"/>
          <w:b/>
          <w:sz w:val="24"/>
          <w:szCs w:val="24"/>
        </w:rPr>
        <w:t xml:space="preserve">20 000 </w:t>
      </w:r>
      <w:r w:rsidRPr="00FB50CC">
        <w:rPr>
          <w:rStyle w:val="Pogrubienie"/>
          <w:rFonts w:cstheme="minorHAnsi"/>
          <w:sz w:val="24"/>
          <w:szCs w:val="24"/>
        </w:rPr>
        <w:t>EUR</w:t>
      </w:r>
      <w:bookmarkEnd w:id="14"/>
      <w:r w:rsidRPr="00FB50CC">
        <w:rPr>
          <w:rStyle w:val="Pogrubienie"/>
          <w:rFonts w:cstheme="minorHAnsi"/>
          <w:b w:val="0"/>
          <w:bCs w:val="0"/>
          <w:sz w:val="24"/>
          <w:szCs w:val="24"/>
        </w:rPr>
        <w:t xml:space="preserve">, </w:t>
      </w:r>
      <w:r w:rsidRPr="00FB50CC">
        <w:rPr>
          <w:rFonts w:cstheme="minorHAnsi"/>
          <w:b/>
          <w:bCs/>
          <w:sz w:val="24"/>
          <w:szCs w:val="24"/>
        </w:rPr>
        <w:t xml:space="preserve">tj. 4 782 882 PLN </w:t>
      </w:r>
      <w:r w:rsidRPr="00FB50CC">
        <w:rPr>
          <w:rFonts w:cstheme="minorHAnsi"/>
          <w:sz w:val="24"/>
          <w:szCs w:val="24"/>
        </w:rPr>
        <w:t xml:space="preserve">(zgodnie z obowiązującym  w maju 2022 r. kursem, tj. </w:t>
      </w:r>
      <w:bookmarkStart w:id="15" w:name="_Hlk57712076"/>
      <w:r w:rsidRPr="00FB50CC">
        <w:rPr>
          <w:rFonts w:cstheme="minorHAnsi"/>
          <w:b/>
          <w:bCs/>
          <w:sz w:val="24"/>
          <w:szCs w:val="24"/>
        </w:rPr>
        <w:t>1 EUR = 4,</w:t>
      </w:r>
      <w:r w:rsidRPr="00FB50CC">
        <w:rPr>
          <w:b/>
          <w:bCs/>
          <w:sz w:val="24"/>
          <w:szCs w:val="24"/>
        </w:rPr>
        <w:t xml:space="preserve">6891 </w:t>
      </w:r>
      <w:r w:rsidRPr="00FB50CC">
        <w:rPr>
          <w:rFonts w:cstheme="minorHAnsi"/>
          <w:b/>
          <w:bCs/>
          <w:sz w:val="24"/>
          <w:szCs w:val="24"/>
        </w:rPr>
        <w:t>PLN</w:t>
      </w:r>
      <w:bookmarkEnd w:id="15"/>
      <w:r w:rsidRPr="00FB50CC">
        <w:rPr>
          <w:rFonts w:cstheme="minorHAnsi"/>
          <w:sz w:val="24"/>
          <w:szCs w:val="24"/>
        </w:rPr>
        <w:t xml:space="preserve">) </w:t>
      </w:r>
      <w:r w:rsidRPr="00FB50CC">
        <w:rPr>
          <w:sz w:val="24"/>
          <w:szCs w:val="24"/>
        </w:rPr>
        <w:t xml:space="preserve">w tym zabezpiecza się </w:t>
      </w:r>
      <w:r w:rsidRPr="00FB50CC">
        <w:rPr>
          <w:b/>
          <w:bCs/>
          <w:sz w:val="24"/>
          <w:szCs w:val="24"/>
        </w:rPr>
        <w:t>na procedurę odwoławczą 15%</w:t>
      </w:r>
      <w:r w:rsidRPr="00FB50CC">
        <w:rPr>
          <w:sz w:val="24"/>
          <w:szCs w:val="24"/>
        </w:rPr>
        <w:t xml:space="preserve"> kwoty przeznaczonej na konkurs (</w:t>
      </w:r>
      <w:r w:rsidRPr="00FB50CC">
        <w:rPr>
          <w:b/>
          <w:bCs/>
          <w:sz w:val="24"/>
          <w:szCs w:val="24"/>
        </w:rPr>
        <w:t>153 000 EUR  tj. 717 432,3 PLN</w:t>
      </w:r>
      <w:r w:rsidRPr="00FB50CC">
        <w:rPr>
          <w:sz w:val="24"/>
          <w:szCs w:val="24"/>
        </w:rPr>
        <w:t xml:space="preserve">). </w:t>
      </w:r>
    </w:p>
    <w:p w14:paraId="6F3C0B24" w14:textId="77777777" w:rsidR="00FB50CC" w:rsidRPr="00FB50CC" w:rsidRDefault="00FB50CC" w:rsidP="00AC14BD">
      <w:pPr>
        <w:spacing w:line="240" w:lineRule="auto"/>
        <w:rPr>
          <w:sz w:val="24"/>
          <w:szCs w:val="24"/>
        </w:rPr>
      </w:pPr>
      <w:r w:rsidRPr="00FB50CC">
        <w:rPr>
          <w:rFonts w:cs="Arial"/>
          <w:sz w:val="24"/>
          <w:szCs w:val="24"/>
        </w:rPr>
        <w:t>W sytuacji, gdy w konkursie nie ma negatywnie ocenionych projektów na żadnym etapie oceny oraz dostępna alokacja w ramach Działania 3.3.1 w osi 3 Gospodarka niskoemisyjna pozwala na dofinansowanie w pełnej wnioskowanej wysokości wszystkich projektów, wybór może zostać dokonany na pełną kwotę alokacji przeznaczonej na nabór.</w:t>
      </w:r>
    </w:p>
    <w:p w14:paraId="0BDCA656" w14:textId="77777777" w:rsidR="00FB50CC" w:rsidRPr="00FB50CC" w:rsidRDefault="00FB50CC" w:rsidP="00AC14BD">
      <w:pPr>
        <w:spacing w:line="240" w:lineRule="auto"/>
        <w:rPr>
          <w:sz w:val="24"/>
          <w:szCs w:val="24"/>
        </w:rPr>
      </w:pPr>
      <w:bookmarkStart w:id="16" w:name="_Hlk482187498"/>
      <w:bookmarkEnd w:id="13"/>
      <w:r w:rsidRPr="00FB50CC">
        <w:rPr>
          <w:sz w:val="24"/>
          <w:szCs w:val="24"/>
        </w:rPr>
        <w:t xml:space="preserve">Ze względu na kurs euro kwota dostępnej </w:t>
      </w:r>
      <w:r w:rsidRPr="00FB50CC">
        <w:rPr>
          <w:rFonts w:cstheme="minorHAnsi"/>
          <w:sz w:val="24"/>
          <w:szCs w:val="24"/>
        </w:rPr>
        <w:t>w ramach Działania 3.3.1 w osi 3 Gospodarka niskoemisyjna</w:t>
      </w:r>
      <w:r w:rsidRPr="00FB50CC">
        <w:rPr>
          <w:sz w:val="24"/>
          <w:szCs w:val="24"/>
        </w:rPr>
        <w:t xml:space="preserve"> alokacji może ulec zmianie. Dokładna kwota dofinansowania zostanie określona na etapie zatwierdzania listy ocenionych projektów.</w:t>
      </w:r>
    </w:p>
    <w:p w14:paraId="2AE5ED43" w14:textId="77777777" w:rsidR="00FB50CC" w:rsidRPr="00FB50CC" w:rsidRDefault="00FB50CC" w:rsidP="00AC14BD">
      <w:pPr>
        <w:spacing w:line="240" w:lineRule="auto"/>
        <w:rPr>
          <w:sz w:val="24"/>
          <w:szCs w:val="24"/>
        </w:rPr>
      </w:pPr>
    </w:p>
    <w:p w14:paraId="51CBE9C6" w14:textId="77777777" w:rsidR="00FB50CC" w:rsidRPr="00FB50CC" w:rsidRDefault="00FB50CC" w:rsidP="00AC14BD">
      <w:pPr>
        <w:pStyle w:val="Default"/>
        <w:rPr>
          <w:rFonts w:asciiTheme="minorHAnsi" w:hAnsiTheme="minorHAnsi" w:cstheme="minorHAnsi"/>
          <w:color w:val="auto"/>
        </w:rPr>
      </w:pPr>
      <w:r w:rsidRPr="00FB50CC">
        <w:rPr>
          <w:color w:val="auto"/>
        </w:rPr>
        <w:lastRenderedPageBreak/>
        <w:t xml:space="preserve">Kwota alokacji </w:t>
      </w:r>
      <w:r w:rsidRPr="00FB50CC">
        <w:rPr>
          <w:rFonts w:asciiTheme="minorHAnsi" w:hAnsiTheme="minorHAnsi" w:cstheme="minorHAnsi"/>
          <w:color w:val="auto"/>
        </w:rPr>
        <w:t>w ramach Działania 3.3.1 w osi 3 Gospodarka niskoemisyjna</w:t>
      </w:r>
      <w:r w:rsidRPr="00FB50CC">
        <w:rPr>
          <w:color w:val="auto"/>
        </w:rPr>
        <w:t xml:space="preserve"> do czasu rozstrzygnięcia naboru może ulec zmniejszeniu </w:t>
      </w:r>
      <w:r w:rsidRPr="00FB50CC">
        <w:rPr>
          <w:rFonts w:asciiTheme="minorHAnsi" w:hAnsiTheme="minorHAnsi" w:cstheme="minorHAnsi"/>
          <w:color w:val="auto"/>
        </w:rPr>
        <w:t>ze względu na wybór w ramach Działania projektów do dofinansowania w wyniku przeprowadzonej procedury odwoławczej.</w:t>
      </w:r>
    </w:p>
    <w:p w14:paraId="16D420E2" w14:textId="77777777" w:rsidR="00FB50CC" w:rsidRPr="00FB50CC" w:rsidRDefault="00FB50CC" w:rsidP="00AC14BD">
      <w:pPr>
        <w:spacing w:line="240" w:lineRule="auto"/>
        <w:rPr>
          <w:sz w:val="24"/>
          <w:szCs w:val="24"/>
        </w:rPr>
      </w:pPr>
    </w:p>
    <w:bookmarkEnd w:id="16"/>
    <w:p w14:paraId="62FE2A4F" w14:textId="77777777" w:rsidR="00FB50CC" w:rsidRPr="00FB50CC" w:rsidRDefault="00FB50CC" w:rsidP="00AC14BD">
      <w:pPr>
        <w:spacing w:line="240" w:lineRule="auto"/>
        <w:rPr>
          <w:rFonts w:eastAsia="Times New Roman" w:cs="Times New Roman"/>
          <w:sz w:val="24"/>
          <w:szCs w:val="24"/>
        </w:rPr>
      </w:pPr>
      <w:r w:rsidRPr="00FB50CC">
        <w:rPr>
          <w:rFonts w:eastAsia="Times New Roman" w:cs="Times New Roman"/>
          <w:sz w:val="24"/>
          <w:szCs w:val="24"/>
        </w:rPr>
        <w:t xml:space="preserve">W trakcie trwania naboru (poprzez zmianę regulaminu konkursu) lub po rozstrzygnięciu konkursu IOK może zwiększyć kwotę przeznaczoną </w:t>
      </w:r>
      <w:r w:rsidRPr="00FB50CC">
        <w:rPr>
          <w:rFonts w:cstheme="minorHAnsi"/>
          <w:sz w:val="24"/>
          <w:szCs w:val="24"/>
        </w:rPr>
        <w:t>w ramach Działania 3.3.1 w osi 3 Gospodarka niskoemisyjna</w:t>
      </w:r>
      <w:r w:rsidRPr="00FB50CC">
        <w:rPr>
          <w:rFonts w:eastAsia="Times New Roman" w:cs="Times New Roman"/>
          <w:sz w:val="24"/>
          <w:szCs w:val="24"/>
        </w:rPr>
        <w:t xml:space="preserve">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52C19EAF" w14:textId="77777777" w:rsidR="00FB50CC" w:rsidRPr="00FB50CC" w:rsidRDefault="00FB50CC" w:rsidP="00AC14BD">
      <w:pPr>
        <w:pStyle w:val="Tekstkomentarza"/>
        <w:rPr>
          <w:rFonts w:asciiTheme="minorHAnsi" w:hAnsiTheme="minorHAnsi" w:cstheme="minorHAnsi"/>
          <w:sz w:val="24"/>
          <w:szCs w:val="24"/>
        </w:rPr>
      </w:pPr>
      <w:r w:rsidRPr="00FB50CC">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68F16FD2" w14:textId="77777777" w:rsidR="00FB50CC" w:rsidRPr="00FB50CC" w:rsidRDefault="00FB50CC" w:rsidP="00AC14BD">
      <w:pPr>
        <w:pStyle w:val="Tekstkomentarza"/>
        <w:rPr>
          <w:rFonts w:asciiTheme="minorHAnsi" w:hAnsiTheme="minorHAnsi" w:cstheme="minorHAnsi"/>
          <w:sz w:val="24"/>
          <w:szCs w:val="24"/>
        </w:rPr>
      </w:pPr>
    </w:p>
    <w:p w14:paraId="115BB9BD" w14:textId="77777777" w:rsidR="00FB50CC" w:rsidRPr="00FB50CC" w:rsidRDefault="00FB50CC" w:rsidP="00AC14BD">
      <w:pPr>
        <w:spacing w:after="0" w:line="240" w:lineRule="auto"/>
        <w:rPr>
          <w:rFonts w:cstheme="minorHAnsi"/>
          <w:color w:val="000000" w:themeColor="text1"/>
          <w:sz w:val="24"/>
          <w:szCs w:val="24"/>
        </w:rPr>
      </w:pPr>
      <w:r w:rsidRPr="00FB50CC">
        <w:rPr>
          <w:rFonts w:cstheme="minorHAnsi"/>
          <w:color w:val="000000" w:themeColor="text1"/>
          <w:sz w:val="24"/>
          <w:szCs w:val="24"/>
        </w:rPr>
        <w:t>W związku ze zmianami w Rozporządzeniu ogólnym wprowadzonymi przez Rozporządzenie REACT – EU, dopuszczona została możliwość:</w:t>
      </w:r>
    </w:p>
    <w:p w14:paraId="06F13119" w14:textId="77777777" w:rsidR="00FB50CC" w:rsidRPr="00FB50CC" w:rsidRDefault="00FB50CC" w:rsidP="00AC14BD">
      <w:pPr>
        <w:pStyle w:val="Akapitzlist"/>
        <w:numPr>
          <w:ilvl w:val="0"/>
          <w:numId w:val="22"/>
        </w:numPr>
        <w:spacing w:before="0" w:line="240" w:lineRule="auto"/>
        <w:contextualSpacing/>
        <w:rPr>
          <w:rFonts w:asciiTheme="minorHAnsi" w:hAnsiTheme="minorHAnsi" w:cstheme="minorHAnsi"/>
          <w:color w:val="000000" w:themeColor="text1"/>
          <w:sz w:val="24"/>
          <w:szCs w:val="24"/>
        </w:rPr>
      </w:pPr>
      <w:r w:rsidRPr="00FB50CC">
        <w:rPr>
          <w:rFonts w:asciiTheme="minorHAnsi" w:hAnsiTheme="minorHAnsi" w:cstheme="minorHAnsi"/>
          <w:color w:val="000000" w:themeColor="text1"/>
          <w:sz w:val="24"/>
          <w:szCs w:val="24"/>
        </w:rPr>
        <w:t xml:space="preserve">przenoszenia do dofinansowania ze środków REACT – EU projektów wybranych do realizacji / realizowanych w ramach Osi priorytetowej 3 lub </w:t>
      </w:r>
    </w:p>
    <w:p w14:paraId="6DF550B7" w14:textId="77777777" w:rsidR="00FB50CC" w:rsidRPr="00FB50CC" w:rsidRDefault="00FB50CC" w:rsidP="00AC14BD">
      <w:pPr>
        <w:pStyle w:val="Akapitzlist"/>
        <w:numPr>
          <w:ilvl w:val="0"/>
          <w:numId w:val="22"/>
        </w:numPr>
        <w:spacing w:before="0" w:line="240" w:lineRule="auto"/>
        <w:contextualSpacing/>
        <w:rPr>
          <w:rFonts w:asciiTheme="minorHAnsi" w:hAnsiTheme="minorHAnsi" w:cstheme="minorHAnsi"/>
          <w:color w:val="000000" w:themeColor="text1"/>
          <w:sz w:val="24"/>
          <w:szCs w:val="24"/>
        </w:rPr>
      </w:pPr>
      <w:r w:rsidRPr="00FB50CC">
        <w:rPr>
          <w:rFonts w:asciiTheme="minorHAnsi" w:hAnsiTheme="minorHAnsi" w:cstheme="minorHAnsi"/>
          <w:color w:val="000000" w:themeColor="text1"/>
          <w:sz w:val="24"/>
          <w:szCs w:val="24"/>
        </w:rPr>
        <w:t>wyboru projektów z wykorzystaniem środków REACT - EU, które spełniły kryteria wyboru projektów i uzyskały wymaganą liczbę punktów w ramach Osi priorytetowej 3, jednakże ze względu na ograniczoną alokację, nie zostały wybrane do dofinansowania lub</w:t>
      </w:r>
    </w:p>
    <w:p w14:paraId="77266501" w14:textId="77777777" w:rsidR="00FB50CC" w:rsidRPr="00FB50CC" w:rsidRDefault="00FB50CC" w:rsidP="00AC14BD">
      <w:pPr>
        <w:pStyle w:val="Akapitzlist"/>
        <w:numPr>
          <w:ilvl w:val="0"/>
          <w:numId w:val="22"/>
        </w:numPr>
        <w:spacing w:before="0" w:line="240" w:lineRule="auto"/>
        <w:contextualSpacing/>
        <w:rPr>
          <w:rFonts w:asciiTheme="minorHAnsi" w:hAnsiTheme="minorHAnsi" w:cstheme="minorHAnsi"/>
          <w:color w:val="000000" w:themeColor="text1"/>
          <w:sz w:val="24"/>
          <w:szCs w:val="24"/>
        </w:rPr>
      </w:pPr>
      <w:r w:rsidRPr="00FB50CC">
        <w:rPr>
          <w:rFonts w:asciiTheme="minorHAnsi" w:hAnsiTheme="minorHAnsi" w:cstheme="minorHAnsi"/>
          <w:color w:val="000000" w:themeColor="text1"/>
          <w:sz w:val="24"/>
          <w:szCs w:val="24"/>
        </w:rPr>
        <w:t>wyboru do dofinansowania projektów ze środków REACT - EU, które spełniły kryteria wyboru projektów w ramach Osi priorytetowej 3.</w:t>
      </w:r>
    </w:p>
    <w:p w14:paraId="16FDC031" w14:textId="77777777" w:rsidR="00FB50CC" w:rsidRPr="00FB50CC" w:rsidRDefault="00FB50CC" w:rsidP="00AC14BD">
      <w:pPr>
        <w:spacing w:after="0" w:line="240" w:lineRule="auto"/>
        <w:rPr>
          <w:rFonts w:cstheme="minorHAnsi"/>
          <w:color w:val="000000" w:themeColor="text1"/>
          <w:sz w:val="24"/>
          <w:szCs w:val="24"/>
        </w:rPr>
      </w:pPr>
    </w:p>
    <w:p w14:paraId="1FC2CFC6" w14:textId="77777777" w:rsidR="00FB50CC" w:rsidRPr="00FB50CC" w:rsidRDefault="00FB50CC" w:rsidP="00AC14BD">
      <w:pPr>
        <w:spacing w:after="0" w:line="240" w:lineRule="auto"/>
        <w:rPr>
          <w:rFonts w:cstheme="minorHAnsi"/>
          <w:b/>
          <w:bCs/>
          <w:sz w:val="24"/>
          <w:szCs w:val="24"/>
        </w:rPr>
      </w:pPr>
      <w:r w:rsidRPr="00FB50CC">
        <w:rPr>
          <w:rFonts w:cstheme="minorHAnsi"/>
          <w:b/>
          <w:bCs/>
          <w:color w:val="000000" w:themeColor="text1"/>
          <w:sz w:val="24"/>
          <w:szCs w:val="24"/>
        </w:rPr>
        <w:t>W konsekwencji powyższego, w ramach niniejszego konkursu p</w:t>
      </w:r>
      <w:r w:rsidRPr="00FB50CC">
        <w:rPr>
          <w:rFonts w:cstheme="minorHAnsi"/>
          <w:b/>
          <w:bCs/>
          <w:sz w:val="24"/>
          <w:szCs w:val="24"/>
        </w:rPr>
        <w:t xml:space="preserve">rojekty spełniające kryteria wyboru przyjęte dla niniejszego konkursu, będą mogły być finansowane i rozliczane ze środków osi priorytetowej 12 REACT – EU – do wyczerpania jej alokacji. </w:t>
      </w:r>
    </w:p>
    <w:p w14:paraId="0FA9ACB5" w14:textId="77777777" w:rsidR="00FB50CC" w:rsidRPr="00FB50CC" w:rsidRDefault="00FB50CC" w:rsidP="00AC14BD">
      <w:pPr>
        <w:spacing w:after="0" w:line="240" w:lineRule="auto"/>
        <w:rPr>
          <w:rFonts w:cstheme="minorHAnsi"/>
          <w:b/>
          <w:bCs/>
          <w:color w:val="000000" w:themeColor="text1"/>
          <w:sz w:val="24"/>
          <w:szCs w:val="24"/>
        </w:rPr>
      </w:pPr>
    </w:p>
    <w:p w14:paraId="7B53640E" w14:textId="77777777" w:rsidR="00FB50CC" w:rsidRPr="00FB50CC" w:rsidRDefault="00FB50CC" w:rsidP="00AC14BD">
      <w:pPr>
        <w:spacing w:after="0" w:line="240" w:lineRule="auto"/>
        <w:rPr>
          <w:rFonts w:cstheme="minorHAnsi"/>
          <w:b/>
          <w:bCs/>
          <w:sz w:val="24"/>
          <w:szCs w:val="24"/>
        </w:rPr>
      </w:pPr>
      <w:r w:rsidRPr="00FB50CC">
        <w:rPr>
          <w:rFonts w:cstheme="minorHAnsi"/>
          <w:b/>
          <w:bCs/>
          <w:sz w:val="24"/>
          <w:szCs w:val="24"/>
        </w:rPr>
        <w:t>Środki REACT – EU nie powodują zmiany alokacji w Działaniu 3.3.1 w osi 3 Gospodarka niskoemisyjna. Są odrębnym źródłem finansowania projektów. Tym samym nie mają znaczenia względem toczących się postępowań odwoławczych.</w:t>
      </w:r>
    </w:p>
    <w:p w14:paraId="05571CCD" w14:textId="3F715961" w:rsidR="00DE32A7" w:rsidRPr="00FB50CC" w:rsidRDefault="00DE32A7" w:rsidP="00AC14BD">
      <w:pPr>
        <w:spacing w:after="0" w:line="240" w:lineRule="auto"/>
        <w:rPr>
          <w:rFonts w:cstheme="minorHAnsi"/>
          <w:color w:val="FF0000"/>
          <w:sz w:val="24"/>
          <w:szCs w:val="24"/>
        </w:rPr>
      </w:pPr>
    </w:p>
    <w:p w14:paraId="3E606AB3" w14:textId="6A949502" w:rsidR="007C6E4D" w:rsidRPr="002A77E2" w:rsidRDefault="007C6E4D" w:rsidP="00AC14BD">
      <w:pPr>
        <w:pStyle w:val="Default"/>
        <w:rPr>
          <w:rFonts w:asciiTheme="minorHAnsi" w:hAnsiTheme="minorHAnsi" w:cstheme="minorHAnsi"/>
          <w:b/>
          <w:bCs/>
          <w:color w:val="auto"/>
        </w:rPr>
      </w:pPr>
      <w:r w:rsidRPr="002A77E2">
        <w:rPr>
          <w:rFonts w:asciiTheme="minorHAnsi" w:hAnsiTheme="minorHAnsi" w:cstheme="minorHAnsi"/>
          <w:b/>
          <w:bCs/>
          <w:color w:val="auto"/>
        </w:rPr>
        <w:t xml:space="preserve">VI. </w:t>
      </w:r>
      <w:bookmarkStart w:id="17" w:name="_Toc4137252"/>
      <w:r w:rsidRPr="002A77E2">
        <w:rPr>
          <w:rFonts w:asciiTheme="minorHAnsi" w:hAnsiTheme="minorHAnsi" w:cstheme="minorHAnsi"/>
          <w:b/>
          <w:color w:val="auto"/>
        </w:rPr>
        <w:t>Minimalna wartość wnioskowanego dofinansowania</w:t>
      </w:r>
      <w:bookmarkEnd w:id="17"/>
      <w:r w:rsidRPr="002A77E2">
        <w:rPr>
          <w:rFonts w:asciiTheme="minorHAnsi" w:hAnsiTheme="minorHAnsi" w:cstheme="minorHAnsi"/>
          <w:b/>
          <w:bCs/>
          <w:color w:val="auto"/>
        </w:rPr>
        <w:t xml:space="preserve">: </w:t>
      </w:r>
    </w:p>
    <w:p w14:paraId="61256323" w14:textId="77777777" w:rsidR="00F278EC" w:rsidRPr="002A77E2" w:rsidRDefault="00F278EC" w:rsidP="00AC14BD">
      <w:pPr>
        <w:pStyle w:val="Default"/>
        <w:rPr>
          <w:rFonts w:asciiTheme="minorHAnsi" w:hAnsiTheme="minorHAnsi" w:cstheme="minorHAnsi"/>
          <w:b/>
          <w:bCs/>
          <w:color w:val="auto"/>
        </w:rPr>
      </w:pPr>
    </w:p>
    <w:p w14:paraId="4C63AC4D" w14:textId="246FEA46" w:rsidR="0093677E" w:rsidRPr="002A77E2" w:rsidRDefault="0093677E" w:rsidP="00AC14BD">
      <w:pPr>
        <w:spacing w:after="0" w:line="240" w:lineRule="auto"/>
        <w:rPr>
          <w:rFonts w:cstheme="minorHAnsi"/>
          <w:sz w:val="24"/>
          <w:szCs w:val="24"/>
        </w:rPr>
      </w:pPr>
      <w:bookmarkStart w:id="18" w:name="_Hlk26800715"/>
      <w:bookmarkStart w:id="19" w:name="_Toc4137253"/>
      <w:r w:rsidRPr="002A77E2">
        <w:rPr>
          <w:rFonts w:cstheme="minorHAnsi"/>
          <w:sz w:val="24"/>
          <w:szCs w:val="24"/>
        </w:rPr>
        <w:t xml:space="preserve">Minimalna wartość wydatków kwalifikowalnych w projekcie: </w:t>
      </w:r>
      <w:r w:rsidR="002A77E2" w:rsidRPr="002A77E2">
        <w:rPr>
          <w:rFonts w:cstheme="minorHAnsi"/>
          <w:sz w:val="24"/>
          <w:szCs w:val="24"/>
        </w:rPr>
        <w:t>5</w:t>
      </w:r>
      <w:r w:rsidRPr="002A77E2">
        <w:rPr>
          <w:rFonts w:cstheme="minorHAnsi"/>
          <w:sz w:val="24"/>
          <w:szCs w:val="24"/>
        </w:rPr>
        <w:t>00</w:t>
      </w:r>
      <w:r w:rsidR="002A77E2" w:rsidRPr="002A77E2">
        <w:rPr>
          <w:rFonts w:cstheme="minorHAnsi"/>
          <w:sz w:val="24"/>
          <w:szCs w:val="24"/>
        </w:rPr>
        <w:t xml:space="preserve"> 000 </w:t>
      </w:r>
      <w:r w:rsidRPr="002A77E2">
        <w:rPr>
          <w:rFonts w:cstheme="minorHAnsi"/>
          <w:sz w:val="24"/>
          <w:szCs w:val="24"/>
        </w:rPr>
        <w:t>PLN</w:t>
      </w:r>
      <w:r w:rsidR="002A77E2">
        <w:rPr>
          <w:rFonts w:cstheme="minorHAnsi"/>
          <w:sz w:val="24"/>
          <w:szCs w:val="24"/>
        </w:rPr>
        <w:t>.</w:t>
      </w:r>
    </w:p>
    <w:bookmarkEnd w:id="18"/>
    <w:p w14:paraId="6224B627" w14:textId="38A5DE2C" w:rsidR="00DE32A7" w:rsidRPr="002A77E2" w:rsidRDefault="007C6E4D" w:rsidP="00AC14BD">
      <w:pPr>
        <w:pStyle w:val="Nagwek1"/>
        <w:spacing w:line="240" w:lineRule="auto"/>
        <w:rPr>
          <w:rFonts w:asciiTheme="minorHAnsi" w:hAnsiTheme="minorHAnsi" w:cstheme="minorHAnsi"/>
          <w:sz w:val="24"/>
          <w:szCs w:val="24"/>
        </w:rPr>
      </w:pPr>
      <w:r w:rsidRPr="002A77E2">
        <w:rPr>
          <w:rFonts w:asciiTheme="minorHAnsi" w:hAnsiTheme="minorHAnsi" w:cstheme="minorHAnsi"/>
          <w:sz w:val="24"/>
          <w:szCs w:val="24"/>
        </w:rPr>
        <w:t>VII. Maksymalna wartość wydatków kwalifikowalnych projektu</w:t>
      </w:r>
      <w:bookmarkEnd w:id="19"/>
      <w:r w:rsidRPr="002A77E2">
        <w:rPr>
          <w:rFonts w:asciiTheme="minorHAnsi" w:hAnsiTheme="minorHAnsi" w:cstheme="minorHAnsi"/>
          <w:sz w:val="24"/>
          <w:szCs w:val="24"/>
        </w:rPr>
        <w:t>:</w:t>
      </w:r>
      <w:bookmarkStart w:id="20" w:name="_Hlk57732151"/>
    </w:p>
    <w:p w14:paraId="7B82BCF1" w14:textId="77777777" w:rsidR="00F278EC" w:rsidRPr="006A4042" w:rsidRDefault="00F278EC" w:rsidP="00AC14BD">
      <w:pPr>
        <w:pStyle w:val="Default"/>
        <w:rPr>
          <w:rFonts w:asciiTheme="minorHAnsi" w:hAnsiTheme="minorHAnsi" w:cstheme="minorHAnsi"/>
          <w:color w:val="FF0000"/>
          <w:sz w:val="22"/>
          <w:szCs w:val="22"/>
        </w:rPr>
      </w:pPr>
    </w:p>
    <w:bookmarkEnd w:id="20"/>
    <w:p w14:paraId="330E8045" w14:textId="77777777" w:rsidR="002A77E2" w:rsidRDefault="002A77E2" w:rsidP="00AC14BD">
      <w:pPr>
        <w:spacing w:after="0" w:line="240" w:lineRule="auto"/>
        <w:rPr>
          <w:rFonts w:cstheme="minorHAnsi"/>
          <w:sz w:val="24"/>
          <w:szCs w:val="24"/>
        </w:rPr>
      </w:pPr>
      <w:r w:rsidRPr="002A77E2">
        <w:rPr>
          <w:rFonts w:cstheme="minorHAnsi"/>
          <w:sz w:val="24"/>
          <w:szCs w:val="24"/>
        </w:rPr>
        <w:t>Nie dotyczy</w:t>
      </w:r>
      <w:r>
        <w:rPr>
          <w:rFonts w:cstheme="minorHAnsi"/>
          <w:sz w:val="24"/>
          <w:szCs w:val="24"/>
        </w:rPr>
        <w:t>.</w:t>
      </w:r>
    </w:p>
    <w:p w14:paraId="68B6674D" w14:textId="77777777" w:rsidR="00C20038" w:rsidRPr="006A4042" w:rsidRDefault="00C20038" w:rsidP="00AC14BD">
      <w:pPr>
        <w:pStyle w:val="Default"/>
        <w:rPr>
          <w:rFonts w:asciiTheme="minorHAnsi" w:hAnsiTheme="minorHAnsi" w:cstheme="minorHAnsi"/>
          <w:color w:val="FF0000"/>
          <w:sz w:val="22"/>
          <w:szCs w:val="22"/>
        </w:rPr>
      </w:pPr>
    </w:p>
    <w:p w14:paraId="7DD09881" w14:textId="6A8AC50D" w:rsidR="009938A4" w:rsidRPr="002A77E2" w:rsidRDefault="001F3778" w:rsidP="00AC14BD">
      <w:pPr>
        <w:pStyle w:val="Default"/>
        <w:rPr>
          <w:rFonts w:asciiTheme="minorHAnsi" w:hAnsiTheme="minorHAnsi" w:cstheme="minorHAnsi"/>
          <w:b/>
          <w:bCs/>
          <w:color w:val="auto"/>
        </w:rPr>
      </w:pPr>
      <w:r w:rsidRPr="002A77E2">
        <w:rPr>
          <w:rFonts w:asciiTheme="minorHAnsi" w:hAnsiTheme="minorHAnsi" w:cstheme="minorHAnsi"/>
          <w:b/>
          <w:bCs/>
          <w:color w:val="auto"/>
        </w:rPr>
        <w:t>VI</w:t>
      </w:r>
      <w:r w:rsidR="00E24F33" w:rsidRPr="002A77E2">
        <w:rPr>
          <w:rFonts w:asciiTheme="minorHAnsi" w:hAnsiTheme="minorHAnsi" w:cstheme="minorHAnsi"/>
          <w:b/>
          <w:bCs/>
          <w:color w:val="auto"/>
        </w:rPr>
        <w:t>II</w:t>
      </w:r>
      <w:r w:rsidRPr="002A77E2">
        <w:rPr>
          <w:rFonts w:asciiTheme="minorHAnsi" w:hAnsiTheme="minorHAnsi" w:cstheme="minorHAnsi"/>
          <w:b/>
          <w:bCs/>
          <w:color w:val="auto"/>
        </w:rPr>
        <w:t xml:space="preserve">. </w:t>
      </w:r>
      <w:r w:rsidR="009938A4" w:rsidRPr="002A77E2">
        <w:rPr>
          <w:rFonts w:asciiTheme="minorHAnsi" w:hAnsiTheme="minorHAnsi" w:cstheme="minorHAnsi"/>
          <w:b/>
          <w:bCs/>
          <w:color w:val="auto"/>
        </w:rPr>
        <w:t xml:space="preserve">Maksymalny dopuszczalny poziom dofinansowania projektu lub maksymalna dopuszczalna kwota do dofinansowania projektu: </w:t>
      </w:r>
    </w:p>
    <w:p w14:paraId="38EC89F7" w14:textId="77777777" w:rsidR="00BF0C2F" w:rsidRPr="002A77E2" w:rsidRDefault="00BF0C2F" w:rsidP="00AC14BD">
      <w:pPr>
        <w:pStyle w:val="Default"/>
        <w:rPr>
          <w:rFonts w:asciiTheme="minorHAnsi" w:hAnsiTheme="minorHAnsi" w:cstheme="minorHAnsi"/>
          <w:b/>
          <w:bCs/>
          <w:color w:val="auto"/>
        </w:rPr>
      </w:pPr>
    </w:p>
    <w:p w14:paraId="723097EA" w14:textId="77777777" w:rsidR="002A77E2" w:rsidRPr="002A77E2" w:rsidRDefault="002A77E2" w:rsidP="00AC14BD">
      <w:pPr>
        <w:pStyle w:val="Akapitzlist"/>
        <w:spacing w:line="240" w:lineRule="auto"/>
        <w:ind w:left="10"/>
        <w:rPr>
          <w:rFonts w:asciiTheme="minorHAnsi" w:hAnsiTheme="minorHAnsi" w:cstheme="minorHAnsi"/>
          <w:sz w:val="24"/>
          <w:szCs w:val="28"/>
        </w:rPr>
      </w:pPr>
      <w:r w:rsidRPr="002A77E2">
        <w:rPr>
          <w:rFonts w:asciiTheme="minorHAnsi" w:hAnsiTheme="minorHAnsi" w:cstheme="minorHAnsi"/>
          <w:sz w:val="24"/>
          <w:szCs w:val="28"/>
        </w:rPr>
        <w:lastRenderedPageBreak/>
        <w:t xml:space="preserve">Maksymalny poziom dofinansowania UE na </w:t>
      </w:r>
      <w:r w:rsidRPr="002A77E2">
        <w:rPr>
          <w:rFonts w:asciiTheme="minorHAnsi" w:hAnsiTheme="minorHAnsi" w:cstheme="minorHAnsi"/>
          <w:b/>
          <w:bCs/>
          <w:sz w:val="24"/>
          <w:szCs w:val="28"/>
        </w:rPr>
        <w:t>poziomie</w:t>
      </w:r>
      <w:r w:rsidRPr="002A77E2">
        <w:rPr>
          <w:rFonts w:asciiTheme="minorHAnsi" w:hAnsiTheme="minorHAnsi" w:cstheme="minorHAnsi"/>
          <w:sz w:val="24"/>
          <w:szCs w:val="28"/>
        </w:rPr>
        <w:t xml:space="preserve"> projektu wynosi:</w:t>
      </w:r>
    </w:p>
    <w:p w14:paraId="4D40CFD0" w14:textId="77777777" w:rsidR="002A77E2" w:rsidRPr="002A77E2" w:rsidRDefault="002A77E2" w:rsidP="00AC14BD">
      <w:pPr>
        <w:numPr>
          <w:ilvl w:val="0"/>
          <w:numId w:val="10"/>
        </w:numPr>
        <w:suppressAutoHyphens/>
        <w:autoSpaceDE w:val="0"/>
        <w:autoSpaceDN w:val="0"/>
        <w:spacing w:line="240" w:lineRule="auto"/>
        <w:ind w:left="317" w:hanging="284"/>
        <w:textAlignment w:val="baseline"/>
        <w:rPr>
          <w:rFonts w:cstheme="minorHAnsi"/>
          <w:sz w:val="24"/>
          <w:szCs w:val="24"/>
        </w:rPr>
      </w:pPr>
      <w:r w:rsidRPr="002A77E2">
        <w:rPr>
          <w:rFonts w:cstheme="minorHAnsi"/>
          <w:b/>
          <w:sz w:val="24"/>
          <w:szCs w:val="24"/>
        </w:rPr>
        <w:t>w przypadku projektu nieobjętego pomocą publiczną</w:t>
      </w:r>
      <w:r w:rsidRPr="002A77E2">
        <w:rPr>
          <w:rFonts w:cstheme="minorHAnsi"/>
          <w:sz w:val="24"/>
          <w:szCs w:val="24"/>
        </w:rPr>
        <w:t xml:space="preserve"> – 100% kosztów kwalifikowalnych; </w:t>
      </w:r>
    </w:p>
    <w:p w14:paraId="4A71364E" w14:textId="77777777" w:rsidR="002A77E2" w:rsidRPr="002A77E2" w:rsidRDefault="002A77E2" w:rsidP="00AC14BD">
      <w:pPr>
        <w:pStyle w:val="Akapitzlist"/>
        <w:numPr>
          <w:ilvl w:val="0"/>
          <w:numId w:val="10"/>
        </w:numPr>
        <w:suppressAutoHyphens/>
        <w:autoSpaceDN w:val="0"/>
        <w:spacing w:before="0" w:after="200" w:line="240" w:lineRule="auto"/>
        <w:ind w:left="343" w:hanging="284"/>
        <w:textAlignment w:val="baseline"/>
        <w:rPr>
          <w:rFonts w:asciiTheme="minorHAnsi" w:hAnsiTheme="minorHAnsi" w:cstheme="minorHAnsi"/>
          <w:sz w:val="24"/>
          <w:szCs w:val="22"/>
        </w:rPr>
      </w:pPr>
      <w:r w:rsidRPr="002A77E2">
        <w:rPr>
          <w:rFonts w:asciiTheme="minorHAnsi" w:hAnsiTheme="minorHAnsi" w:cstheme="minorHAnsi"/>
          <w:b/>
          <w:sz w:val="24"/>
          <w:szCs w:val="22"/>
        </w:rPr>
        <w:t>w przypadku projektu objętego pomocą publiczną na podstawie GBER</w:t>
      </w:r>
      <w:r w:rsidRPr="002A77E2">
        <w:rPr>
          <w:rFonts w:asciiTheme="minorHAnsi" w:hAnsiTheme="minorHAnsi" w:cstheme="minorHAnsi"/>
          <w:sz w:val="24"/>
          <w:szCs w:val="22"/>
        </w:rPr>
        <w:t>:</w:t>
      </w:r>
    </w:p>
    <w:p w14:paraId="743D1CB5" w14:textId="77777777" w:rsidR="002A77E2" w:rsidRPr="002A77E2" w:rsidRDefault="002A77E2" w:rsidP="00AC14BD">
      <w:pPr>
        <w:suppressAutoHyphens/>
        <w:autoSpaceDN w:val="0"/>
        <w:spacing w:line="240" w:lineRule="auto"/>
        <w:textAlignment w:val="baseline"/>
        <w:rPr>
          <w:rFonts w:cstheme="minorHAnsi"/>
          <w:sz w:val="24"/>
          <w:szCs w:val="24"/>
        </w:rPr>
      </w:pPr>
      <w:r w:rsidRPr="002A77E2">
        <w:rPr>
          <w:rFonts w:cstheme="minorHAnsi"/>
          <w:b/>
          <w:sz w:val="24"/>
          <w:szCs w:val="24"/>
        </w:rPr>
        <w:t xml:space="preserve"> - na poziomie wynikającym z zastosowania art. 38 lub 41</w:t>
      </w:r>
    </w:p>
    <w:p w14:paraId="67834BCE" w14:textId="77777777" w:rsidR="002A77E2" w:rsidRPr="002A77E2" w:rsidRDefault="002A77E2" w:rsidP="00AC14BD">
      <w:pPr>
        <w:numPr>
          <w:ilvl w:val="0"/>
          <w:numId w:val="10"/>
        </w:numPr>
        <w:suppressAutoHyphens/>
        <w:autoSpaceDE w:val="0"/>
        <w:autoSpaceDN w:val="0"/>
        <w:snapToGrid w:val="0"/>
        <w:spacing w:line="240" w:lineRule="auto"/>
        <w:ind w:left="317"/>
        <w:textAlignment w:val="baseline"/>
        <w:rPr>
          <w:rFonts w:cstheme="minorHAnsi"/>
          <w:sz w:val="24"/>
          <w:szCs w:val="24"/>
        </w:rPr>
      </w:pPr>
      <w:r w:rsidRPr="002A77E2">
        <w:rPr>
          <w:rFonts w:cstheme="minorHAnsi"/>
          <w:b/>
          <w:sz w:val="24"/>
          <w:szCs w:val="24"/>
        </w:rPr>
        <w:t xml:space="preserve">W przypadku projektu objętego pomocą </w:t>
      </w:r>
      <w:r w:rsidRPr="002A77E2">
        <w:rPr>
          <w:rFonts w:cstheme="minorHAnsi"/>
          <w:b/>
          <w:i/>
          <w:sz w:val="24"/>
          <w:szCs w:val="24"/>
        </w:rPr>
        <w:t>de minimis</w:t>
      </w:r>
      <w:r w:rsidRPr="002A77E2">
        <w:rPr>
          <w:rFonts w:cstheme="minorHAnsi"/>
          <w:kern w:val="3"/>
          <w:sz w:val="24"/>
          <w:szCs w:val="24"/>
        </w:rPr>
        <w:t xml:space="preserve">, zgodnie z </w:t>
      </w:r>
      <w:r w:rsidRPr="002A77E2">
        <w:rPr>
          <w:rFonts w:eastAsia="Times New Roman" w:cstheme="minorHAnsi"/>
          <w:kern w:val="3"/>
          <w:sz w:val="24"/>
          <w:szCs w:val="24"/>
        </w:rPr>
        <w:t xml:space="preserve">Rozporządzeniem Komisji (UE) nr 1407/2013 z dnia 18 grudnia 2013 r. w sprawie stosowania art. 107 i 108 Traktatu </w:t>
      </w:r>
      <w:r w:rsidRPr="002A77E2">
        <w:rPr>
          <w:rFonts w:eastAsia="Times New Roman" w:cstheme="minorHAnsi"/>
          <w:kern w:val="3"/>
          <w:sz w:val="24"/>
          <w:szCs w:val="24"/>
        </w:rPr>
        <w:br/>
        <w:t>o funkcjonowaniu Unii Europejskiej do pomocy de minimis</w:t>
      </w:r>
      <w:r w:rsidRPr="002A77E2">
        <w:rPr>
          <w:rFonts w:cstheme="minorHAnsi"/>
          <w:kern w:val="3"/>
          <w:sz w:val="24"/>
          <w:szCs w:val="24"/>
        </w:rPr>
        <w:t xml:space="preserve"> – </w:t>
      </w:r>
      <w:r w:rsidRPr="002A77E2">
        <w:rPr>
          <w:rFonts w:cstheme="minorHAnsi"/>
          <w:b/>
          <w:kern w:val="3"/>
          <w:sz w:val="24"/>
          <w:szCs w:val="24"/>
        </w:rPr>
        <w:t>100% kosztów kwalifikowalnych</w:t>
      </w:r>
      <w:r w:rsidRPr="002A77E2">
        <w:rPr>
          <w:rFonts w:cstheme="minorHAnsi"/>
          <w:kern w:val="3"/>
          <w:sz w:val="24"/>
          <w:szCs w:val="24"/>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3000803" w14:textId="77777777" w:rsidR="002A77E2" w:rsidRPr="002A77E2" w:rsidRDefault="002A77E2" w:rsidP="00AC14BD">
      <w:pPr>
        <w:pStyle w:val="Akapitzlist"/>
        <w:spacing w:line="240" w:lineRule="auto"/>
        <w:ind w:left="0"/>
        <w:rPr>
          <w:rFonts w:asciiTheme="minorHAnsi" w:hAnsiTheme="minorHAnsi" w:cstheme="minorHAnsi"/>
          <w:sz w:val="24"/>
          <w:szCs w:val="28"/>
        </w:rPr>
      </w:pPr>
      <w:r w:rsidRPr="002A77E2">
        <w:rPr>
          <w:rFonts w:asciiTheme="minorHAnsi" w:hAnsiTheme="minorHAnsi" w:cstheme="minorHAnsi"/>
          <w:sz w:val="24"/>
          <w:szCs w:val="28"/>
        </w:rPr>
        <w:t xml:space="preserve">Dofinansowanie dla projektu lub jego części może być również obniżone </w:t>
      </w:r>
      <w:r w:rsidRPr="002A77E2">
        <w:rPr>
          <w:rFonts w:asciiTheme="minorHAnsi" w:hAnsiTheme="minorHAnsi" w:cstheme="minorHAnsi"/>
          <w:sz w:val="24"/>
          <w:szCs w:val="28"/>
        </w:rPr>
        <w:br/>
        <w:t>w przypadku wystąpienia dochodu w projekcie, zgodnie z Wytycznymi w zakresie zagadnień związanych z przygotowaniem projektów inwestycyjnych, w tym projektów generujących dochód i projektów hybrydowych na lata 2014-2020.</w:t>
      </w:r>
    </w:p>
    <w:p w14:paraId="035F52CF" w14:textId="6140AFDD" w:rsidR="00BF0C2F" w:rsidRPr="00170598" w:rsidRDefault="00E24F33" w:rsidP="00AC14BD">
      <w:pPr>
        <w:pStyle w:val="Nagwek1"/>
        <w:spacing w:line="240" w:lineRule="auto"/>
        <w:rPr>
          <w:rFonts w:asciiTheme="minorHAnsi" w:hAnsiTheme="minorHAnsi" w:cstheme="minorHAnsi"/>
          <w:sz w:val="24"/>
          <w:szCs w:val="24"/>
        </w:rPr>
      </w:pPr>
      <w:r w:rsidRPr="00170598">
        <w:rPr>
          <w:rFonts w:asciiTheme="minorHAnsi" w:hAnsiTheme="minorHAnsi" w:cstheme="minorHAnsi"/>
          <w:sz w:val="24"/>
          <w:szCs w:val="24"/>
        </w:rPr>
        <w:t xml:space="preserve">IX. </w:t>
      </w:r>
      <w:bookmarkStart w:id="21" w:name="_Toc4137258"/>
      <w:r w:rsidRPr="00170598">
        <w:rPr>
          <w:rFonts w:asciiTheme="minorHAnsi" w:hAnsiTheme="minorHAnsi" w:cstheme="minorHAnsi"/>
          <w:sz w:val="24"/>
          <w:szCs w:val="24"/>
        </w:rPr>
        <w:t>Minimalny wkład własny jako % wydatków kwalifikowalnych</w:t>
      </w:r>
      <w:bookmarkEnd w:id="21"/>
    </w:p>
    <w:p w14:paraId="06066237" w14:textId="77777777" w:rsidR="00F278EC" w:rsidRPr="006A4042" w:rsidRDefault="00F278EC" w:rsidP="00AC14BD">
      <w:pPr>
        <w:pStyle w:val="Default"/>
        <w:rPr>
          <w:rFonts w:asciiTheme="minorHAnsi" w:hAnsiTheme="minorHAnsi" w:cstheme="minorHAnsi"/>
          <w:color w:val="FF0000"/>
          <w:sz w:val="22"/>
          <w:szCs w:val="22"/>
        </w:rPr>
      </w:pPr>
      <w:bookmarkStart w:id="22" w:name="_Hlk32926121"/>
    </w:p>
    <w:bookmarkEnd w:id="22"/>
    <w:p w14:paraId="2760DB10" w14:textId="77777777" w:rsidR="002A77E2" w:rsidRPr="002A77E2" w:rsidRDefault="002A77E2" w:rsidP="00AC14BD">
      <w:pPr>
        <w:pStyle w:val="Default"/>
        <w:rPr>
          <w:rFonts w:asciiTheme="minorHAnsi" w:hAnsiTheme="minorHAnsi" w:cstheme="minorHAnsi"/>
          <w:color w:val="auto"/>
        </w:rPr>
      </w:pPr>
      <w:r w:rsidRPr="002A77E2">
        <w:rPr>
          <w:rFonts w:asciiTheme="minorHAnsi" w:hAnsiTheme="minorHAnsi" w:cstheme="minorHAnsi"/>
          <w:color w:val="auto"/>
        </w:rPr>
        <w:t xml:space="preserve">Minimalny wkład własny (pokryty ze środków własnych lub innych źródeł finansowania) wynosi: </w:t>
      </w:r>
    </w:p>
    <w:p w14:paraId="49C0AF08" w14:textId="77777777" w:rsidR="002A77E2" w:rsidRPr="00A00F1A" w:rsidRDefault="002A77E2" w:rsidP="00AC14BD">
      <w:pPr>
        <w:pStyle w:val="Akapitzlist"/>
        <w:numPr>
          <w:ilvl w:val="0"/>
          <w:numId w:val="29"/>
        </w:numPr>
        <w:tabs>
          <w:tab w:val="left" w:pos="284"/>
        </w:tabs>
        <w:spacing w:line="240" w:lineRule="auto"/>
        <w:contextualSpacing/>
        <w:rPr>
          <w:rFonts w:ascii="Calibri" w:hAnsi="Calibri" w:cs="Calibri"/>
          <w:sz w:val="24"/>
          <w:szCs w:val="24"/>
        </w:rPr>
      </w:pPr>
      <w:r w:rsidRPr="00A00F1A">
        <w:rPr>
          <w:rFonts w:ascii="Calibri" w:hAnsi="Calibri" w:cs="Calibri"/>
          <w:sz w:val="24"/>
          <w:szCs w:val="24"/>
        </w:rPr>
        <w:t>w przypadku projektu bez pomocy publicznej – 0 % kosztów kwalifikowalnych;</w:t>
      </w:r>
    </w:p>
    <w:p w14:paraId="0007A4EB" w14:textId="77777777" w:rsidR="002A77E2" w:rsidRPr="00A00F1A" w:rsidRDefault="002A77E2" w:rsidP="00AC14BD">
      <w:pPr>
        <w:pStyle w:val="Akapitzlist"/>
        <w:numPr>
          <w:ilvl w:val="0"/>
          <w:numId w:val="29"/>
        </w:numPr>
        <w:tabs>
          <w:tab w:val="left" w:pos="284"/>
        </w:tabs>
        <w:spacing w:line="240" w:lineRule="auto"/>
        <w:contextualSpacing/>
        <w:rPr>
          <w:rFonts w:ascii="Calibri" w:hAnsi="Calibri" w:cs="Calibri"/>
          <w:sz w:val="24"/>
          <w:szCs w:val="24"/>
        </w:rPr>
      </w:pPr>
      <w:r w:rsidRPr="00A00F1A">
        <w:rPr>
          <w:rFonts w:ascii="Calibri" w:hAnsi="Calibri" w:cs="Calibri"/>
          <w:sz w:val="24"/>
          <w:szCs w:val="24"/>
        </w:rPr>
        <w:t xml:space="preserve">w przypadku pozostałych projektów – zgodnie z poziomem wynikającym z kalkulacji luki finansowej lub poziomu pomocy publicznej / de minimis; z zastrzeżeniem, że całkowita kwota pomocy </w:t>
      </w:r>
      <w:r w:rsidRPr="00A00F1A">
        <w:rPr>
          <w:rFonts w:ascii="Calibri" w:hAnsi="Calibri" w:cs="Calibri"/>
          <w:i/>
          <w:iCs/>
          <w:sz w:val="24"/>
          <w:szCs w:val="24"/>
        </w:rPr>
        <w:t>de minimis</w:t>
      </w:r>
      <w:r w:rsidRPr="00A00F1A">
        <w:rPr>
          <w:rFonts w:ascii="Calibri" w:hAnsi="Calibri" w:cs="Calibri"/>
          <w:sz w:val="24"/>
          <w:szCs w:val="24"/>
        </w:rPr>
        <w:t xml:space="preserve"> dla danego podmiotu (Beneficjenta / Partnera) w okresie trzech lat podatkowych (z uwzględnieniem wnioskowanej kwoty pomocy </w:t>
      </w:r>
      <w:r w:rsidRPr="00A00F1A">
        <w:rPr>
          <w:rFonts w:ascii="Calibri" w:hAnsi="Calibri" w:cs="Calibri"/>
          <w:i/>
          <w:iCs/>
          <w:sz w:val="24"/>
          <w:szCs w:val="24"/>
        </w:rPr>
        <w:t>de minimis</w:t>
      </w:r>
      <w:r w:rsidRPr="00A00F1A">
        <w:rPr>
          <w:rFonts w:ascii="Calibri" w:hAnsi="Calibri" w:cs="Calibri"/>
          <w:sz w:val="24"/>
          <w:szCs w:val="24"/>
        </w:rPr>
        <w:t xml:space="preserve"> oraz pomocy </w:t>
      </w:r>
      <w:r w:rsidRPr="00A00F1A">
        <w:rPr>
          <w:rFonts w:ascii="Calibri" w:hAnsi="Calibri" w:cs="Calibri"/>
          <w:i/>
          <w:iCs/>
          <w:sz w:val="24"/>
          <w:szCs w:val="24"/>
        </w:rPr>
        <w:t>de minimis</w:t>
      </w:r>
      <w:r w:rsidRPr="00A00F1A">
        <w:rPr>
          <w:rFonts w:ascii="Calibri" w:hAnsi="Calibri" w:cs="Calibri"/>
          <w:sz w:val="24"/>
          <w:szCs w:val="24"/>
        </w:rPr>
        <w:t xml:space="preserve"> otrzymanej z innych źródeł) nie może przekroczyć równowartości 200 000 EUR.</w:t>
      </w:r>
    </w:p>
    <w:p w14:paraId="7AFE99D2" w14:textId="77777777" w:rsidR="00803DA4" w:rsidRPr="006A4042" w:rsidRDefault="00803DA4" w:rsidP="00AC14BD">
      <w:pPr>
        <w:pStyle w:val="Default"/>
        <w:rPr>
          <w:rFonts w:asciiTheme="minorHAnsi" w:hAnsiTheme="minorHAnsi" w:cstheme="minorHAnsi"/>
          <w:b/>
          <w:bCs/>
          <w:color w:val="FF0000"/>
          <w:sz w:val="22"/>
          <w:szCs w:val="22"/>
        </w:rPr>
      </w:pPr>
    </w:p>
    <w:p w14:paraId="777F4701" w14:textId="77777777" w:rsidR="00FC4FAD" w:rsidRPr="006A4042" w:rsidRDefault="00FC4FAD" w:rsidP="00AC14BD">
      <w:pPr>
        <w:pStyle w:val="Default"/>
        <w:rPr>
          <w:rFonts w:asciiTheme="minorHAnsi" w:hAnsiTheme="minorHAnsi" w:cstheme="minorHAnsi"/>
          <w:b/>
          <w:bCs/>
          <w:color w:val="FF0000"/>
          <w:sz w:val="22"/>
          <w:szCs w:val="22"/>
        </w:rPr>
      </w:pPr>
    </w:p>
    <w:p w14:paraId="1460070D" w14:textId="134920E2" w:rsidR="009938A4" w:rsidRPr="000751FC" w:rsidRDefault="00E24F33" w:rsidP="00AC14BD">
      <w:pPr>
        <w:pStyle w:val="Default"/>
        <w:rPr>
          <w:rFonts w:asciiTheme="minorHAnsi" w:hAnsiTheme="minorHAnsi" w:cstheme="minorHAnsi"/>
          <w:color w:val="auto"/>
        </w:rPr>
      </w:pPr>
      <w:r w:rsidRPr="000751FC">
        <w:rPr>
          <w:rFonts w:asciiTheme="minorHAnsi" w:hAnsiTheme="minorHAnsi" w:cstheme="minorHAnsi"/>
          <w:b/>
          <w:bCs/>
          <w:color w:val="auto"/>
        </w:rPr>
        <w:t>X</w:t>
      </w:r>
      <w:r w:rsidR="001F3778" w:rsidRPr="000751FC">
        <w:rPr>
          <w:rFonts w:asciiTheme="minorHAnsi" w:hAnsiTheme="minorHAnsi" w:cstheme="minorHAnsi"/>
          <w:b/>
          <w:bCs/>
          <w:color w:val="auto"/>
        </w:rPr>
        <w:t xml:space="preserve">. </w:t>
      </w:r>
      <w:r w:rsidR="009938A4" w:rsidRPr="000751FC">
        <w:rPr>
          <w:rFonts w:asciiTheme="minorHAnsi" w:hAnsiTheme="minorHAnsi" w:cstheme="minorHAnsi"/>
          <w:b/>
          <w:bCs/>
          <w:color w:val="auto"/>
        </w:rPr>
        <w:t xml:space="preserve">Termin, miejsce i forma składania wniosków o dofinansowanie projektu: </w:t>
      </w:r>
    </w:p>
    <w:p w14:paraId="0F46E0A8" w14:textId="77777777" w:rsidR="00705179" w:rsidRPr="000751FC" w:rsidRDefault="00705179" w:rsidP="00AC14BD">
      <w:pPr>
        <w:spacing w:after="120" w:line="240" w:lineRule="auto"/>
        <w:rPr>
          <w:rFonts w:cstheme="minorHAnsi"/>
          <w:color w:val="FF0000"/>
          <w:sz w:val="24"/>
          <w:szCs w:val="24"/>
        </w:rPr>
      </w:pPr>
      <w:bookmarkStart w:id="23" w:name="_Hlk32926192"/>
    </w:p>
    <w:bookmarkEnd w:id="23"/>
    <w:p w14:paraId="4942A356" w14:textId="77777777" w:rsidR="000751FC" w:rsidRPr="000751FC" w:rsidRDefault="000751FC" w:rsidP="00AC14BD">
      <w:pPr>
        <w:spacing w:after="120" w:line="240" w:lineRule="auto"/>
        <w:rPr>
          <w:rFonts w:cstheme="minorHAnsi"/>
          <w:sz w:val="24"/>
          <w:szCs w:val="28"/>
        </w:rPr>
      </w:pPr>
      <w:r w:rsidRPr="000751FC">
        <w:rPr>
          <w:rFonts w:cstheme="minorHAnsi"/>
          <w:sz w:val="24"/>
          <w:szCs w:val="28"/>
        </w:rPr>
        <w:t xml:space="preserve">Wnioskodawca wypełnia wniosek o dofinansowanie za pośrednictwem aplikacji </w:t>
      </w:r>
      <w:r w:rsidRPr="000751FC">
        <w:rPr>
          <w:rFonts w:cstheme="minorHAnsi"/>
          <w:b/>
          <w:bCs/>
          <w:sz w:val="24"/>
          <w:szCs w:val="28"/>
        </w:rPr>
        <w:t>Generator Wniosków o dofinansowanie EFRR</w:t>
      </w:r>
      <w:r w:rsidRPr="000751FC">
        <w:rPr>
          <w:rFonts w:cstheme="minorHAnsi"/>
          <w:sz w:val="24"/>
          <w:szCs w:val="28"/>
        </w:rPr>
        <w:t xml:space="preserve">, dostępnej na stronie: </w:t>
      </w:r>
      <w:hyperlink r:id="rId11" w:history="1">
        <w:r w:rsidRPr="000751FC">
          <w:rPr>
            <w:rStyle w:val="Hipercze"/>
            <w:rFonts w:cstheme="minorHAnsi"/>
            <w:sz w:val="24"/>
            <w:szCs w:val="28"/>
          </w:rPr>
          <w:t>https://snow</w:t>
        </w:r>
      </w:hyperlink>
      <w:r w:rsidRPr="000751FC">
        <w:rPr>
          <w:rFonts w:cstheme="minorHAnsi"/>
          <w:sz w:val="24"/>
          <w:szCs w:val="28"/>
        </w:rPr>
        <w:t>-umwd.dolnyslask.pl/ i przesyła do IOK w ramach niniejszego konkursu w terminie:</w:t>
      </w:r>
    </w:p>
    <w:p w14:paraId="1C8102EB" w14:textId="77777777" w:rsidR="000751FC" w:rsidRPr="000751FC" w:rsidRDefault="000751FC" w:rsidP="00AC14BD">
      <w:pPr>
        <w:pStyle w:val="Akapitzlist"/>
        <w:spacing w:line="240" w:lineRule="auto"/>
        <w:rPr>
          <w:rFonts w:asciiTheme="minorHAnsi" w:hAnsiTheme="minorHAnsi" w:cstheme="minorHAnsi"/>
          <w:b/>
          <w:sz w:val="24"/>
          <w:szCs w:val="28"/>
        </w:rPr>
      </w:pPr>
      <w:bookmarkStart w:id="24" w:name="_Hlk57718209"/>
      <w:r w:rsidRPr="000751FC">
        <w:rPr>
          <w:rFonts w:asciiTheme="minorHAnsi" w:hAnsiTheme="minorHAnsi" w:cstheme="minorHAnsi"/>
          <w:b/>
          <w:sz w:val="24"/>
          <w:szCs w:val="28"/>
        </w:rPr>
        <w:t>od godz. 8:00 dnia 27 czerwca  2022 r. do godz. 15:00 dnia 11 lipca 2022 r.</w:t>
      </w:r>
    </w:p>
    <w:bookmarkEnd w:id="24"/>
    <w:p w14:paraId="1C59C1B2" w14:textId="77777777" w:rsidR="000751FC" w:rsidRPr="000751FC" w:rsidRDefault="000751FC" w:rsidP="00AC14BD">
      <w:pPr>
        <w:spacing w:after="0" w:line="240" w:lineRule="auto"/>
        <w:rPr>
          <w:rFonts w:cstheme="minorHAnsi"/>
          <w:color w:val="FF0000"/>
          <w:sz w:val="24"/>
          <w:szCs w:val="28"/>
        </w:rPr>
      </w:pPr>
    </w:p>
    <w:p w14:paraId="3A6898B7" w14:textId="77777777" w:rsidR="000751FC" w:rsidRPr="000751FC" w:rsidRDefault="000751FC" w:rsidP="00AC14BD">
      <w:pPr>
        <w:spacing w:before="40" w:after="40" w:line="240" w:lineRule="auto"/>
        <w:rPr>
          <w:rFonts w:cstheme="minorHAnsi"/>
          <w:sz w:val="24"/>
          <w:szCs w:val="24"/>
        </w:rPr>
      </w:pPr>
      <w:r w:rsidRPr="000751FC">
        <w:rPr>
          <w:rFonts w:cstheme="minorHAnsi"/>
          <w:sz w:val="24"/>
          <w:szCs w:val="24"/>
        </w:rPr>
        <w:t>Logowanie do Generatora Wniosków w celu wypełnienia i złożenia wniosku o 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w:t>
      </w:r>
      <w:bookmarkStart w:id="25" w:name="_Hlk37837476"/>
      <w:r w:rsidRPr="000751FC">
        <w:rPr>
          <w:rFonts w:cstheme="minorHAnsi"/>
          <w:sz w:val="24"/>
          <w:szCs w:val="24"/>
        </w:rPr>
        <w:t xml:space="preserve"> </w:t>
      </w:r>
    </w:p>
    <w:bookmarkEnd w:id="25"/>
    <w:p w14:paraId="59B77028" w14:textId="53E3DE8A" w:rsidR="000751FC" w:rsidRPr="000751FC" w:rsidRDefault="000751FC" w:rsidP="00AC14BD">
      <w:pPr>
        <w:spacing w:before="40" w:after="40" w:line="240" w:lineRule="auto"/>
        <w:rPr>
          <w:rFonts w:cstheme="minorHAnsi"/>
          <w:bCs/>
          <w:sz w:val="24"/>
          <w:szCs w:val="24"/>
        </w:rPr>
      </w:pPr>
      <w:r w:rsidRPr="000751FC">
        <w:rPr>
          <w:b/>
          <w:sz w:val="24"/>
          <w:szCs w:val="24"/>
        </w:rPr>
        <w:lastRenderedPageBreak/>
        <w:t>Wnioskodawca nie składa wersji papierowej wniosku o dofinansowanie na etapie aplikowania i oceny.</w:t>
      </w:r>
      <w:r w:rsidRPr="000751FC">
        <w:rPr>
          <w:rFonts w:cstheme="minorHAnsi"/>
          <w:bCs/>
          <w:sz w:val="24"/>
          <w:szCs w:val="24"/>
        </w:rPr>
        <w:t xml:space="preserve"> Złożona do IOK wersja papierowa wniosku o dofinansowanie nie będzie podlegać ocenie. W przedmiotowym przypadku złożenie wniosku o dofinansowanie w Generatorze Wniosków o dofinansowanie EFRR oznacza potwierdzenie zgodności wskazanej w nim treści, </w:t>
      </w:r>
      <w:r>
        <w:rPr>
          <w:rFonts w:cstheme="minorHAnsi"/>
          <w:bCs/>
          <w:sz w:val="24"/>
          <w:szCs w:val="24"/>
        </w:rPr>
        <w:br/>
      </w:r>
      <w:r w:rsidRPr="000751FC">
        <w:rPr>
          <w:rFonts w:cstheme="minorHAnsi"/>
          <w:bCs/>
          <w:sz w:val="24"/>
          <w:szCs w:val="24"/>
        </w:rPr>
        <w:t>w szczególności oświadczeń zawartych w dokumencie (i załącznikach, które stanowią jego integralną część) ze stanem faktycznym.</w:t>
      </w:r>
    </w:p>
    <w:p w14:paraId="6D5699E7" w14:textId="77777777" w:rsidR="000751FC" w:rsidRPr="000751FC" w:rsidRDefault="000751FC" w:rsidP="00AC14BD">
      <w:pPr>
        <w:spacing w:before="40" w:after="40" w:line="240" w:lineRule="auto"/>
        <w:rPr>
          <w:rFonts w:cstheme="minorHAnsi"/>
          <w:bCs/>
          <w:color w:val="FF0000"/>
          <w:sz w:val="24"/>
          <w:szCs w:val="24"/>
        </w:rPr>
      </w:pPr>
    </w:p>
    <w:p w14:paraId="2E5B17EC" w14:textId="77777777" w:rsidR="000751FC" w:rsidRPr="000751FC" w:rsidRDefault="000751FC" w:rsidP="00AC14BD">
      <w:pPr>
        <w:spacing w:before="40" w:after="40" w:line="240" w:lineRule="auto"/>
        <w:rPr>
          <w:rFonts w:cstheme="minorHAnsi"/>
          <w:bCs/>
          <w:sz w:val="24"/>
          <w:szCs w:val="24"/>
        </w:rPr>
      </w:pPr>
      <w:r w:rsidRPr="000751FC">
        <w:rPr>
          <w:rFonts w:cstheme="minorHAnsi"/>
          <w:bCs/>
          <w:sz w:val="24"/>
          <w:szCs w:val="24"/>
        </w:rPr>
        <w:t xml:space="preserve">W przypadku złożenia (wysłania) wniosku o dofinansowanie projektu w aplikacji Generator Wniosków o dofinansowanie EFRR po terminie wskazanym w Regulaminie i w ogłoszeniu </w:t>
      </w:r>
      <w:r w:rsidRPr="000751FC">
        <w:rPr>
          <w:rFonts w:cstheme="minorHAnsi"/>
          <w:bCs/>
          <w:sz w:val="24"/>
          <w:szCs w:val="24"/>
        </w:rPr>
        <w:br/>
        <w:t>o konkursie, wniosek pozostawia się bez rozpatrzenia.</w:t>
      </w:r>
    </w:p>
    <w:p w14:paraId="77B18CE0" w14:textId="77777777" w:rsidR="000751FC" w:rsidRPr="000751FC" w:rsidRDefault="000751FC" w:rsidP="00AC14BD">
      <w:pPr>
        <w:spacing w:before="40" w:after="40" w:line="240" w:lineRule="auto"/>
        <w:rPr>
          <w:rFonts w:cstheme="minorHAnsi"/>
          <w:sz w:val="24"/>
          <w:szCs w:val="24"/>
        </w:rPr>
      </w:pPr>
    </w:p>
    <w:p w14:paraId="71766CE6" w14:textId="77777777" w:rsidR="000751FC" w:rsidRPr="000751FC" w:rsidRDefault="000751FC" w:rsidP="00AC14BD">
      <w:pPr>
        <w:spacing w:before="40" w:after="40" w:line="240" w:lineRule="auto"/>
        <w:rPr>
          <w:rFonts w:cstheme="minorHAnsi"/>
          <w:bCs/>
          <w:sz w:val="24"/>
          <w:szCs w:val="24"/>
        </w:rPr>
      </w:pPr>
      <w:r w:rsidRPr="000751FC">
        <w:rPr>
          <w:rFonts w:cstheme="minorHAnsi"/>
          <w:bCs/>
          <w:sz w:val="24"/>
          <w:szCs w:val="24"/>
        </w:rPr>
        <w:t>W przypadku problemów technicznych z systemem informatycznym SNOW należy niezwłocznie zgłosić problem na adres email: gwnd@dolnyslask.pl.</w:t>
      </w:r>
    </w:p>
    <w:p w14:paraId="673CB9C0" w14:textId="77777777" w:rsidR="000751FC" w:rsidRPr="000751FC" w:rsidRDefault="000751FC" w:rsidP="00AC14BD">
      <w:pPr>
        <w:spacing w:before="40" w:after="40" w:line="240" w:lineRule="auto"/>
        <w:rPr>
          <w:rFonts w:cstheme="minorHAnsi"/>
          <w:sz w:val="24"/>
          <w:szCs w:val="24"/>
        </w:rPr>
      </w:pPr>
    </w:p>
    <w:p w14:paraId="1FAEE0E1" w14:textId="3A2FB948" w:rsidR="000751FC" w:rsidRPr="000751FC" w:rsidRDefault="000751FC" w:rsidP="00AC14BD">
      <w:pPr>
        <w:spacing w:before="40" w:after="40" w:line="240" w:lineRule="auto"/>
        <w:rPr>
          <w:rFonts w:cstheme="minorHAnsi"/>
          <w:sz w:val="24"/>
          <w:szCs w:val="24"/>
        </w:rPr>
      </w:pPr>
      <w:r w:rsidRPr="000751FC">
        <w:rPr>
          <w:rFonts w:cstheme="minorHAnsi"/>
          <w:sz w:val="24"/>
          <w:szCs w:val="24"/>
        </w:rPr>
        <w:t xml:space="preserve">Wnioski robocze w aplikacji Generator Wniosków o dofinansowanie EFRR są uznawane </w:t>
      </w:r>
      <w:r>
        <w:rPr>
          <w:rFonts w:cstheme="minorHAnsi"/>
          <w:sz w:val="24"/>
          <w:szCs w:val="24"/>
        </w:rPr>
        <w:br/>
      </w:r>
      <w:r w:rsidRPr="000751FC">
        <w:rPr>
          <w:rFonts w:cstheme="minorHAnsi"/>
          <w:sz w:val="24"/>
          <w:szCs w:val="24"/>
        </w:rPr>
        <w:t>za złożone nieskutecznie i nie podlegają ocenie.</w:t>
      </w:r>
    </w:p>
    <w:p w14:paraId="12F5E152" w14:textId="77777777" w:rsidR="000751FC" w:rsidRPr="000751FC" w:rsidRDefault="000751FC" w:rsidP="00AC14BD">
      <w:pPr>
        <w:spacing w:before="40" w:after="40" w:line="240" w:lineRule="auto"/>
        <w:rPr>
          <w:rFonts w:cstheme="minorHAnsi"/>
          <w:sz w:val="24"/>
          <w:szCs w:val="24"/>
        </w:rPr>
      </w:pPr>
    </w:p>
    <w:p w14:paraId="7DD1C87F" w14:textId="77777777" w:rsidR="000751FC" w:rsidRPr="000751FC" w:rsidRDefault="000751FC" w:rsidP="00AC14BD">
      <w:pPr>
        <w:spacing w:before="40" w:after="40" w:line="240" w:lineRule="auto"/>
        <w:rPr>
          <w:rFonts w:cstheme="minorHAnsi"/>
          <w:sz w:val="24"/>
          <w:szCs w:val="24"/>
        </w:rPr>
      </w:pPr>
      <w:r w:rsidRPr="000751FC">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7405BBCD" w14:textId="77777777" w:rsidR="000751FC" w:rsidRPr="000751FC" w:rsidRDefault="000751FC" w:rsidP="00AC14BD">
      <w:pPr>
        <w:spacing w:before="40" w:after="40" w:line="240" w:lineRule="auto"/>
        <w:rPr>
          <w:rFonts w:cstheme="minorHAnsi"/>
          <w:sz w:val="24"/>
          <w:szCs w:val="24"/>
        </w:rPr>
      </w:pPr>
    </w:p>
    <w:p w14:paraId="532D6328" w14:textId="6C66AE0A" w:rsidR="000751FC" w:rsidRDefault="000751FC" w:rsidP="00AC14BD">
      <w:pPr>
        <w:spacing w:before="40" w:after="40" w:line="240" w:lineRule="auto"/>
        <w:rPr>
          <w:rFonts w:cstheme="minorHAnsi"/>
          <w:sz w:val="24"/>
          <w:szCs w:val="24"/>
        </w:rPr>
      </w:pPr>
      <w:r w:rsidRPr="000751FC">
        <w:rPr>
          <w:rFonts w:cstheme="minorHAnsi"/>
          <w:sz w:val="24"/>
          <w:szCs w:val="24"/>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Pr>
          <w:rFonts w:cstheme="minorHAnsi"/>
          <w:sz w:val="24"/>
          <w:szCs w:val="24"/>
        </w:rPr>
        <w:br/>
      </w:r>
      <w:r w:rsidRPr="000751FC">
        <w:rPr>
          <w:rFonts w:cstheme="minorHAnsi"/>
          <w:sz w:val="24"/>
          <w:szCs w:val="24"/>
        </w:rPr>
        <w:t xml:space="preserve">w imieniu Wnioskodawcy zgodnie z zapisami pkt 19 Regulaminu. </w:t>
      </w:r>
    </w:p>
    <w:p w14:paraId="1B02977E" w14:textId="0F41DA77" w:rsidR="000751FC" w:rsidRPr="000751FC" w:rsidRDefault="000751FC" w:rsidP="00AC14BD">
      <w:pPr>
        <w:spacing w:before="40" w:after="40" w:line="240" w:lineRule="auto"/>
        <w:rPr>
          <w:rFonts w:cstheme="minorHAnsi"/>
          <w:sz w:val="24"/>
          <w:szCs w:val="24"/>
        </w:rPr>
      </w:pPr>
    </w:p>
    <w:p w14:paraId="4D7A8587" w14:textId="77777777" w:rsidR="000751FC" w:rsidRPr="000751FC" w:rsidRDefault="000751FC" w:rsidP="00AC14BD">
      <w:pPr>
        <w:spacing w:before="40" w:after="40" w:line="240" w:lineRule="auto"/>
        <w:rPr>
          <w:rFonts w:cstheme="minorHAnsi"/>
          <w:sz w:val="24"/>
          <w:szCs w:val="24"/>
        </w:rPr>
      </w:pPr>
      <w:r w:rsidRPr="000751FC">
        <w:rPr>
          <w:rFonts w:cstheme="minorHAnsi"/>
          <w:sz w:val="24"/>
          <w:szCs w:val="24"/>
        </w:rPr>
        <w:t>IOK zastrzega sobie możliwość wydłużenia terminu składania wniosków o dofinansowanie złożenia ich w innej formie niż wyżej opisana. Decyzja w powyższej kwestii zostanie przedstawiona w formie komunikatu we wszystkich miejscach, gdzie opublikowano ogłoszenie.</w:t>
      </w:r>
    </w:p>
    <w:p w14:paraId="70617431" w14:textId="77777777" w:rsidR="000751FC" w:rsidRPr="000751FC" w:rsidRDefault="000751FC" w:rsidP="00AC14BD">
      <w:pPr>
        <w:spacing w:before="40" w:after="40" w:line="240" w:lineRule="auto"/>
        <w:rPr>
          <w:rFonts w:cstheme="minorHAnsi"/>
          <w:sz w:val="24"/>
          <w:szCs w:val="24"/>
        </w:rPr>
      </w:pPr>
    </w:p>
    <w:p w14:paraId="65B36812" w14:textId="77777777" w:rsidR="000751FC" w:rsidRPr="000751FC" w:rsidRDefault="000751FC" w:rsidP="00AC14BD">
      <w:pPr>
        <w:spacing w:before="40" w:after="40" w:line="240" w:lineRule="auto"/>
        <w:rPr>
          <w:rFonts w:cstheme="minorHAnsi"/>
          <w:sz w:val="24"/>
          <w:szCs w:val="24"/>
        </w:rPr>
      </w:pPr>
      <w:r w:rsidRPr="000751FC">
        <w:rPr>
          <w:rFonts w:cstheme="minorHAnsi"/>
          <w:sz w:val="24"/>
          <w:szCs w:val="24"/>
        </w:rPr>
        <w:t>IOK nie przewiduje możliwości skrócenia terminu składania wniosków o dofinansowanie.</w:t>
      </w:r>
    </w:p>
    <w:p w14:paraId="2EAC6683" w14:textId="77777777" w:rsidR="000751FC" w:rsidRPr="000751FC" w:rsidRDefault="000751FC" w:rsidP="00AC14BD">
      <w:pPr>
        <w:spacing w:before="40" w:after="40" w:line="240" w:lineRule="auto"/>
        <w:rPr>
          <w:rFonts w:cstheme="minorHAnsi"/>
          <w:color w:val="FF0000"/>
          <w:sz w:val="24"/>
          <w:szCs w:val="24"/>
        </w:rPr>
      </w:pPr>
    </w:p>
    <w:p w14:paraId="26E57F9D" w14:textId="77777777" w:rsidR="000751FC" w:rsidRPr="000751FC" w:rsidRDefault="000751FC" w:rsidP="00AC14BD">
      <w:pPr>
        <w:spacing w:before="40" w:after="40" w:line="240" w:lineRule="auto"/>
        <w:rPr>
          <w:rFonts w:cstheme="minorHAnsi"/>
          <w:b/>
          <w:sz w:val="24"/>
          <w:szCs w:val="24"/>
        </w:rPr>
      </w:pPr>
      <w:r w:rsidRPr="000751FC">
        <w:rPr>
          <w:rFonts w:cstheme="minorHAnsi"/>
          <w:b/>
          <w:sz w:val="24"/>
          <w:szCs w:val="24"/>
        </w:rPr>
        <w:t xml:space="preserve">Za datę wpływu wniosku o dofinansowanie do IOK uznaje się datę skutecznego złożenia (wysłania) wniosku </w:t>
      </w:r>
      <w:r w:rsidRPr="000751FC">
        <w:rPr>
          <w:rFonts w:cstheme="minorHAnsi"/>
          <w:sz w:val="24"/>
          <w:szCs w:val="24"/>
        </w:rPr>
        <w:t xml:space="preserve">za pośrednictwem aplikacji </w:t>
      </w:r>
      <w:r w:rsidRPr="000751FC">
        <w:rPr>
          <w:rFonts w:cstheme="minorHAnsi"/>
          <w:b/>
          <w:bCs/>
          <w:sz w:val="24"/>
          <w:szCs w:val="24"/>
        </w:rPr>
        <w:t>Generator Wniosków</w:t>
      </w:r>
      <w:r w:rsidRPr="000751FC">
        <w:rPr>
          <w:rFonts w:cstheme="minorHAnsi"/>
          <w:sz w:val="24"/>
          <w:szCs w:val="24"/>
        </w:rPr>
        <w:t>.</w:t>
      </w:r>
    </w:p>
    <w:p w14:paraId="4D5D8393" w14:textId="77777777" w:rsidR="000751FC" w:rsidRPr="000751FC" w:rsidRDefault="000751FC" w:rsidP="00AC14BD">
      <w:pPr>
        <w:spacing w:before="40" w:after="40" w:line="240" w:lineRule="auto"/>
        <w:rPr>
          <w:rFonts w:cstheme="minorHAnsi"/>
          <w:sz w:val="24"/>
          <w:szCs w:val="24"/>
        </w:rPr>
      </w:pPr>
      <w:r w:rsidRPr="000751FC">
        <w:rPr>
          <w:rFonts w:cstheme="minorHAnsi"/>
          <w:sz w:val="24"/>
          <w:szCs w:val="24"/>
        </w:rPr>
        <w:t xml:space="preserve">W przypadku złożenia (wysłania) poprawionej wersji wniosku o dofinansowanie projektu </w:t>
      </w:r>
      <w:r w:rsidRPr="000751FC">
        <w:rPr>
          <w:rFonts w:cstheme="minorHAnsi"/>
          <w:sz w:val="24"/>
          <w:szCs w:val="24"/>
        </w:rPr>
        <w:br/>
        <w:t>w aplikacji Generator Wniosków o dofinansowanie EFRR po terminie wskazanym przez IOK, wniosek pozostawia się bez rozpatrzenia.</w:t>
      </w:r>
    </w:p>
    <w:p w14:paraId="178D7A91" w14:textId="77777777" w:rsidR="000751FC" w:rsidRPr="000751FC" w:rsidRDefault="000751FC" w:rsidP="00AC14BD">
      <w:pPr>
        <w:spacing w:before="40" w:after="40" w:line="240" w:lineRule="auto"/>
        <w:rPr>
          <w:rFonts w:cstheme="minorHAnsi"/>
          <w:sz w:val="24"/>
          <w:szCs w:val="24"/>
        </w:rPr>
      </w:pPr>
    </w:p>
    <w:p w14:paraId="29A3D030" w14:textId="77777777" w:rsidR="000751FC" w:rsidRPr="000751FC" w:rsidRDefault="000751FC" w:rsidP="00AC14BD">
      <w:pPr>
        <w:spacing w:before="40" w:after="40" w:line="240" w:lineRule="auto"/>
        <w:rPr>
          <w:rFonts w:cstheme="minorHAnsi"/>
          <w:sz w:val="24"/>
          <w:szCs w:val="24"/>
        </w:rPr>
      </w:pPr>
      <w:r w:rsidRPr="000751FC">
        <w:rPr>
          <w:rFonts w:cstheme="minorHAnsi"/>
          <w:sz w:val="24"/>
          <w:szCs w:val="24"/>
        </w:rPr>
        <w:lastRenderedPageBreak/>
        <w:t xml:space="preserve">Złożenie poprawionej wersji wniosku o dofinansowanie w Generatorze Wniosków </w:t>
      </w:r>
      <w:r w:rsidRPr="000751FC">
        <w:rPr>
          <w:rFonts w:cstheme="minorHAnsi"/>
          <w:sz w:val="24"/>
          <w:szCs w:val="24"/>
        </w:rPr>
        <w:br/>
        <w:t xml:space="preserve">o dofinansowanie EFRR oznacza potwierdzenie zgodności wskazanej w nim treści, </w:t>
      </w:r>
      <w:r w:rsidRPr="000751FC">
        <w:rPr>
          <w:rFonts w:cstheme="minorHAnsi"/>
          <w:sz w:val="24"/>
          <w:szCs w:val="24"/>
        </w:rPr>
        <w:br/>
        <w:t>w szczególności oświadczeń zawartych w dokumencie (i załącznikach, które stanowią jego integralną część) ze stanem faktycznym.</w:t>
      </w:r>
    </w:p>
    <w:p w14:paraId="0C768E2B" w14:textId="77777777" w:rsidR="000751FC" w:rsidRPr="000751FC" w:rsidRDefault="000751FC" w:rsidP="00AC14BD">
      <w:pPr>
        <w:spacing w:before="40" w:after="40" w:line="240" w:lineRule="auto"/>
        <w:rPr>
          <w:rFonts w:cstheme="minorHAnsi"/>
          <w:sz w:val="24"/>
          <w:szCs w:val="24"/>
        </w:rPr>
      </w:pPr>
    </w:p>
    <w:p w14:paraId="3B38BB19" w14:textId="77777777" w:rsidR="000751FC" w:rsidRPr="000751FC" w:rsidRDefault="000751FC" w:rsidP="00AC14BD">
      <w:pPr>
        <w:spacing w:before="40" w:after="40" w:line="240" w:lineRule="auto"/>
        <w:rPr>
          <w:rFonts w:cstheme="minorHAnsi"/>
          <w:sz w:val="24"/>
          <w:szCs w:val="24"/>
        </w:rPr>
      </w:pPr>
      <w:r w:rsidRPr="000751FC">
        <w:rPr>
          <w:rFonts w:cstheme="minorHAnsi"/>
          <w:sz w:val="24"/>
          <w:szCs w:val="24"/>
        </w:rPr>
        <w:t xml:space="preserve">IOK nie wymaga podpisu elektronicznego (z wykorzystaniem ePUAP lub certyfikatu kwalifikowanego) wniosku o dofinansowanie złożonego w aplikacji Generator Wniosków </w:t>
      </w:r>
      <w:r w:rsidRPr="000751FC">
        <w:rPr>
          <w:rFonts w:cstheme="minorHAnsi"/>
          <w:sz w:val="24"/>
          <w:szCs w:val="24"/>
        </w:rPr>
        <w:br/>
        <w:t>o dofinansowanie EFRR.</w:t>
      </w:r>
    </w:p>
    <w:p w14:paraId="0A6E7FC2" w14:textId="77777777" w:rsidR="000751FC" w:rsidRPr="000751FC" w:rsidRDefault="000751FC" w:rsidP="00AC14BD">
      <w:pPr>
        <w:spacing w:before="40" w:after="40" w:line="240" w:lineRule="auto"/>
        <w:rPr>
          <w:rFonts w:cstheme="minorHAnsi"/>
          <w:sz w:val="24"/>
          <w:szCs w:val="24"/>
        </w:rPr>
      </w:pPr>
    </w:p>
    <w:p w14:paraId="4C27E881" w14:textId="77777777" w:rsidR="000751FC" w:rsidRPr="000751FC" w:rsidRDefault="000751FC" w:rsidP="00AC14BD">
      <w:pPr>
        <w:spacing w:before="40" w:after="40" w:line="240" w:lineRule="auto"/>
        <w:rPr>
          <w:rFonts w:cstheme="minorHAnsi"/>
          <w:sz w:val="24"/>
          <w:szCs w:val="24"/>
        </w:rPr>
      </w:pPr>
      <w:r w:rsidRPr="000751FC">
        <w:rPr>
          <w:rFonts w:cstheme="minorHAnsi"/>
          <w:sz w:val="24"/>
          <w:szCs w:val="24"/>
        </w:rPr>
        <w:t>Skany załączanych w Generatorze Wniosków załączników będących kopiami dokumentów muszą być potwierdzone „za zgodność z oryginałem” przez:</w:t>
      </w:r>
    </w:p>
    <w:p w14:paraId="320F6B17" w14:textId="77777777" w:rsidR="000751FC" w:rsidRPr="000751FC" w:rsidRDefault="000751FC" w:rsidP="00AC14BD">
      <w:pPr>
        <w:numPr>
          <w:ilvl w:val="0"/>
          <w:numId w:val="12"/>
        </w:numPr>
        <w:spacing w:before="40" w:after="40" w:line="240" w:lineRule="auto"/>
        <w:rPr>
          <w:rFonts w:cstheme="minorHAnsi"/>
          <w:sz w:val="24"/>
          <w:szCs w:val="24"/>
        </w:rPr>
      </w:pPr>
      <w:r w:rsidRPr="000751FC">
        <w:rPr>
          <w:rFonts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48C1D1C" w14:textId="77777777" w:rsidR="000751FC" w:rsidRPr="000751FC" w:rsidRDefault="000751FC" w:rsidP="00AC14BD">
      <w:pPr>
        <w:numPr>
          <w:ilvl w:val="0"/>
          <w:numId w:val="12"/>
        </w:numPr>
        <w:spacing w:before="40" w:after="40" w:line="240" w:lineRule="auto"/>
        <w:rPr>
          <w:rFonts w:cstheme="minorHAnsi"/>
          <w:sz w:val="24"/>
          <w:szCs w:val="24"/>
        </w:rPr>
      </w:pPr>
      <w:r w:rsidRPr="000751FC">
        <w:rPr>
          <w:rFonts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p w14:paraId="6C495B5D" w14:textId="77777777" w:rsidR="0031238E" w:rsidRPr="006A4042" w:rsidRDefault="0031238E" w:rsidP="00AC14BD">
      <w:pPr>
        <w:tabs>
          <w:tab w:val="left" w:pos="2835"/>
        </w:tabs>
        <w:spacing w:line="240" w:lineRule="auto"/>
        <w:rPr>
          <w:rFonts w:cstheme="minorHAnsi"/>
          <w:b/>
          <w:bCs/>
          <w:color w:val="FF0000"/>
        </w:rPr>
      </w:pPr>
    </w:p>
    <w:p w14:paraId="5542E716" w14:textId="77777777" w:rsidR="009938A4" w:rsidRPr="000751FC" w:rsidRDefault="00DE0D45" w:rsidP="00AC14BD">
      <w:pPr>
        <w:tabs>
          <w:tab w:val="left" w:pos="2835"/>
        </w:tabs>
        <w:spacing w:line="240" w:lineRule="auto"/>
        <w:rPr>
          <w:rFonts w:cstheme="minorHAnsi"/>
          <w:b/>
          <w:sz w:val="24"/>
          <w:szCs w:val="24"/>
          <w:u w:val="single"/>
        </w:rPr>
      </w:pPr>
      <w:r w:rsidRPr="000751FC">
        <w:rPr>
          <w:rFonts w:cstheme="minorHAnsi"/>
          <w:b/>
          <w:bCs/>
          <w:sz w:val="24"/>
          <w:szCs w:val="24"/>
        </w:rPr>
        <w:t>XI</w:t>
      </w:r>
      <w:r w:rsidR="001F3778" w:rsidRPr="000751FC">
        <w:rPr>
          <w:rFonts w:cstheme="minorHAnsi"/>
          <w:b/>
          <w:bCs/>
          <w:sz w:val="24"/>
          <w:szCs w:val="24"/>
        </w:rPr>
        <w:t xml:space="preserve">. </w:t>
      </w:r>
      <w:r w:rsidR="009938A4" w:rsidRPr="000751FC">
        <w:rPr>
          <w:rFonts w:cstheme="minorHAnsi"/>
          <w:b/>
          <w:bCs/>
          <w:sz w:val="24"/>
          <w:szCs w:val="24"/>
        </w:rPr>
        <w:t>Sposób i miejsce udostępnienia regulaminu:</w:t>
      </w:r>
    </w:p>
    <w:p w14:paraId="7AD6ED34" w14:textId="4346E309" w:rsidR="00E770C3" w:rsidRPr="000751FC" w:rsidRDefault="009938A4" w:rsidP="00AC14BD">
      <w:pPr>
        <w:spacing w:after="0" w:line="240" w:lineRule="auto"/>
        <w:rPr>
          <w:rFonts w:cstheme="minorHAnsi"/>
          <w:sz w:val="28"/>
          <w:szCs w:val="28"/>
        </w:rPr>
      </w:pPr>
      <w:r w:rsidRPr="000751FC">
        <w:rPr>
          <w:rFonts w:cstheme="minorHAnsi"/>
          <w:sz w:val="24"/>
          <w:szCs w:val="24"/>
        </w:rPr>
        <w:t>Wszystkie kwestie dotyczące naboru opisane zostały w Regulaminie, który dostępny jest wraz z</w:t>
      </w:r>
      <w:r w:rsidR="00633E1B" w:rsidRPr="000751FC">
        <w:rPr>
          <w:rFonts w:cstheme="minorHAnsi"/>
          <w:sz w:val="24"/>
          <w:szCs w:val="24"/>
        </w:rPr>
        <w:t> </w:t>
      </w:r>
      <w:r w:rsidRPr="000751FC">
        <w:rPr>
          <w:rFonts w:cstheme="minorHAnsi"/>
          <w:sz w:val="24"/>
          <w:szCs w:val="24"/>
        </w:rPr>
        <w:t xml:space="preserve">załącznikami </w:t>
      </w:r>
      <w:r w:rsidR="000565B1" w:rsidRPr="000751FC">
        <w:rPr>
          <w:rFonts w:eastAsia="Calibri" w:cstheme="minorHAnsi"/>
          <w:sz w:val="24"/>
          <w:szCs w:val="24"/>
          <w:lang w:eastAsia="pl-PL"/>
        </w:rPr>
        <w:t xml:space="preserve">na stronie internetowej RPO WD 2014-2020: </w:t>
      </w:r>
      <w:hyperlink r:id="rId12" w:history="1">
        <w:r w:rsidR="00705179" w:rsidRPr="000751FC">
          <w:rPr>
            <w:rStyle w:val="Hipercze"/>
            <w:rFonts w:eastAsia="Calibri" w:cstheme="minorHAnsi"/>
            <w:color w:val="auto"/>
            <w:sz w:val="24"/>
            <w:szCs w:val="24"/>
            <w:lang w:eastAsia="pl-PL"/>
          </w:rPr>
          <w:t>http://rpo.dolnyslask.pl/</w:t>
        </w:r>
      </w:hyperlink>
      <w:r w:rsidR="00705179" w:rsidRPr="000751FC">
        <w:rPr>
          <w:rFonts w:eastAsia="Calibri" w:cstheme="minorHAnsi"/>
          <w:sz w:val="24"/>
          <w:szCs w:val="24"/>
          <w:lang w:eastAsia="pl-PL"/>
        </w:rPr>
        <w:t xml:space="preserve"> </w:t>
      </w:r>
      <w:r w:rsidR="00633E1B" w:rsidRPr="000751FC">
        <w:rPr>
          <w:rFonts w:eastAsia="Calibri" w:cstheme="minorHAnsi"/>
          <w:sz w:val="24"/>
          <w:szCs w:val="24"/>
          <w:lang w:eastAsia="pl-PL"/>
        </w:rPr>
        <w:t xml:space="preserve"> </w:t>
      </w:r>
      <w:r w:rsidR="000565B1" w:rsidRPr="000751FC">
        <w:rPr>
          <w:rFonts w:eastAsia="Calibri" w:cstheme="minorHAnsi"/>
          <w:sz w:val="24"/>
          <w:szCs w:val="24"/>
          <w:lang w:eastAsia="pl-PL"/>
        </w:rPr>
        <w:t xml:space="preserve">oraz na portalu Funduszy Europejskich: </w:t>
      </w:r>
      <w:hyperlink r:id="rId13" w:history="1">
        <w:r w:rsidR="00705179" w:rsidRPr="000751FC">
          <w:rPr>
            <w:rStyle w:val="Hipercze"/>
            <w:rFonts w:eastAsia="Calibri" w:cstheme="minorHAnsi"/>
            <w:color w:val="auto"/>
            <w:sz w:val="24"/>
            <w:szCs w:val="24"/>
            <w:lang w:eastAsia="pl-PL"/>
          </w:rPr>
          <w:t>http://www.funduszeeuropejskie.gov.pl</w:t>
        </w:r>
      </w:hyperlink>
      <w:r w:rsidR="00910016" w:rsidRPr="000751FC">
        <w:rPr>
          <w:rFonts w:eastAsia="Calibri" w:cstheme="minorHAnsi"/>
          <w:sz w:val="24"/>
          <w:szCs w:val="24"/>
          <w:lang w:eastAsia="pl-PL"/>
        </w:rPr>
        <w:t>.</w:t>
      </w:r>
    </w:p>
    <w:sectPr w:rsidR="00E770C3" w:rsidRPr="000751FC"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1603" w14:textId="77777777" w:rsidR="008642D0" w:rsidRDefault="008642D0" w:rsidP="00E873C4">
      <w:pPr>
        <w:spacing w:after="0" w:line="240" w:lineRule="auto"/>
      </w:pPr>
      <w:r>
        <w:separator/>
      </w:r>
    </w:p>
  </w:endnote>
  <w:endnote w:type="continuationSeparator" w:id="0">
    <w:p w14:paraId="231F4FDB" w14:textId="77777777" w:rsidR="008642D0" w:rsidRDefault="008642D0"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338AF">
          <w:rPr>
            <w:noProof/>
          </w:rPr>
          <w:t>4</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FC94" w14:textId="77777777" w:rsidR="008642D0" w:rsidRDefault="008642D0" w:rsidP="00E873C4">
      <w:pPr>
        <w:spacing w:after="0" w:line="240" w:lineRule="auto"/>
      </w:pPr>
      <w:r>
        <w:separator/>
      </w:r>
    </w:p>
  </w:footnote>
  <w:footnote w:type="continuationSeparator" w:id="0">
    <w:p w14:paraId="29FB1CF1" w14:textId="77777777" w:rsidR="008642D0" w:rsidRDefault="008642D0" w:rsidP="00E873C4">
      <w:pPr>
        <w:spacing w:after="0" w:line="240" w:lineRule="auto"/>
      </w:pPr>
      <w:r>
        <w:continuationSeparator/>
      </w:r>
    </w:p>
  </w:footnote>
  <w:footnote w:id="1">
    <w:p w14:paraId="702BEB9C" w14:textId="77777777" w:rsidR="006A4042" w:rsidRPr="006A4042" w:rsidRDefault="006A4042" w:rsidP="006A4042">
      <w:pPr>
        <w:pStyle w:val="Tekstprzypisudolnego"/>
        <w:jc w:val="both"/>
        <w:rPr>
          <w:rFonts w:ascii="Calibri" w:hAnsi="Calibri"/>
          <w:sz w:val="16"/>
          <w:szCs w:val="16"/>
        </w:rPr>
      </w:pPr>
      <w:r w:rsidRPr="006A4042">
        <w:rPr>
          <w:rStyle w:val="Odwoanieprzypisudolnego"/>
          <w:rFonts w:ascii="Calibri" w:hAnsi="Calibri"/>
          <w:sz w:val="16"/>
          <w:szCs w:val="16"/>
        </w:rPr>
        <w:footnoteRef/>
      </w:r>
      <w:r w:rsidRPr="006A4042">
        <w:rPr>
          <w:rFonts w:ascii="Calibri" w:hAnsi="Calibri"/>
          <w:sz w:val="16"/>
          <w:szCs w:val="16"/>
        </w:rPr>
        <w:t xml:space="preserve"> Tj. instalacji odnawialnego źródła energii o łącznej mocy zainstalowanej elektrycznej nie większej niż 50 kW zarówno on-grid jak i off-grid.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637D6"/>
    <w:multiLevelType w:val="hybridMultilevel"/>
    <w:tmpl w:val="7A5A56F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5"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8"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0"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BC75BF"/>
    <w:multiLevelType w:val="hybridMultilevel"/>
    <w:tmpl w:val="CE1EEB3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50538B"/>
    <w:multiLevelType w:val="hybridMultilevel"/>
    <w:tmpl w:val="E8AA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79607E"/>
    <w:multiLevelType w:val="hybridMultilevel"/>
    <w:tmpl w:val="9C74A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4524630">
    <w:abstractNumId w:val="23"/>
  </w:num>
  <w:num w:numId="2" w16cid:durableId="1030033326">
    <w:abstractNumId w:val="20"/>
  </w:num>
  <w:num w:numId="3" w16cid:durableId="730889887">
    <w:abstractNumId w:val="5"/>
  </w:num>
  <w:num w:numId="4" w16cid:durableId="1774742537">
    <w:abstractNumId w:val="2"/>
  </w:num>
  <w:num w:numId="5" w16cid:durableId="1235437241">
    <w:abstractNumId w:val="22"/>
  </w:num>
  <w:num w:numId="6" w16cid:durableId="424114144">
    <w:abstractNumId w:val="6"/>
  </w:num>
  <w:num w:numId="7" w16cid:durableId="1940989064">
    <w:abstractNumId w:val="19"/>
  </w:num>
  <w:num w:numId="8" w16cid:durableId="75909524">
    <w:abstractNumId w:val="27"/>
  </w:num>
  <w:num w:numId="9" w16cid:durableId="1105661390">
    <w:abstractNumId w:val="15"/>
  </w:num>
  <w:num w:numId="10" w16cid:durableId="474301596">
    <w:abstractNumId w:val="26"/>
  </w:num>
  <w:num w:numId="11" w16cid:durableId="1987082223">
    <w:abstractNumId w:val="13"/>
  </w:num>
  <w:num w:numId="12" w16cid:durableId="38629682">
    <w:abstractNumId w:val="8"/>
  </w:num>
  <w:num w:numId="13" w16cid:durableId="809055604">
    <w:abstractNumId w:val="9"/>
  </w:num>
  <w:num w:numId="14" w16cid:durableId="1312639419">
    <w:abstractNumId w:val="28"/>
  </w:num>
  <w:num w:numId="15" w16cid:durableId="331685972">
    <w:abstractNumId w:val="17"/>
  </w:num>
  <w:num w:numId="16" w16cid:durableId="833567850">
    <w:abstractNumId w:val="14"/>
  </w:num>
  <w:num w:numId="17" w16cid:durableId="1388452541">
    <w:abstractNumId w:val="3"/>
  </w:num>
  <w:num w:numId="18" w16cid:durableId="2121341575">
    <w:abstractNumId w:val="16"/>
  </w:num>
  <w:num w:numId="19" w16cid:durableId="1545942764">
    <w:abstractNumId w:val="12"/>
  </w:num>
  <w:num w:numId="20" w16cid:durableId="1494837171">
    <w:abstractNumId w:val="24"/>
  </w:num>
  <w:num w:numId="21" w16cid:durableId="1112439825">
    <w:abstractNumId w:val="21"/>
  </w:num>
  <w:num w:numId="22" w16cid:durableId="1187325505">
    <w:abstractNumId w:val="10"/>
  </w:num>
  <w:num w:numId="23" w16cid:durableId="1432773951">
    <w:abstractNumId w:val="0"/>
  </w:num>
  <w:num w:numId="24" w16cid:durableId="705446708">
    <w:abstractNumId w:val="11"/>
  </w:num>
  <w:num w:numId="25" w16cid:durableId="1365442619">
    <w:abstractNumId w:val="1"/>
  </w:num>
  <w:num w:numId="26" w16cid:durableId="1989819873">
    <w:abstractNumId w:val="25"/>
  </w:num>
  <w:num w:numId="27" w16cid:durableId="1320964173">
    <w:abstractNumId w:val="4"/>
  </w:num>
  <w:num w:numId="28" w16cid:durableId="1901474375">
    <w:abstractNumId w:val="7"/>
  </w:num>
  <w:num w:numId="29" w16cid:durableId="15819864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C4"/>
    <w:rsid w:val="00002CA0"/>
    <w:rsid w:val="00004579"/>
    <w:rsid w:val="00004818"/>
    <w:rsid w:val="00020C5D"/>
    <w:rsid w:val="00021D74"/>
    <w:rsid w:val="00026219"/>
    <w:rsid w:val="000338AF"/>
    <w:rsid w:val="00034EE2"/>
    <w:rsid w:val="00036C41"/>
    <w:rsid w:val="00040467"/>
    <w:rsid w:val="0004133F"/>
    <w:rsid w:val="00051A6D"/>
    <w:rsid w:val="00051E3F"/>
    <w:rsid w:val="00052B7C"/>
    <w:rsid w:val="00053BC4"/>
    <w:rsid w:val="000552B0"/>
    <w:rsid w:val="000565B1"/>
    <w:rsid w:val="0006765F"/>
    <w:rsid w:val="00067A0F"/>
    <w:rsid w:val="000751FC"/>
    <w:rsid w:val="000763EC"/>
    <w:rsid w:val="00077561"/>
    <w:rsid w:val="000819AB"/>
    <w:rsid w:val="00083567"/>
    <w:rsid w:val="00083789"/>
    <w:rsid w:val="00085C19"/>
    <w:rsid w:val="000A2DAC"/>
    <w:rsid w:val="000A59C8"/>
    <w:rsid w:val="000A5A8B"/>
    <w:rsid w:val="000B2479"/>
    <w:rsid w:val="000B4BAD"/>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0598"/>
    <w:rsid w:val="001741B3"/>
    <w:rsid w:val="00174B77"/>
    <w:rsid w:val="001761C3"/>
    <w:rsid w:val="00180B34"/>
    <w:rsid w:val="00180CC3"/>
    <w:rsid w:val="00182231"/>
    <w:rsid w:val="001847A5"/>
    <w:rsid w:val="00194A90"/>
    <w:rsid w:val="001A771F"/>
    <w:rsid w:val="001B7E02"/>
    <w:rsid w:val="001B7E2A"/>
    <w:rsid w:val="001C7658"/>
    <w:rsid w:val="001D5ADE"/>
    <w:rsid w:val="001D710F"/>
    <w:rsid w:val="001E4AE8"/>
    <w:rsid w:val="001E5C34"/>
    <w:rsid w:val="001F3778"/>
    <w:rsid w:val="00200E2C"/>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63D0C"/>
    <w:rsid w:val="002648EB"/>
    <w:rsid w:val="00265C29"/>
    <w:rsid w:val="00266C86"/>
    <w:rsid w:val="002771D8"/>
    <w:rsid w:val="002777A2"/>
    <w:rsid w:val="00281302"/>
    <w:rsid w:val="0028267C"/>
    <w:rsid w:val="00282A69"/>
    <w:rsid w:val="00284BCE"/>
    <w:rsid w:val="002872B3"/>
    <w:rsid w:val="00292030"/>
    <w:rsid w:val="002A02F4"/>
    <w:rsid w:val="002A2FAD"/>
    <w:rsid w:val="002A3C72"/>
    <w:rsid w:val="002A644F"/>
    <w:rsid w:val="002A772D"/>
    <w:rsid w:val="002A77E2"/>
    <w:rsid w:val="002A7A36"/>
    <w:rsid w:val="002B0785"/>
    <w:rsid w:val="002B0E72"/>
    <w:rsid w:val="002B4B1B"/>
    <w:rsid w:val="002B541A"/>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16AB8"/>
    <w:rsid w:val="00320901"/>
    <w:rsid w:val="0032333D"/>
    <w:rsid w:val="00331136"/>
    <w:rsid w:val="003317C6"/>
    <w:rsid w:val="00331C42"/>
    <w:rsid w:val="003400B1"/>
    <w:rsid w:val="0034165B"/>
    <w:rsid w:val="00341F0C"/>
    <w:rsid w:val="00343298"/>
    <w:rsid w:val="00344EF4"/>
    <w:rsid w:val="003451EF"/>
    <w:rsid w:val="00355FD5"/>
    <w:rsid w:val="003560EF"/>
    <w:rsid w:val="003569D4"/>
    <w:rsid w:val="00364F8A"/>
    <w:rsid w:val="0037264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C533D"/>
    <w:rsid w:val="003D3723"/>
    <w:rsid w:val="003D6EF8"/>
    <w:rsid w:val="003F1BA7"/>
    <w:rsid w:val="003F530B"/>
    <w:rsid w:val="003F59D8"/>
    <w:rsid w:val="0040059D"/>
    <w:rsid w:val="00411FC6"/>
    <w:rsid w:val="004123F0"/>
    <w:rsid w:val="004153A5"/>
    <w:rsid w:val="00417D17"/>
    <w:rsid w:val="00423D3A"/>
    <w:rsid w:val="00424DF6"/>
    <w:rsid w:val="004263BE"/>
    <w:rsid w:val="00434AED"/>
    <w:rsid w:val="00434B9B"/>
    <w:rsid w:val="00435B86"/>
    <w:rsid w:val="00436944"/>
    <w:rsid w:val="004567F8"/>
    <w:rsid w:val="00456C95"/>
    <w:rsid w:val="004607F7"/>
    <w:rsid w:val="00462C9E"/>
    <w:rsid w:val="004640F4"/>
    <w:rsid w:val="00464E09"/>
    <w:rsid w:val="004666DF"/>
    <w:rsid w:val="00474A39"/>
    <w:rsid w:val="0047791A"/>
    <w:rsid w:val="00480411"/>
    <w:rsid w:val="00485BAF"/>
    <w:rsid w:val="004905C3"/>
    <w:rsid w:val="00495566"/>
    <w:rsid w:val="00496977"/>
    <w:rsid w:val="004A3789"/>
    <w:rsid w:val="004A3E40"/>
    <w:rsid w:val="004B0B50"/>
    <w:rsid w:val="004B2196"/>
    <w:rsid w:val="004B2AC2"/>
    <w:rsid w:val="004B3872"/>
    <w:rsid w:val="004B45B7"/>
    <w:rsid w:val="004B4E9A"/>
    <w:rsid w:val="004B5792"/>
    <w:rsid w:val="004B7276"/>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781B"/>
    <w:rsid w:val="005261AF"/>
    <w:rsid w:val="005304BE"/>
    <w:rsid w:val="00530F60"/>
    <w:rsid w:val="00531A59"/>
    <w:rsid w:val="00531AA5"/>
    <w:rsid w:val="00531E91"/>
    <w:rsid w:val="00532690"/>
    <w:rsid w:val="00532B51"/>
    <w:rsid w:val="00532F07"/>
    <w:rsid w:val="0053485A"/>
    <w:rsid w:val="00536BF7"/>
    <w:rsid w:val="00540EE1"/>
    <w:rsid w:val="005415B5"/>
    <w:rsid w:val="0054726D"/>
    <w:rsid w:val="005477CE"/>
    <w:rsid w:val="00547C81"/>
    <w:rsid w:val="00547E40"/>
    <w:rsid w:val="0056015A"/>
    <w:rsid w:val="00562DAB"/>
    <w:rsid w:val="00565A63"/>
    <w:rsid w:val="00567534"/>
    <w:rsid w:val="00571FD0"/>
    <w:rsid w:val="00574632"/>
    <w:rsid w:val="00575541"/>
    <w:rsid w:val="0057664E"/>
    <w:rsid w:val="005766AC"/>
    <w:rsid w:val="00585063"/>
    <w:rsid w:val="00594CA5"/>
    <w:rsid w:val="005A1B2C"/>
    <w:rsid w:val="005A2E62"/>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56FA"/>
    <w:rsid w:val="00637BA2"/>
    <w:rsid w:val="00642E79"/>
    <w:rsid w:val="00653C15"/>
    <w:rsid w:val="006545AC"/>
    <w:rsid w:val="00660BFE"/>
    <w:rsid w:val="00664EFC"/>
    <w:rsid w:val="00666F3F"/>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4042"/>
    <w:rsid w:val="006A6B66"/>
    <w:rsid w:val="006A7183"/>
    <w:rsid w:val="006B0BAB"/>
    <w:rsid w:val="006B2FE8"/>
    <w:rsid w:val="006B5689"/>
    <w:rsid w:val="006B5A9F"/>
    <w:rsid w:val="006C03F2"/>
    <w:rsid w:val="006C123A"/>
    <w:rsid w:val="006C3F4E"/>
    <w:rsid w:val="006C605B"/>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366B2"/>
    <w:rsid w:val="00745F91"/>
    <w:rsid w:val="0074779B"/>
    <w:rsid w:val="007547D7"/>
    <w:rsid w:val="007556F0"/>
    <w:rsid w:val="00756000"/>
    <w:rsid w:val="007564BC"/>
    <w:rsid w:val="00761383"/>
    <w:rsid w:val="007625CF"/>
    <w:rsid w:val="00763A7E"/>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38F5"/>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23E3"/>
    <w:rsid w:val="00854974"/>
    <w:rsid w:val="00857E01"/>
    <w:rsid w:val="00857E43"/>
    <w:rsid w:val="008600F3"/>
    <w:rsid w:val="00860505"/>
    <w:rsid w:val="00862A72"/>
    <w:rsid w:val="00863524"/>
    <w:rsid w:val="008642D0"/>
    <w:rsid w:val="0086547B"/>
    <w:rsid w:val="0086574D"/>
    <w:rsid w:val="00867A44"/>
    <w:rsid w:val="0087376F"/>
    <w:rsid w:val="0087487C"/>
    <w:rsid w:val="00881E11"/>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750E7"/>
    <w:rsid w:val="00980105"/>
    <w:rsid w:val="00984533"/>
    <w:rsid w:val="00986AA2"/>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1C3B"/>
    <w:rsid w:val="009D3B9B"/>
    <w:rsid w:val="009E0C22"/>
    <w:rsid w:val="009E1832"/>
    <w:rsid w:val="009E443F"/>
    <w:rsid w:val="009E51F3"/>
    <w:rsid w:val="009E5231"/>
    <w:rsid w:val="009E6D7B"/>
    <w:rsid w:val="009F226B"/>
    <w:rsid w:val="009F3ECD"/>
    <w:rsid w:val="009F540F"/>
    <w:rsid w:val="009F718B"/>
    <w:rsid w:val="00A00014"/>
    <w:rsid w:val="00A00F1A"/>
    <w:rsid w:val="00A01645"/>
    <w:rsid w:val="00A01E77"/>
    <w:rsid w:val="00A01F5F"/>
    <w:rsid w:val="00A0322A"/>
    <w:rsid w:val="00A05FE7"/>
    <w:rsid w:val="00A0659C"/>
    <w:rsid w:val="00A2376A"/>
    <w:rsid w:val="00A242F1"/>
    <w:rsid w:val="00A24988"/>
    <w:rsid w:val="00A24C6A"/>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08A1"/>
    <w:rsid w:val="00A96C91"/>
    <w:rsid w:val="00AA0A4C"/>
    <w:rsid w:val="00AA421A"/>
    <w:rsid w:val="00AA6012"/>
    <w:rsid w:val="00AB1F03"/>
    <w:rsid w:val="00AB4F18"/>
    <w:rsid w:val="00AB4FBA"/>
    <w:rsid w:val="00AB5956"/>
    <w:rsid w:val="00AB649E"/>
    <w:rsid w:val="00AC14BD"/>
    <w:rsid w:val="00AC2E88"/>
    <w:rsid w:val="00AC3A62"/>
    <w:rsid w:val="00AC43B1"/>
    <w:rsid w:val="00AD3892"/>
    <w:rsid w:val="00AD417D"/>
    <w:rsid w:val="00AD4A9A"/>
    <w:rsid w:val="00AD4F70"/>
    <w:rsid w:val="00AD6E10"/>
    <w:rsid w:val="00AE05B6"/>
    <w:rsid w:val="00AE0D81"/>
    <w:rsid w:val="00AE18F4"/>
    <w:rsid w:val="00AE3B42"/>
    <w:rsid w:val="00AF086D"/>
    <w:rsid w:val="00AF23BD"/>
    <w:rsid w:val="00AF490F"/>
    <w:rsid w:val="00AF520B"/>
    <w:rsid w:val="00AF6165"/>
    <w:rsid w:val="00AF6CE9"/>
    <w:rsid w:val="00B047EB"/>
    <w:rsid w:val="00B05ACC"/>
    <w:rsid w:val="00B141D3"/>
    <w:rsid w:val="00B168A1"/>
    <w:rsid w:val="00B16A8E"/>
    <w:rsid w:val="00B203D0"/>
    <w:rsid w:val="00B20447"/>
    <w:rsid w:val="00B23C9D"/>
    <w:rsid w:val="00B25A72"/>
    <w:rsid w:val="00B277EC"/>
    <w:rsid w:val="00B359A8"/>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A4771"/>
    <w:rsid w:val="00BC357F"/>
    <w:rsid w:val="00BC5BD2"/>
    <w:rsid w:val="00BD2093"/>
    <w:rsid w:val="00BD6FF8"/>
    <w:rsid w:val="00BD77D6"/>
    <w:rsid w:val="00BD7E57"/>
    <w:rsid w:val="00BE0F18"/>
    <w:rsid w:val="00BE18C2"/>
    <w:rsid w:val="00BE28F5"/>
    <w:rsid w:val="00BE3142"/>
    <w:rsid w:val="00BE5EED"/>
    <w:rsid w:val="00BE7BF6"/>
    <w:rsid w:val="00BF0C2F"/>
    <w:rsid w:val="00C008C6"/>
    <w:rsid w:val="00C00EE8"/>
    <w:rsid w:val="00C04E00"/>
    <w:rsid w:val="00C06228"/>
    <w:rsid w:val="00C12D2E"/>
    <w:rsid w:val="00C1314F"/>
    <w:rsid w:val="00C1610E"/>
    <w:rsid w:val="00C16578"/>
    <w:rsid w:val="00C20038"/>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39FB"/>
    <w:rsid w:val="00CA42ED"/>
    <w:rsid w:val="00CA5470"/>
    <w:rsid w:val="00CA5A48"/>
    <w:rsid w:val="00CB0572"/>
    <w:rsid w:val="00CD6D41"/>
    <w:rsid w:val="00CD7332"/>
    <w:rsid w:val="00CE00BD"/>
    <w:rsid w:val="00CE03F4"/>
    <w:rsid w:val="00CE6FDD"/>
    <w:rsid w:val="00CF062E"/>
    <w:rsid w:val="00CF075C"/>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1ECE"/>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3E7B"/>
    <w:rsid w:val="00D857C3"/>
    <w:rsid w:val="00D875F0"/>
    <w:rsid w:val="00D905F3"/>
    <w:rsid w:val="00D923A9"/>
    <w:rsid w:val="00D95D6A"/>
    <w:rsid w:val="00DA002C"/>
    <w:rsid w:val="00DA1B11"/>
    <w:rsid w:val="00DA215F"/>
    <w:rsid w:val="00DA21AD"/>
    <w:rsid w:val="00DA2582"/>
    <w:rsid w:val="00DA46B3"/>
    <w:rsid w:val="00DA4A3C"/>
    <w:rsid w:val="00DA7F5A"/>
    <w:rsid w:val="00DB19E6"/>
    <w:rsid w:val="00DB2036"/>
    <w:rsid w:val="00DB2E3D"/>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32A7"/>
    <w:rsid w:val="00DE51F0"/>
    <w:rsid w:val="00DE58E8"/>
    <w:rsid w:val="00DF0941"/>
    <w:rsid w:val="00DF1E84"/>
    <w:rsid w:val="00DF5F45"/>
    <w:rsid w:val="00E000B7"/>
    <w:rsid w:val="00E02381"/>
    <w:rsid w:val="00E04B99"/>
    <w:rsid w:val="00E05575"/>
    <w:rsid w:val="00E05670"/>
    <w:rsid w:val="00E10234"/>
    <w:rsid w:val="00E10298"/>
    <w:rsid w:val="00E14EAD"/>
    <w:rsid w:val="00E168BF"/>
    <w:rsid w:val="00E204DA"/>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161C"/>
    <w:rsid w:val="00E820F5"/>
    <w:rsid w:val="00E873C4"/>
    <w:rsid w:val="00E92452"/>
    <w:rsid w:val="00E94FCB"/>
    <w:rsid w:val="00E958D2"/>
    <w:rsid w:val="00E97CAE"/>
    <w:rsid w:val="00EB106A"/>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5D9E"/>
    <w:rsid w:val="00F2638F"/>
    <w:rsid w:val="00F278EC"/>
    <w:rsid w:val="00F27C2E"/>
    <w:rsid w:val="00F30021"/>
    <w:rsid w:val="00F373AC"/>
    <w:rsid w:val="00F37B47"/>
    <w:rsid w:val="00F555E4"/>
    <w:rsid w:val="00F653A6"/>
    <w:rsid w:val="00F65B12"/>
    <w:rsid w:val="00F66690"/>
    <w:rsid w:val="00F6688E"/>
    <w:rsid w:val="00F66A4E"/>
    <w:rsid w:val="00F6718E"/>
    <w:rsid w:val="00F748E0"/>
    <w:rsid w:val="00F75364"/>
    <w:rsid w:val="00F76B28"/>
    <w:rsid w:val="00F83817"/>
    <w:rsid w:val="00F84251"/>
    <w:rsid w:val="00F8458B"/>
    <w:rsid w:val="00F90526"/>
    <w:rsid w:val="00F91A90"/>
    <w:rsid w:val="00F92F37"/>
    <w:rsid w:val="00F9533E"/>
    <w:rsid w:val="00F975C3"/>
    <w:rsid w:val="00FA2D84"/>
    <w:rsid w:val="00FA3BA0"/>
    <w:rsid w:val="00FA4916"/>
    <w:rsid w:val="00FA6B9F"/>
    <w:rsid w:val="00FA6E93"/>
    <w:rsid w:val="00FA749C"/>
    <w:rsid w:val="00FB50C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4402C"/>
  <w15:docId w15:val="{D68CDDB2-2B28-4F6B-8614-590DF4B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qForma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Nierozpoznanawzmianka1">
    <w:name w:val="Nierozpoznana wzmianka1"/>
    <w:basedOn w:val="Domylnaczcionkaakapitu"/>
    <w:uiPriority w:val="99"/>
    <w:semiHidden/>
    <w:unhideWhenUsed/>
    <w:rsid w:val="001645E6"/>
    <w:rPr>
      <w:color w:val="605E5C"/>
      <w:shd w:val="clear" w:color="auto" w:fill="E1DFDD"/>
    </w:rPr>
  </w:style>
  <w:style w:type="paragraph" w:customStyle="1" w:styleId="QuotedText">
    <w:name w:val="Quoted Text"/>
    <w:basedOn w:val="Normalny"/>
    <w:rsid w:val="00567534"/>
    <w:pPr>
      <w:spacing w:before="120" w:after="120" w:line="240" w:lineRule="auto"/>
      <w:ind w:left="1417"/>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B622-6E18-4A4F-9CBA-F5A629B7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4430</Words>
  <Characters>26585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Olga Glanert</cp:lastModifiedBy>
  <cp:revision>35</cp:revision>
  <cp:lastPrinted>2022-05-06T11:56:00Z</cp:lastPrinted>
  <dcterms:created xsi:type="dcterms:W3CDTF">2022-03-24T11:38:00Z</dcterms:created>
  <dcterms:modified xsi:type="dcterms:W3CDTF">2022-05-23T06:32:00Z</dcterms:modified>
</cp:coreProperties>
</file>