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DA68" w14:textId="49650229" w:rsidR="00275240" w:rsidRDefault="00275240" w:rsidP="00275240">
      <w:pPr>
        <w:autoSpaceDE w:val="0"/>
        <w:autoSpaceDN w:val="0"/>
        <w:spacing w:before="120" w:after="120" w:line="276" w:lineRule="auto"/>
        <w:jc w:val="center"/>
        <w:rPr>
          <w:rFonts w:asciiTheme="minorHAnsi" w:hAnsiTheme="minorHAnsi" w:cs="Calibri"/>
          <w:b/>
          <w:sz w:val="28"/>
          <w:szCs w:val="28"/>
        </w:rPr>
      </w:pPr>
      <w:r w:rsidRPr="00275240">
        <w:rPr>
          <w:rFonts w:asciiTheme="minorHAnsi" w:hAnsiTheme="minorHAnsi" w:cs="Calibri"/>
          <w:b/>
          <w:sz w:val="28"/>
          <w:szCs w:val="28"/>
        </w:rPr>
        <w:t>Lista wskaźników na poziomie projektu dla Działania 5.</w:t>
      </w:r>
      <w:r w:rsidR="00565671">
        <w:rPr>
          <w:rFonts w:asciiTheme="minorHAnsi" w:hAnsiTheme="minorHAnsi" w:cs="Calibri"/>
          <w:b/>
          <w:sz w:val="28"/>
          <w:szCs w:val="28"/>
        </w:rPr>
        <w:t xml:space="preserve">2 System transportu kolejowego, </w:t>
      </w:r>
      <w:r w:rsidRPr="00275240">
        <w:rPr>
          <w:rFonts w:asciiTheme="minorHAnsi" w:hAnsiTheme="minorHAnsi" w:cs="Calibri"/>
          <w:b/>
          <w:sz w:val="28"/>
          <w:szCs w:val="28"/>
        </w:rPr>
        <w:t>Poddziałania 5.</w:t>
      </w:r>
      <w:r w:rsidR="00565671">
        <w:rPr>
          <w:rFonts w:asciiTheme="minorHAnsi" w:hAnsiTheme="minorHAnsi" w:cs="Calibri"/>
          <w:b/>
          <w:sz w:val="28"/>
          <w:szCs w:val="28"/>
        </w:rPr>
        <w:t>2</w:t>
      </w:r>
      <w:r w:rsidRPr="00275240">
        <w:rPr>
          <w:rFonts w:asciiTheme="minorHAnsi" w:hAnsiTheme="minorHAnsi" w:cs="Calibri"/>
          <w:b/>
          <w:sz w:val="28"/>
          <w:szCs w:val="28"/>
        </w:rPr>
        <w:t xml:space="preserve">.1 </w:t>
      </w:r>
      <w:r w:rsidRPr="00275240">
        <w:rPr>
          <w:rFonts w:asciiTheme="minorHAnsi" w:hAnsiTheme="minorHAnsi" w:cs="Calibri"/>
          <w:b/>
          <w:bCs/>
          <w:sz w:val="28"/>
          <w:szCs w:val="28"/>
        </w:rPr>
        <w:t xml:space="preserve"> </w:t>
      </w:r>
      <w:r w:rsidR="00565671" w:rsidRPr="00565671">
        <w:rPr>
          <w:rFonts w:asciiTheme="minorHAnsi" w:hAnsiTheme="minorHAnsi" w:cs="Calibri"/>
          <w:b/>
          <w:bCs/>
          <w:sz w:val="28"/>
          <w:szCs w:val="28"/>
        </w:rPr>
        <w:t>System transportu kolejowego</w:t>
      </w:r>
      <w:r w:rsidRPr="00275240">
        <w:rPr>
          <w:rFonts w:asciiTheme="minorHAnsi" w:hAnsiTheme="minorHAnsi" w:cs="Calibri"/>
          <w:b/>
          <w:bCs/>
          <w:sz w:val="28"/>
          <w:szCs w:val="28"/>
        </w:rPr>
        <w:t xml:space="preserve"> – konkursy horyzontalne </w:t>
      </w:r>
      <w:r w:rsidRPr="00275240">
        <w:rPr>
          <w:rFonts w:asciiTheme="minorHAnsi" w:hAnsiTheme="minorHAnsi" w:cs="Calibri"/>
          <w:b/>
          <w:sz w:val="28"/>
          <w:szCs w:val="28"/>
        </w:rPr>
        <w:t>RPO WD 2014-2020</w:t>
      </w:r>
    </w:p>
    <w:p w14:paraId="5AB8AB3E" w14:textId="0E3E6330" w:rsidR="00565671" w:rsidRPr="00565671" w:rsidRDefault="00275240" w:rsidP="00565671">
      <w:pPr>
        <w:autoSpaceDE w:val="0"/>
        <w:autoSpaceDN w:val="0"/>
        <w:spacing w:before="120" w:after="120" w:line="276" w:lineRule="auto"/>
        <w:jc w:val="both"/>
        <w:rPr>
          <w:rFonts w:asciiTheme="minorHAnsi" w:hAnsiTheme="minorHAnsi" w:cs="Calibri"/>
          <w:b/>
          <w:sz w:val="20"/>
          <w:u w:val="single"/>
        </w:rPr>
      </w:pPr>
      <w:r w:rsidRPr="00275240">
        <w:rPr>
          <w:rFonts w:asciiTheme="minorHAnsi" w:hAnsiTheme="minorHAnsi" w:cs="Calibri"/>
          <w:b/>
          <w:sz w:val="20"/>
        </w:rPr>
        <w:t xml:space="preserve">Typ </w:t>
      </w:r>
      <w:r w:rsidR="00565671" w:rsidRPr="00565671">
        <w:rPr>
          <w:rFonts w:asciiTheme="minorHAnsi" w:hAnsiTheme="minorHAnsi" w:cs="Calibri"/>
          <w:b/>
          <w:sz w:val="20"/>
        </w:rPr>
        <w:t>5.2.A projekty dotyczące przebudowy, modernizacji, rewitalizacji a także, w uzasadnionych przypadkach – budowy sieci kolejowej o znaczeniu re</w:t>
      </w:r>
      <w:r w:rsidR="00565671">
        <w:rPr>
          <w:rFonts w:asciiTheme="minorHAnsi" w:hAnsiTheme="minorHAnsi" w:cs="Calibri"/>
          <w:b/>
          <w:sz w:val="20"/>
        </w:rPr>
        <w:t xml:space="preserve">gionalnym, doprowadzające ruch </w:t>
      </w:r>
      <w:r w:rsidR="00565671" w:rsidRPr="00565671">
        <w:rPr>
          <w:rFonts w:asciiTheme="minorHAnsi" w:hAnsiTheme="minorHAnsi" w:cs="Calibri"/>
          <w:b/>
          <w:sz w:val="20"/>
        </w:rPr>
        <w:t>w kierunku sieci TEN-T.</w:t>
      </w:r>
    </w:p>
    <w:p w14:paraId="03D25366" w14:textId="68B3F486" w:rsidR="00275240" w:rsidRDefault="00275240" w:rsidP="00565671">
      <w:pPr>
        <w:autoSpaceDE w:val="0"/>
        <w:autoSpaceDN w:val="0"/>
        <w:spacing w:before="120" w:after="120" w:line="276" w:lineRule="auto"/>
        <w:jc w:val="both"/>
        <w:rPr>
          <w:rFonts w:asciiTheme="minorHAnsi" w:eastAsiaTheme="minorHAnsi" w:hAnsiTheme="minorHAnsi" w:cs="Calibri"/>
          <w:szCs w:val="22"/>
          <w:lang w:eastAsia="en-US"/>
        </w:rPr>
      </w:pPr>
    </w:p>
    <w:p w14:paraId="6D18EA26"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6FDBAE76"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Wybór wskaźników projektu powinien być powiązany z typem realizowanego przedsięwzięcia </w:t>
      </w:r>
      <w:r w:rsidRPr="00275240">
        <w:rPr>
          <w:rFonts w:asciiTheme="minorHAnsi" w:eastAsiaTheme="minorHAnsi" w:hAnsiTheme="minorHAnsi" w:cs="Calibri"/>
          <w:sz w:val="22"/>
          <w:szCs w:val="22"/>
          <w:lang w:eastAsia="en-US"/>
        </w:rPr>
        <w:br/>
        <w:t xml:space="preserve">i planowanymi działaniami, które Wnioskodawca zamierza podjąć w ramach projektu. </w:t>
      </w:r>
      <w:r w:rsidRPr="00275240">
        <w:rPr>
          <w:rFonts w:asciiTheme="minorHAnsi" w:eastAsiaTheme="minorHAnsi" w:hAnsiTheme="minorHAnsi" w:cs="Calibri"/>
          <w:bCs/>
          <w:sz w:val="22"/>
          <w:szCs w:val="22"/>
          <w:lang w:eastAsia="en-US"/>
        </w:rPr>
        <w:t>Do celu głównego projektu Wnioskodawca powinien dobrać odpowiednie wskaźniki, produktu i rezultatu</w:t>
      </w:r>
      <w:r w:rsidRPr="00275240">
        <w:rPr>
          <w:rFonts w:asciiTheme="minorHAnsi" w:eastAsiaTheme="minorHAnsi" w:hAnsiTheme="minorHAnsi" w:cs="Calibri"/>
          <w:sz w:val="22"/>
          <w:szCs w:val="22"/>
          <w:lang w:eastAsia="en-US"/>
        </w:rPr>
        <w:t xml:space="preserve"> bezpośredniego. Muszą być logicznie powiązane z projektem i spójne. </w:t>
      </w:r>
    </w:p>
    <w:p w14:paraId="59C0CC0B"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Każdy ze wskaźników powinien posiadać następujące cechy:</w:t>
      </w:r>
    </w:p>
    <w:p w14:paraId="5460A07B"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adekwatność – wskaźnik powinien być dostosowany do charakteru projektu oraz oczekiwanych efektów związanych z jego realizacją;</w:t>
      </w:r>
    </w:p>
    <w:p w14:paraId="19F96A66"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mierzalność – wskaźnik powinien być kwantyfikowalny, tj. wyrażony w wartościach liczbowych bądź finansowych;</w:t>
      </w:r>
    </w:p>
    <w:p w14:paraId="10738B1F"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wiarygodność – wskaźnik powinien być zdefiniowany w taki sposób, aby jego weryfikacja nie powodowała utrudnień;</w:t>
      </w:r>
    </w:p>
    <w:p w14:paraId="3BACE35A"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dostępność – wskaźnik powinien być łatwy do określenia w wyniku realizacji projektu;</w:t>
      </w:r>
    </w:p>
    <w:p w14:paraId="729ACB49" w14:textId="77777777" w:rsidR="00275240" w:rsidRPr="00275240" w:rsidRDefault="00275240" w:rsidP="00275240">
      <w:pPr>
        <w:pStyle w:val="Default"/>
        <w:numPr>
          <w:ilvl w:val="0"/>
          <w:numId w:val="3"/>
        </w:numPr>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określony w czasie – wartość wskaźnika powinna zostać określona w czasie, tj. określony rok osiągnięcia wartości docelowej wskaźnika oraz okres, w którym będzie mierzony wskaźnik.</w:t>
      </w:r>
    </w:p>
    <w:p w14:paraId="37759652"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Odpowiednio we wniosku o dofinansowanie należy określić, w jaki sposób mierzona będzie realizacja celu poprzez ustalenie wskaźników. Należy wybrać wszystkie wskaźniki adekwatne do zakresu i celu projektu.</w:t>
      </w:r>
    </w:p>
    <w:p w14:paraId="3514A9B9"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p>
    <w:p w14:paraId="74BFE131"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W ramach RPO WD 2014-2020 rozróżnia się następujące wskaźniki:</w:t>
      </w:r>
    </w:p>
    <w:p w14:paraId="002EFD7B"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obligatoryjne – wskaźniki ujęte w RPO WD 2014-2020, SZOOP RPO WD 2014-2020</w:t>
      </w:r>
    </w:p>
    <w:p w14:paraId="25BF01B8"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 xml:space="preserve">horyzontalne </w:t>
      </w:r>
    </w:p>
    <w:p w14:paraId="2BB1C5DD" w14:textId="77777777" w:rsidR="00275240" w:rsidRPr="00275240" w:rsidRDefault="00275240" w:rsidP="00275240">
      <w:pPr>
        <w:pStyle w:val="Default"/>
        <w:numPr>
          <w:ilvl w:val="0"/>
          <w:numId w:val="5"/>
        </w:numPr>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b/>
          <w:sz w:val="22"/>
          <w:szCs w:val="22"/>
          <w:lang w:eastAsia="en-US"/>
        </w:rPr>
        <w:t>dodatkowe – wskaźniki projektowe</w:t>
      </w:r>
    </w:p>
    <w:p w14:paraId="5E00853A"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p>
    <w:p w14:paraId="5503E905" w14:textId="77777777" w:rsidR="00275240" w:rsidRPr="00275240" w:rsidRDefault="00275240" w:rsidP="00275240">
      <w:pPr>
        <w:pStyle w:val="Default"/>
        <w:spacing w:line="276" w:lineRule="auto"/>
        <w:jc w:val="both"/>
        <w:rPr>
          <w:rFonts w:asciiTheme="minorHAnsi" w:eastAsiaTheme="minorHAnsi" w:hAnsiTheme="minorHAnsi" w:cs="Calibri"/>
          <w:b/>
          <w:bCs/>
          <w:sz w:val="22"/>
          <w:szCs w:val="22"/>
          <w:lang w:eastAsia="en-US"/>
        </w:rPr>
      </w:pPr>
      <w:r w:rsidRPr="00275240">
        <w:rPr>
          <w:rFonts w:asciiTheme="minorHAnsi" w:eastAsiaTheme="minorHAnsi" w:hAnsiTheme="minorHAnsi" w:cs="Calibri"/>
          <w:b/>
          <w:bCs/>
          <w:sz w:val="22"/>
          <w:szCs w:val="22"/>
          <w:lang w:eastAsia="en-US"/>
        </w:rPr>
        <w:t>Wymagania w zakresie wskaźników w projekcie</w:t>
      </w:r>
    </w:p>
    <w:p w14:paraId="120F54B0"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 ramach wniosku o dofinansowanie projektu Wnioskodawca określa </w:t>
      </w:r>
      <w:r w:rsidRPr="00275240">
        <w:rPr>
          <w:rFonts w:asciiTheme="minorHAnsi" w:eastAsiaTheme="minorHAnsi" w:hAnsiTheme="minorHAnsi" w:cs="Calibri"/>
          <w:b/>
          <w:bCs/>
          <w:sz w:val="22"/>
          <w:szCs w:val="22"/>
          <w:lang w:eastAsia="en-US"/>
        </w:rPr>
        <w:t>wskaźniki służące pomiarowi działań i celów założonych w projekcie.</w:t>
      </w:r>
      <w:r w:rsidRPr="00275240">
        <w:rPr>
          <w:rFonts w:asciiTheme="minorHAnsi" w:eastAsiaTheme="minorHAnsi" w:hAnsiTheme="minorHAnsi" w:cs="Calibri"/>
          <w:sz w:val="22"/>
          <w:szCs w:val="22"/>
          <w:lang w:eastAsia="en-US"/>
        </w:rPr>
        <w:t xml:space="preserve"> Wskaźniki w ramach projektu należy określić mając </w:t>
      </w:r>
      <w:r w:rsidRPr="00275240">
        <w:rPr>
          <w:rFonts w:asciiTheme="minorHAnsi" w:eastAsiaTheme="minorHAnsi" w:hAnsiTheme="minorHAnsi" w:cs="Calibri"/>
          <w:sz w:val="22"/>
          <w:szCs w:val="22"/>
          <w:lang w:eastAsia="en-US"/>
        </w:rPr>
        <w:br/>
        <w:t>w szczególności na uwadze zapisy niniejszego regulaminu.</w:t>
      </w:r>
    </w:p>
    <w:p w14:paraId="71309EAE" w14:textId="77777777" w:rsidR="00275240" w:rsidRPr="00275240" w:rsidRDefault="00275240" w:rsidP="00275240">
      <w:pPr>
        <w:pStyle w:val="Default"/>
        <w:jc w:val="both"/>
        <w:rPr>
          <w:rFonts w:asciiTheme="minorHAnsi" w:eastAsiaTheme="minorHAnsi" w:hAnsiTheme="minorHAnsi" w:cs="Calibri"/>
          <w:sz w:val="22"/>
          <w:szCs w:val="22"/>
          <w:lang w:eastAsia="en-US"/>
        </w:rPr>
      </w:pPr>
    </w:p>
    <w:p w14:paraId="714462A2" w14:textId="77777777" w:rsidR="00275240" w:rsidRPr="00275240" w:rsidRDefault="00275240" w:rsidP="00275240">
      <w:pPr>
        <w:pStyle w:val="Default"/>
        <w:spacing w:line="276" w:lineRule="auto"/>
        <w:jc w:val="both"/>
        <w:rPr>
          <w:rFonts w:asciiTheme="minorHAnsi" w:eastAsiaTheme="minorHAnsi" w:hAnsiTheme="minorHAnsi" w:cs="Calibri"/>
          <w:b/>
          <w:sz w:val="22"/>
          <w:szCs w:val="22"/>
          <w:lang w:eastAsia="en-US"/>
        </w:rPr>
      </w:pPr>
      <w:r w:rsidRPr="00275240">
        <w:rPr>
          <w:rFonts w:asciiTheme="minorHAnsi" w:eastAsiaTheme="minorHAnsi" w:hAnsiTheme="minorHAnsi" w:cs="Calibri"/>
          <w:sz w:val="22"/>
          <w:szCs w:val="22"/>
          <w:lang w:eastAsia="en-US"/>
        </w:rPr>
        <w:lastRenderedPageBreak/>
        <w:t xml:space="preserve"> </w:t>
      </w:r>
      <w:r w:rsidRPr="00275240">
        <w:rPr>
          <w:rFonts w:asciiTheme="minorHAnsi" w:eastAsiaTheme="minorHAnsi" w:hAnsiTheme="minorHAnsi" w:cs="Calibri"/>
          <w:b/>
          <w:sz w:val="22"/>
          <w:szCs w:val="22"/>
          <w:lang w:eastAsia="en-US"/>
        </w:rPr>
        <w:t xml:space="preserve">W przypadku, gdy w ramach danego Działania uwzględniony został wskaźnik z RPO WD 2014-2020, </w:t>
      </w:r>
      <w:proofErr w:type="spellStart"/>
      <w:r w:rsidRPr="00275240">
        <w:rPr>
          <w:rFonts w:asciiTheme="minorHAnsi" w:eastAsiaTheme="minorHAnsi" w:hAnsiTheme="minorHAnsi" w:cs="Calibri"/>
          <w:b/>
          <w:sz w:val="22"/>
          <w:szCs w:val="22"/>
          <w:lang w:eastAsia="en-US"/>
        </w:rPr>
        <w:t>SzOOP</w:t>
      </w:r>
      <w:proofErr w:type="spellEnd"/>
      <w:r w:rsidRPr="00275240">
        <w:rPr>
          <w:rFonts w:asciiTheme="minorHAnsi" w:eastAsiaTheme="minorHAnsi" w:hAnsiTheme="minorHAnsi" w:cs="Calibri"/>
          <w:b/>
          <w:sz w:val="22"/>
          <w:szCs w:val="22"/>
          <w:lang w:eastAsia="en-US"/>
        </w:rPr>
        <w:t xml:space="preserve"> RPO WD 2014 – 2020, który odzwierciedla zakres projektu, jego wykazanie dla Wnioskodawcy jest obligatoryjne. </w:t>
      </w:r>
    </w:p>
    <w:p w14:paraId="6788D091"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b/>
          <w:sz w:val="22"/>
          <w:szCs w:val="22"/>
          <w:lang w:eastAsia="en-US"/>
        </w:rPr>
        <w:t>W</w:t>
      </w:r>
      <w:r w:rsidRPr="00275240">
        <w:rPr>
          <w:rFonts w:asciiTheme="minorHAnsi" w:eastAsiaTheme="minorHAnsi" w:hAnsiTheme="minorHAnsi" w:cs="Calibri"/>
          <w:b/>
          <w:bCs/>
          <w:sz w:val="22"/>
          <w:szCs w:val="22"/>
          <w:lang w:eastAsia="en-US"/>
        </w:rPr>
        <w:t>skaźniki produktu</w:t>
      </w:r>
      <w:r w:rsidRPr="00275240">
        <w:rPr>
          <w:rFonts w:asciiTheme="minorHAnsi" w:eastAsiaTheme="minorHAnsi" w:hAnsiTheme="minorHAnsi" w:cs="Calibri"/>
          <w:bCs/>
          <w:sz w:val="22"/>
          <w:szCs w:val="22"/>
          <w:lang w:eastAsia="en-US"/>
        </w:rPr>
        <w:t xml:space="preserve"> są to wskaźniki powiązane bezpośrednio z wydatkami ponoszonymi </w:t>
      </w:r>
      <w:r w:rsidRPr="00275240">
        <w:rPr>
          <w:rFonts w:asciiTheme="minorHAnsi" w:eastAsiaTheme="minorHAnsi" w:hAnsiTheme="minorHAnsi" w:cs="Calibri"/>
          <w:bCs/>
          <w:sz w:val="22"/>
          <w:szCs w:val="22"/>
          <w:lang w:eastAsia="en-US"/>
        </w:rPr>
        <w:br/>
        <w:t>w projekcie</w:t>
      </w:r>
      <w:r w:rsidRPr="00275240">
        <w:rPr>
          <w:rFonts w:asciiTheme="minorHAnsi" w:eastAsiaTheme="minorHAnsi" w:hAnsiTheme="minorHAnsi" w:cs="Calibri"/>
          <w:sz w:val="22"/>
          <w:szCs w:val="22"/>
          <w:lang w:eastAsia="en-US"/>
        </w:rPr>
        <w:t>, mierzone konkretnymi wielkościami. Liczone są w jednostkach fizycznych lub monetarnych. Wybrane przez Wnioskodawcę wskaźniki muszą być adekwatne do zakresu projektu oraz mają być powiązane z głównymi kategoriami wydatków w projekcie.</w:t>
      </w:r>
    </w:p>
    <w:p w14:paraId="06B6444A"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Dla każdego z wybranych wskaźników Wnioskodawca zobowiązany jest do wskazania „Jednostki miary”, „Wartości bazowej”, „Wartości docelowej wskaźnika”, a także „Źródła informacji o wskaźniku”. </w:t>
      </w:r>
    </w:p>
    <w:p w14:paraId="196676CB"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Wartość docelowa dla wskaźnika produktu to wyrażony liczbowo stan danego wskaźnika na moment zakończenia rzeczowej realizacji projektu. </w:t>
      </w:r>
    </w:p>
    <w:p w14:paraId="0AE80E29" w14:textId="77777777" w:rsidR="00275240" w:rsidRPr="00275240" w:rsidRDefault="00275240" w:rsidP="00275240">
      <w:pPr>
        <w:pStyle w:val="Default"/>
        <w:spacing w:line="276" w:lineRule="auto"/>
        <w:jc w:val="both"/>
        <w:rPr>
          <w:rFonts w:asciiTheme="minorHAnsi" w:eastAsiaTheme="minorHAnsi" w:hAnsiTheme="minorHAnsi" w:cs="Calibri"/>
          <w:sz w:val="22"/>
          <w:szCs w:val="22"/>
          <w:lang w:eastAsia="en-US"/>
        </w:rPr>
      </w:pPr>
      <w:r w:rsidRPr="00275240">
        <w:rPr>
          <w:rFonts w:asciiTheme="minorHAnsi" w:eastAsiaTheme="minorHAnsi" w:hAnsiTheme="minorHAnsi" w:cs="Calibri"/>
          <w:sz w:val="22"/>
          <w:szCs w:val="22"/>
          <w:lang w:eastAsia="en-US"/>
        </w:rPr>
        <w:t xml:space="preserve">Jako źródło informacji o wskaźniku wskazać należy odpowiedni dokument (np. protokół odbioru robót). </w:t>
      </w:r>
    </w:p>
    <w:p w14:paraId="21DE5B43" w14:textId="77777777" w:rsidR="00497586" w:rsidRPr="003A7AE2" w:rsidRDefault="00497586" w:rsidP="00D7269F">
      <w:pPr>
        <w:pStyle w:val="Default"/>
        <w:rPr>
          <w:rFonts w:asciiTheme="minorHAnsi" w:hAnsiTheme="minorHAnsi"/>
          <w:sz w:val="22"/>
          <w:szCs w:val="22"/>
          <w:highlight w:val="yellow"/>
        </w:rPr>
      </w:pPr>
    </w:p>
    <w:p w14:paraId="2E0F943E" w14:textId="13DAE550" w:rsidR="00000BE9" w:rsidRPr="00000BE9" w:rsidRDefault="00621237" w:rsidP="00D7269F">
      <w:pPr>
        <w:autoSpaceDE w:val="0"/>
        <w:autoSpaceDN w:val="0"/>
        <w:adjustRightInd w:val="0"/>
        <w:spacing w:before="0" w:after="120" w:line="240" w:lineRule="auto"/>
        <w:rPr>
          <w:rFonts w:asciiTheme="minorHAnsi" w:hAnsiTheme="minorHAnsi"/>
          <w:szCs w:val="22"/>
        </w:rPr>
      </w:pPr>
      <w:r>
        <w:rPr>
          <w:rFonts w:asciiTheme="minorHAnsi" w:hAnsiTheme="minorHAnsi"/>
          <w:szCs w:val="22"/>
        </w:rPr>
        <w:t>W ramach Działania 5.2</w:t>
      </w:r>
      <w:r w:rsidR="00875D8E" w:rsidRPr="00875D8E">
        <w:rPr>
          <w:rFonts w:asciiTheme="minorHAnsi" w:hAnsiTheme="minorHAnsi"/>
          <w:szCs w:val="22"/>
        </w:rPr>
        <w:t xml:space="preserve"> określono poniższe wskaźniki 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04"/>
        <w:gridCol w:w="4865"/>
        <w:gridCol w:w="1525"/>
      </w:tblGrid>
      <w:tr w:rsidR="00621237" w:rsidRPr="00AD7020" w14:paraId="254386CC" w14:textId="77777777" w:rsidTr="00C05E16">
        <w:trPr>
          <w:trHeight w:val="20"/>
          <w:jc w:val="center"/>
        </w:trPr>
        <w:tc>
          <w:tcPr>
            <w:tcW w:w="1127" w:type="pct"/>
            <w:shd w:val="clear" w:color="auto" w:fill="auto"/>
          </w:tcPr>
          <w:p w14:paraId="017C81FB" w14:textId="77777777" w:rsidR="00621237" w:rsidRPr="00AD7020" w:rsidRDefault="00621237" w:rsidP="00C05E16">
            <w:pPr>
              <w:autoSpaceDE w:val="0"/>
              <w:autoSpaceDN w:val="0"/>
              <w:adjustRightInd w:val="0"/>
              <w:spacing w:before="0" w:after="120" w:line="240" w:lineRule="auto"/>
              <w:jc w:val="center"/>
              <w:rPr>
                <w:rFonts w:asciiTheme="minorHAnsi" w:hAnsiTheme="minorHAnsi"/>
                <w:b/>
                <w:szCs w:val="22"/>
              </w:rPr>
            </w:pPr>
            <w:r w:rsidRPr="00AD7020">
              <w:rPr>
                <w:rFonts w:asciiTheme="minorHAnsi" w:hAnsiTheme="minorHAnsi"/>
                <w:b/>
                <w:szCs w:val="22"/>
              </w:rPr>
              <w:t>Nazwa wskaźnika produktu</w:t>
            </w:r>
          </w:p>
        </w:tc>
        <w:tc>
          <w:tcPr>
            <w:tcW w:w="433" w:type="pct"/>
          </w:tcPr>
          <w:p w14:paraId="20931CF4" w14:textId="55FAEC81" w:rsidR="00621237" w:rsidRPr="00AD7020" w:rsidRDefault="00621237" w:rsidP="00C05E16">
            <w:pPr>
              <w:autoSpaceDE w:val="0"/>
              <w:autoSpaceDN w:val="0"/>
              <w:adjustRightInd w:val="0"/>
              <w:spacing w:before="0" w:after="120" w:line="240" w:lineRule="auto"/>
              <w:jc w:val="center"/>
              <w:rPr>
                <w:rFonts w:asciiTheme="minorHAnsi" w:hAnsiTheme="minorHAnsi"/>
                <w:b/>
                <w:bCs/>
                <w:szCs w:val="22"/>
              </w:rPr>
            </w:pPr>
            <w:r w:rsidRPr="00AD7020">
              <w:rPr>
                <w:rFonts w:asciiTheme="minorHAnsi" w:hAnsiTheme="minorHAnsi"/>
                <w:b/>
                <w:bCs/>
                <w:szCs w:val="22"/>
              </w:rPr>
              <w:t>Jedn</w:t>
            </w:r>
            <w:r w:rsidR="00C05E16">
              <w:rPr>
                <w:rFonts w:asciiTheme="minorHAnsi" w:hAnsiTheme="minorHAnsi"/>
                <w:b/>
                <w:bCs/>
                <w:szCs w:val="22"/>
              </w:rPr>
              <w:t>.</w:t>
            </w:r>
            <w:r w:rsidRPr="00AD7020">
              <w:rPr>
                <w:rFonts w:asciiTheme="minorHAnsi" w:hAnsiTheme="minorHAnsi"/>
                <w:b/>
                <w:bCs/>
                <w:szCs w:val="22"/>
              </w:rPr>
              <w:t xml:space="preserve"> miary</w:t>
            </w:r>
          </w:p>
        </w:tc>
        <w:tc>
          <w:tcPr>
            <w:tcW w:w="2619" w:type="pct"/>
            <w:shd w:val="clear" w:color="auto" w:fill="auto"/>
          </w:tcPr>
          <w:p w14:paraId="46CA7AE8" w14:textId="77777777" w:rsidR="00621237" w:rsidRPr="00AD7020" w:rsidRDefault="00621237" w:rsidP="00C05E16">
            <w:pPr>
              <w:autoSpaceDE w:val="0"/>
              <w:autoSpaceDN w:val="0"/>
              <w:adjustRightInd w:val="0"/>
              <w:spacing w:before="0" w:after="120" w:line="240" w:lineRule="auto"/>
              <w:jc w:val="center"/>
              <w:rPr>
                <w:rFonts w:asciiTheme="minorHAnsi" w:hAnsiTheme="minorHAnsi"/>
                <w:b/>
                <w:szCs w:val="22"/>
              </w:rPr>
            </w:pPr>
            <w:r w:rsidRPr="00AD7020">
              <w:rPr>
                <w:rFonts w:asciiTheme="minorHAnsi" w:hAnsiTheme="minorHAnsi"/>
                <w:b/>
                <w:bCs/>
                <w:szCs w:val="22"/>
              </w:rPr>
              <w:t>Definicja wskaźnika</w:t>
            </w:r>
          </w:p>
        </w:tc>
        <w:tc>
          <w:tcPr>
            <w:tcW w:w="821" w:type="pct"/>
          </w:tcPr>
          <w:p w14:paraId="60D9F972" w14:textId="77777777" w:rsidR="00621237" w:rsidRPr="00AD7020" w:rsidRDefault="00621237" w:rsidP="00C05E16">
            <w:pPr>
              <w:autoSpaceDE w:val="0"/>
              <w:autoSpaceDN w:val="0"/>
              <w:adjustRightInd w:val="0"/>
              <w:spacing w:before="0" w:after="120" w:line="240" w:lineRule="auto"/>
              <w:jc w:val="center"/>
              <w:rPr>
                <w:rFonts w:asciiTheme="minorHAnsi" w:hAnsiTheme="minorHAnsi"/>
                <w:b/>
                <w:bCs/>
                <w:szCs w:val="22"/>
              </w:rPr>
            </w:pPr>
            <w:r w:rsidRPr="00AD7020">
              <w:rPr>
                <w:rFonts w:asciiTheme="minorHAnsi" w:hAnsiTheme="minorHAnsi"/>
                <w:b/>
                <w:bCs/>
                <w:szCs w:val="22"/>
              </w:rPr>
              <w:t>Rodzaj dokumentu, w którym określono wskaźnik</w:t>
            </w:r>
          </w:p>
        </w:tc>
      </w:tr>
      <w:tr w:rsidR="00621237" w:rsidRPr="00AD7020" w14:paraId="201D66D3" w14:textId="77777777" w:rsidTr="00C05E16">
        <w:trPr>
          <w:trHeight w:val="20"/>
          <w:jc w:val="center"/>
        </w:trPr>
        <w:tc>
          <w:tcPr>
            <w:tcW w:w="1127" w:type="pct"/>
            <w:shd w:val="clear" w:color="auto" w:fill="auto"/>
          </w:tcPr>
          <w:p w14:paraId="2A9707A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Całkowita długość przebudowanych lub zmodernizowanych linii kolejowych</w:t>
            </w:r>
          </w:p>
        </w:tc>
        <w:tc>
          <w:tcPr>
            <w:tcW w:w="433" w:type="pct"/>
          </w:tcPr>
          <w:p w14:paraId="7F0DF080"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km</w:t>
            </w:r>
          </w:p>
        </w:tc>
        <w:tc>
          <w:tcPr>
            <w:tcW w:w="2619" w:type="pct"/>
            <w:shd w:val="clear" w:color="auto" w:fill="auto"/>
          </w:tcPr>
          <w:p w14:paraId="54D06658"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Tłumaczenie robocze:</w:t>
            </w:r>
          </w:p>
          <w:p w14:paraId="59F323F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Długość linii kolejowych, których jakość została poprawiona. Może to obejmować elektryfikację, rozbudowę linii jednotorowej do dwutorowej,  zwiększenie prędkości na torze lub dowolną kombinację, ale nie obejmuje instalacji systemów sygnalizacji (w tym zapewnienia zgodności z ERTMS (Europejski System Zarządzania Ruchem Kolejowym)).</w:t>
            </w:r>
          </w:p>
          <w:p w14:paraId="5FB6DCE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Wybrane podejście polega na wykluczeniu instalacji systemów sygnalizacyjnych, które zniekształcałyby wartości wskaźnika. Systemy sygnalizacji powinny być traktowane w oddzielnym (specyficznym dla programu) wskaźniku.</w:t>
            </w:r>
          </w:p>
          <w:p w14:paraId="054613B1"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6C6E2B7D"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Metoda pomiaru:</w:t>
            </w:r>
          </w:p>
          <w:p w14:paraId="59875178"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Łączna długość wszystkich przebudowanych lub zmodernizowanych odcinków linii kolejowych. </w:t>
            </w:r>
          </w:p>
          <w:p w14:paraId="374D5A8F"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Wartość wskaźnika jest sumą długości wszystkich przebudowanych lub zmodernizowanych odcinków linii kolejowych, bez względu na parametry ani przynależność do sieci TEN-T. W wartości wskaźnika nie należy uwzględniać linii kolejowych wyłącznie wyposażonych w system ERTMS ani </w:t>
            </w:r>
            <w:r w:rsidRPr="00AD7020">
              <w:rPr>
                <w:rFonts w:asciiTheme="minorHAnsi" w:hAnsiTheme="minorHAnsi"/>
                <w:szCs w:val="22"/>
              </w:rPr>
              <w:lastRenderedPageBreak/>
              <w:t>zrehabilitowanych linii kolejowych.</w:t>
            </w:r>
          </w:p>
          <w:p w14:paraId="2D98045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3BEBD9D2" w14:textId="77777777" w:rsidR="00621237" w:rsidRPr="00AD7020" w:rsidRDefault="00621237" w:rsidP="00C05E16">
            <w:pPr>
              <w:autoSpaceDE w:val="0"/>
              <w:autoSpaceDN w:val="0"/>
              <w:adjustRightInd w:val="0"/>
              <w:spacing w:before="0" w:after="120" w:line="240" w:lineRule="auto"/>
              <w:rPr>
                <w:rFonts w:asciiTheme="minorHAnsi" w:hAnsiTheme="minorHAnsi"/>
                <w:szCs w:val="22"/>
                <w:lang w:val="en-US"/>
              </w:rPr>
            </w:pPr>
            <w:proofErr w:type="spellStart"/>
            <w:r w:rsidRPr="00AD7020">
              <w:rPr>
                <w:rFonts w:asciiTheme="minorHAnsi" w:hAnsiTheme="minorHAnsi"/>
                <w:szCs w:val="22"/>
                <w:lang w:val="en-US"/>
              </w:rPr>
              <w:t>Definicja</w:t>
            </w:r>
            <w:proofErr w:type="spellEnd"/>
            <w:r w:rsidRPr="00AD7020">
              <w:rPr>
                <w:rFonts w:asciiTheme="minorHAnsi" w:hAnsiTheme="minorHAnsi"/>
                <w:szCs w:val="22"/>
                <w:lang w:val="en-US"/>
              </w:rPr>
              <w:t>:</w:t>
            </w:r>
          </w:p>
          <w:p w14:paraId="6210210F" w14:textId="77777777" w:rsidR="00621237" w:rsidRPr="00AD7020" w:rsidRDefault="00621237" w:rsidP="00C05E16">
            <w:pPr>
              <w:autoSpaceDE w:val="0"/>
              <w:autoSpaceDN w:val="0"/>
              <w:adjustRightInd w:val="0"/>
              <w:spacing w:before="0" w:after="120" w:line="240" w:lineRule="auto"/>
              <w:rPr>
                <w:rFonts w:asciiTheme="minorHAnsi" w:hAnsiTheme="minorHAnsi"/>
                <w:szCs w:val="22"/>
                <w:lang w:val="en-US"/>
              </w:rPr>
            </w:pPr>
            <w:r w:rsidRPr="00AD7020">
              <w:rPr>
                <w:rFonts w:asciiTheme="minorHAnsi" w:hAnsiTheme="minorHAnsi"/>
                <w:szCs w:val="22"/>
                <w:lang w:val="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(incl. ensuring ERTMS (European Rail Traffic Management System) compatibility).</w:t>
            </w:r>
          </w:p>
          <w:p w14:paraId="1FD11923" w14:textId="77777777" w:rsidR="00621237" w:rsidRPr="00AD7020" w:rsidRDefault="00621237" w:rsidP="00C05E16">
            <w:pPr>
              <w:autoSpaceDE w:val="0"/>
              <w:autoSpaceDN w:val="0"/>
              <w:adjustRightInd w:val="0"/>
              <w:spacing w:before="0" w:after="120" w:line="240" w:lineRule="auto"/>
              <w:rPr>
                <w:rFonts w:asciiTheme="minorHAnsi" w:hAnsiTheme="minorHAnsi"/>
                <w:szCs w:val="22"/>
                <w:lang w:val="en-US"/>
              </w:rPr>
            </w:pPr>
            <w:r w:rsidRPr="00AD7020">
              <w:rPr>
                <w:rFonts w:asciiTheme="minorHAnsi" w:hAnsiTheme="minorHAnsi"/>
                <w:szCs w:val="22"/>
                <w:lang w:val="en-US"/>
              </w:rPr>
              <w:t xml:space="preserve">The approach chosen here is to exclude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as they distort the values. </w:t>
            </w:r>
            <w:proofErr w:type="spellStart"/>
            <w:r w:rsidRPr="00AD7020">
              <w:rPr>
                <w:rFonts w:asciiTheme="minorHAnsi" w:hAnsiTheme="minorHAnsi"/>
                <w:szCs w:val="22"/>
                <w:lang w:val="en-US"/>
              </w:rPr>
              <w:t>Signalling</w:t>
            </w:r>
            <w:proofErr w:type="spellEnd"/>
            <w:r w:rsidRPr="00AD7020">
              <w:rPr>
                <w:rFonts w:asciiTheme="minorHAnsi" w:hAnsiTheme="minorHAnsi"/>
                <w:szCs w:val="22"/>
                <w:lang w:val="en-US"/>
              </w:rPr>
              <w:t xml:space="preserve"> systems should be treated in a separate (</w:t>
            </w:r>
            <w:proofErr w:type="spellStart"/>
            <w:r w:rsidRPr="00AD7020">
              <w:rPr>
                <w:rFonts w:asciiTheme="minorHAnsi" w:hAnsiTheme="minorHAnsi"/>
                <w:szCs w:val="22"/>
                <w:lang w:val="en-US"/>
              </w:rPr>
              <w:t>programme</w:t>
            </w:r>
            <w:proofErr w:type="spellEnd"/>
            <w:r w:rsidRPr="00AD7020">
              <w:rPr>
                <w:rFonts w:asciiTheme="minorHAnsi" w:hAnsiTheme="minorHAnsi"/>
                <w:szCs w:val="22"/>
                <w:lang w:val="en-US"/>
              </w:rPr>
              <w:t>-specific) indicator.</w:t>
            </w:r>
          </w:p>
        </w:tc>
        <w:tc>
          <w:tcPr>
            <w:tcW w:w="821" w:type="pct"/>
          </w:tcPr>
          <w:p w14:paraId="33BE21A4"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lang w:val="en-US"/>
              </w:rPr>
            </w:pPr>
            <w:r w:rsidRPr="00AD7020">
              <w:rPr>
                <w:rFonts w:asciiTheme="minorHAnsi" w:hAnsiTheme="minorHAnsi"/>
                <w:szCs w:val="22"/>
                <w:lang w:val="en-US"/>
              </w:rPr>
              <w:lastRenderedPageBreak/>
              <w:t>RPO WD 2014-2020</w:t>
            </w:r>
          </w:p>
        </w:tc>
      </w:tr>
      <w:tr w:rsidR="00621237" w:rsidRPr="00AD7020" w14:paraId="2EDC556F" w14:textId="77777777" w:rsidTr="00C05E16">
        <w:trPr>
          <w:trHeight w:val="20"/>
          <w:jc w:val="center"/>
        </w:trPr>
        <w:tc>
          <w:tcPr>
            <w:tcW w:w="1127" w:type="pct"/>
            <w:shd w:val="clear" w:color="auto" w:fill="auto"/>
          </w:tcPr>
          <w:p w14:paraId="22FE62C1"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wspartych osobowych przystanków kolejowych</w:t>
            </w:r>
          </w:p>
        </w:tc>
        <w:tc>
          <w:tcPr>
            <w:tcW w:w="433" w:type="pct"/>
          </w:tcPr>
          <w:p w14:paraId="141F3F23"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DC5DDF6"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Definicja IZ RPO WD:</w:t>
            </w:r>
          </w:p>
          <w:p w14:paraId="7AE0DB57"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takich jak perony, wiaty, przejścia dla podróżnych (naziemne, podziemne, kładki) umieszczonych na szlaku kolejowym odpowiednio przystosowane do obsługi pasażerów, w którym zatrzymują się rozkładowo wyznaczone pociągi pasażerskie wyłączając postoje dla potrzeb technicznych i pracowniczych. Jeśli przy przystanku występują budynki dworcowe nie stanowią one części przystanku lecz dworzec kolejowy.</w:t>
            </w:r>
          </w:p>
        </w:tc>
        <w:tc>
          <w:tcPr>
            <w:tcW w:w="821" w:type="pct"/>
          </w:tcPr>
          <w:p w14:paraId="1F4B828E"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SZOOP</w:t>
            </w:r>
          </w:p>
        </w:tc>
      </w:tr>
      <w:tr w:rsidR="00621237" w:rsidRPr="00AD7020" w14:paraId="43A1BC66" w14:textId="77777777" w:rsidTr="00C05E16">
        <w:trPr>
          <w:trHeight w:val="20"/>
          <w:jc w:val="center"/>
        </w:trPr>
        <w:tc>
          <w:tcPr>
            <w:tcW w:w="1127" w:type="pct"/>
            <w:shd w:val="clear" w:color="auto" w:fill="auto"/>
          </w:tcPr>
          <w:p w14:paraId="55C6409D"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wspartych dworców kolejowych</w:t>
            </w:r>
          </w:p>
        </w:tc>
        <w:tc>
          <w:tcPr>
            <w:tcW w:w="433" w:type="pct"/>
          </w:tcPr>
          <w:p w14:paraId="31A9B734"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56E61C8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821" w:type="pct"/>
          </w:tcPr>
          <w:p w14:paraId="54E0802A" w14:textId="1273127F"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SZOOP</w:t>
            </w:r>
          </w:p>
        </w:tc>
      </w:tr>
      <w:tr w:rsidR="00621237" w:rsidRPr="00AD7020" w14:paraId="4DD34629" w14:textId="77777777" w:rsidTr="00C05E16">
        <w:trPr>
          <w:trHeight w:val="20"/>
          <w:jc w:val="center"/>
        </w:trPr>
        <w:tc>
          <w:tcPr>
            <w:tcW w:w="1127" w:type="pct"/>
            <w:shd w:val="clear" w:color="auto" w:fill="auto"/>
          </w:tcPr>
          <w:p w14:paraId="2EC57989" w14:textId="4779C820"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obiektów dostosowanych do potrzeb osób z niepełnosprawno</w:t>
            </w:r>
            <w:r w:rsidR="002D0467">
              <w:rPr>
                <w:rFonts w:asciiTheme="minorHAnsi" w:hAnsiTheme="minorHAnsi"/>
                <w:szCs w:val="22"/>
              </w:rPr>
              <w:t>-</w:t>
            </w:r>
            <w:proofErr w:type="spellStart"/>
            <w:r w:rsidRPr="00AD7020">
              <w:rPr>
                <w:rFonts w:asciiTheme="minorHAnsi" w:hAnsiTheme="minorHAnsi"/>
                <w:szCs w:val="22"/>
              </w:rPr>
              <w:t>ściami</w:t>
            </w:r>
            <w:proofErr w:type="spellEnd"/>
          </w:p>
        </w:tc>
        <w:tc>
          <w:tcPr>
            <w:tcW w:w="433" w:type="pct"/>
          </w:tcPr>
          <w:p w14:paraId="68D4467F"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32A16C26"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AD7020">
              <w:rPr>
                <w:rFonts w:asciiTheme="minorHAnsi" w:hAnsiTheme="minorHAnsi"/>
                <w:szCs w:val="22"/>
              </w:rPr>
              <w:br/>
              <w:t>w szczególności barier architektonicznych) ułatwiające dostęp do tych obiektów i poruszanie się po nich osobom niepełnosprawnym ruchowo czy sensorycznie.</w:t>
            </w:r>
          </w:p>
          <w:p w14:paraId="75BECADD"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Jako obiekty budowlane należy rozumieć konstrukcje połączone z gruntem w sposób trwały, wykonane z materiałów budowlanych i elementów </w:t>
            </w:r>
            <w:r w:rsidRPr="00AD7020">
              <w:rPr>
                <w:rFonts w:asciiTheme="minorHAnsi" w:hAnsiTheme="minorHAnsi"/>
                <w:szCs w:val="22"/>
              </w:rPr>
              <w:lastRenderedPageBreak/>
              <w:t>składowych, będące wynikiem prac budowlanych (wg. def. PKOB).</w:t>
            </w:r>
          </w:p>
          <w:p w14:paraId="3379710E"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Należy podać liczbę obiektów, a nie sprzętów, urządzeń itp., w które obiekty zaopatrzono.</w:t>
            </w:r>
          </w:p>
          <w:p w14:paraId="54F2E7CC"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Jeśli instytucja, zakład itp. składa się z kilku obiektów, należy zliczyć wszystkie, które dostosowano do potrzeb osób niepełnosprawnych.</w:t>
            </w:r>
          </w:p>
        </w:tc>
        <w:tc>
          <w:tcPr>
            <w:tcW w:w="821" w:type="pct"/>
          </w:tcPr>
          <w:p w14:paraId="05B3626B"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lastRenderedPageBreak/>
              <w:t>horyzontalny</w:t>
            </w:r>
          </w:p>
        </w:tc>
      </w:tr>
      <w:tr w:rsidR="00621237" w:rsidRPr="00AD7020" w14:paraId="33CD172A" w14:textId="77777777" w:rsidTr="00C05E16">
        <w:trPr>
          <w:trHeight w:val="20"/>
          <w:jc w:val="center"/>
        </w:trPr>
        <w:tc>
          <w:tcPr>
            <w:tcW w:w="1127" w:type="pct"/>
            <w:shd w:val="clear" w:color="auto" w:fill="auto"/>
          </w:tcPr>
          <w:p w14:paraId="3D3781F0"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Liczba podmiotów wykorzystujących technologie informacyjno-komunikacyjne (TIK)</w:t>
            </w:r>
          </w:p>
        </w:tc>
        <w:tc>
          <w:tcPr>
            <w:tcW w:w="433" w:type="pct"/>
          </w:tcPr>
          <w:p w14:paraId="1580B55F"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05BAC78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6985E4A7"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50A1CD9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6A59A59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0C31D252"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p>
          <w:p w14:paraId="6E5E4610"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31B2CF72"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horyzontalny</w:t>
            </w:r>
          </w:p>
        </w:tc>
      </w:tr>
      <w:tr w:rsidR="00621237" w:rsidRPr="00AD7020" w14:paraId="5678F99A" w14:textId="77777777" w:rsidTr="00C05E16">
        <w:trPr>
          <w:trHeight w:val="20"/>
          <w:jc w:val="center"/>
        </w:trPr>
        <w:tc>
          <w:tcPr>
            <w:tcW w:w="1127" w:type="pct"/>
            <w:shd w:val="clear" w:color="auto" w:fill="auto"/>
          </w:tcPr>
          <w:p w14:paraId="5DFE7C6D" w14:textId="0AA3C2EE"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Liczba osób objętych szkoleniami / doradztwem w zakresie kompetencji cyfrowych </w:t>
            </w:r>
            <w:r w:rsidR="002D0467" w:rsidRPr="00621237">
              <w:rPr>
                <w:rFonts w:asciiTheme="minorHAnsi" w:eastAsiaTheme="minorHAnsi" w:hAnsiTheme="minorHAnsi" w:cs="Arial"/>
                <w:szCs w:val="22"/>
                <w:lang w:eastAsia="en-US"/>
              </w:rPr>
              <w:t>Ogółem/Kobiety/</w:t>
            </w:r>
            <w:r w:rsidR="002D0467">
              <w:rPr>
                <w:rFonts w:asciiTheme="minorHAnsi" w:eastAsiaTheme="minorHAnsi" w:hAnsiTheme="minorHAnsi" w:cs="Arial"/>
                <w:szCs w:val="22"/>
                <w:lang w:eastAsia="en-US"/>
              </w:rPr>
              <w:t xml:space="preserve"> </w:t>
            </w:r>
            <w:r w:rsidR="002D0467" w:rsidRPr="00621237">
              <w:rPr>
                <w:rFonts w:asciiTheme="minorHAnsi" w:eastAsiaTheme="minorHAnsi" w:hAnsiTheme="minorHAnsi" w:cs="Arial"/>
                <w:szCs w:val="22"/>
                <w:lang w:eastAsia="en-US"/>
              </w:rPr>
              <w:lastRenderedPageBreak/>
              <w:t>Mężczyźni</w:t>
            </w:r>
          </w:p>
        </w:tc>
        <w:tc>
          <w:tcPr>
            <w:tcW w:w="433" w:type="pct"/>
          </w:tcPr>
          <w:p w14:paraId="06F83718"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lastRenderedPageBreak/>
              <w:t>os.</w:t>
            </w:r>
          </w:p>
        </w:tc>
        <w:tc>
          <w:tcPr>
            <w:tcW w:w="2619" w:type="pct"/>
            <w:shd w:val="clear" w:color="auto" w:fill="auto"/>
          </w:tcPr>
          <w:p w14:paraId="7B6650DB"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D7020">
              <w:rPr>
                <w:rFonts w:asciiTheme="minorHAnsi" w:hAnsiTheme="minorHAnsi"/>
                <w:szCs w:val="22"/>
              </w:rPr>
              <w:t>internetu</w:t>
            </w:r>
            <w:proofErr w:type="spellEnd"/>
            <w:r w:rsidRPr="00AD7020">
              <w:rPr>
                <w:rFonts w:asciiTheme="minorHAnsi" w:hAnsiTheme="minorHAnsi"/>
                <w:szCs w:val="22"/>
              </w:rPr>
              <w:t xml:space="preserve"> oraz kompetencji ściśle informatycznych (np. programowanie, zarządzanie bazami danych, </w:t>
            </w:r>
            <w:r w:rsidRPr="00AD7020">
              <w:rPr>
                <w:rFonts w:asciiTheme="minorHAnsi" w:hAnsiTheme="minorHAnsi"/>
                <w:szCs w:val="22"/>
              </w:rPr>
              <w:lastRenderedPageBreak/>
              <w:t xml:space="preserve">administracja sieciami, administracja witrynami internetowymi). </w:t>
            </w:r>
          </w:p>
          <w:p w14:paraId="1F38EA28"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AD7020">
              <w:rPr>
                <w:rFonts w:asciiTheme="minorHAnsi" w:hAnsiTheme="minorHAnsi"/>
                <w:szCs w:val="22"/>
              </w:rPr>
              <w:t>financingu</w:t>
            </w:r>
            <w:proofErr w:type="spellEnd"/>
            <w:r w:rsidRPr="00AD7020">
              <w:rPr>
                <w:rFonts w:asciiTheme="minorHAnsi" w:hAnsiTheme="minorHAnsi"/>
                <w:szCs w:val="22"/>
              </w:rPr>
              <w:t xml:space="preserve"> RPO dotyczących e-usług publicznych, ale również przy okazji wdrażania inteligentnych systemów transportowych.</w:t>
            </w:r>
          </w:p>
        </w:tc>
        <w:tc>
          <w:tcPr>
            <w:tcW w:w="821" w:type="pct"/>
          </w:tcPr>
          <w:p w14:paraId="657BB91A"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lastRenderedPageBreak/>
              <w:t>horyzontalny</w:t>
            </w:r>
          </w:p>
        </w:tc>
      </w:tr>
      <w:tr w:rsidR="00621237" w:rsidRPr="00AD7020" w14:paraId="6C17B3EF" w14:textId="77777777" w:rsidTr="00C05E16">
        <w:trPr>
          <w:trHeight w:val="20"/>
          <w:jc w:val="center"/>
        </w:trPr>
        <w:tc>
          <w:tcPr>
            <w:tcW w:w="1127" w:type="pct"/>
            <w:shd w:val="clear" w:color="auto" w:fill="auto"/>
          </w:tcPr>
          <w:p w14:paraId="7A0C7D02" w14:textId="49AB8C45" w:rsidR="00621237" w:rsidRPr="00AD7020" w:rsidRDefault="00621237" w:rsidP="001D0F45">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Liczba projektów, w których </w:t>
            </w:r>
            <w:r w:rsidR="001D0F45">
              <w:rPr>
                <w:rFonts w:asciiTheme="minorHAnsi" w:hAnsiTheme="minorHAnsi"/>
                <w:szCs w:val="22"/>
              </w:rPr>
              <w:t>s</w:t>
            </w:r>
            <w:r w:rsidRPr="00AD7020">
              <w:rPr>
                <w:rFonts w:asciiTheme="minorHAnsi" w:hAnsiTheme="minorHAnsi"/>
                <w:szCs w:val="22"/>
              </w:rPr>
              <w:t>finansowano koszty racjonalnych usprawnień dla osób z niepełnosprawno</w:t>
            </w:r>
            <w:r w:rsidR="001D0F45">
              <w:rPr>
                <w:rFonts w:asciiTheme="minorHAnsi" w:hAnsiTheme="minorHAnsi"/>
                <w:szCs w:val="22"/>
              </w:rPr>
              <w:t>-</w:t>
            </w:r>
            <w:proofErr w:type="spellStart"/>
            <w:r w:rsidRPr="00AD7020">
              <w:rPr>
                <w:rFonts w:asciiTheme="minorHAnsi" w:hAnsiTheme="minorHAnsi"/>
                <w:szCs w:val="22"/>
              </w:rPr>
              <w:t>ściami</w:t>
            </w:r>
            <w:proofErr w:type="spellEnd"/>
          </w:p>
        </w:tc>
        <w:tc>
          <w:tcPr>
            <w:tcW w:w="433" w:type="pct"/>
          </w:tcPr>
          <w:p w14:paraId="4C249D6D" w14:textId="164FE78F"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szt.</w:t>
            </w:r>
          </w:p>
        </w:tc>
        <w:tc>
          <w:tcPr>
            <w:tcW w:w="2619" w:type="pct"/>
            <w:shd w:val="clear" w:color="auto" w:fill="auto"/>
          </w:tcPr>
          <w:p w14:paraId="33B8476C"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Racjonalne usprawnienie oznacza konieczne </w:t>
            </w:r>
            <w:r w:rsidRPr="00AD7020">
              <w:rPr>
                <w:rFonts w:asciiTheme="minorHAnsi" w:hAnsiTheme="minorHAnsi"/>
                <w:szCs w:val="22"/>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3F98D87F"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65B646F1" w14:textId="77777777" w:rsidR="00621237" w:rsidRPr="00AD7020" w:rsidRDefault="00621237" w:rsidP="00C05E16">
            <w:pPr>
              <w:autoSpaceDE w:val="0"/>
              <w:autoSpaceDN w:val="0"/>
              <w:adjustRightInd w:val="0"/>
              <w:spacing w:before="0" w:after="120" w:line="240" w:lineRule="auto"/>
              <w:rPr>
                <w:rFonts w:asciiTheme="minorHAnsi" w:hAnsiTheme="minorHAnsi"/>
                <w:szCs w:val="22"/>
              </w:rPr>
            </w:pPr>
            <w:r w:rsidRPr="00AD7020">
              <w:rPr>
                <w:rFonts w:asciiTheme="minorHAnsi" w:hAnsiTheme="minorHAnsi"/>
                <w:szCs w:val="22"/>
              </w:rPr>
              <w:t xml:space="preserve">Definicja na podstawie </w:t>
            </w:r>
            <w:r w:rsidRPr="00AD7020">
              <w:rPr>
                <w:rFonts w:asciiTheme="minorHAnsi" w:hAnsiTheme="minorHAnsi"/>
                <w:i/>
                <w:iCs/>
                <w:szCs w:val="22"/>
              </w:rPr>
              <w:t xml:space="preserve">Wytycznych w zakresie realizacji zasady równości szans </w:t>
            </w:r>
            <w:r w:rsidRPr="00AD7020">
              <w:rPr>
                <w:rFonts w:asciiTheme="minorHAnsi" w:hAnsiTheme="minorHAnsi"/>
                <w:i/>
                <w:iCs/>
                <w:szCs w:val="22"/>
              </w:rPr>
              <w:br/>
              <w:t xml:space="preserve">i niedyskryminacji, w tym dostępności dla osób </w:t>
            </w:r>
            <w:r w:rsidRPr="00AD7020">
              <w:rPr>
                <w:rFonts w:asciiTheme="minorHAnsi" w:hAnsiTheme="minorHAnsi"/>
                <w:i/>
                <w:iCs/>
                <w:szCs w:val="22"/>
              </w:rPr>
              <w:br/>
              <w:t>z niepełnosprawnościami oraz równości szans kobiet i mężczyzn w ramach funduszy unijnych na lata 2014-2020</w:t>
            </w:r>
            <w:r w:rsidRPr="00AD7020">
              <w:rPr>
                <w:rFonts w:asciiTheme="minorHAnsi" w:hAnsiTheme="minorHAnsi"/>
                <w:szCs w:val="22"/>
              </w:rPr>
              <w:t>.</w:t>
            </w:r>
          </w:p>
        </w:tc>
        <w:tc>
          <w:tcPr>
            <w:tcW w:w="821" w:type="pct"/>
          </w:tcPr>
          <w:p w14:paraId="1CCC7E58" w14:textId="77777777" w:rsidR="00621237" w:rsidRPr="00AD7020" w:rsidRDefault="00621237" w:rsidP="00C05E16">
            <w:pPr>
              <w:autoSpaceDE w:val="0"/>
              <w:autoSpaceDN w:val="0"/>
              <w:adjustRightInd w:val="0"/>
              <w:spacing w:before="0" w:after="120" w:line="240" w:lineRule="auto"/>
              <w:jc w:val="center"/>
              <w:rPr>
                <w:rFonts w:asciiTheme="minorHAnsi" w:hAnsiTheme="minorHAnsi"/>
                <w:szCs w:val="22"/>
              </w:rPr>
            </w:pPr>
            <w:r w:rsidRPr="00AD7020">
              <w:rPr>
                <w:rFonts w:asciiTheme="minorHAnsi" w:hAnsiTheme="minorHAnsi"/>
                <w:szCs w:val="22"/>
              </w:rPr>
              <w:t>horyzontalny</w:t>
            </w:r>
          </w:p>
        </w:tc>
      </w:tr>
    </w:tbl>
    <w:p w14:paraId="7B778909" w14:textId="492679CE" w:rsidR="00000BE9" w:rsidRDefault="00000BE9" w:rsidP="00497586">
      <w:pPr>
        <w:autoSpaceDE w:val="0"/>
        <w:autoSpaceDN w:val="0"/>
        <w:adjustRightInd w:val="0"/>
        <w:spacing w:before="0" w:after="120" w:line="240" w:lineRule="auto"/>
        <w:jc w:val="both"/>
        <w:rPr>
          <w:rFonts w:asciiTheme="minorHAnsi" w:hAnsiTheme="minorHAnsi"/>
          <w:szCs w:val="22"/>
        </w:rPr>
      </w:pPr>
    </w:p>
    <w:p w14:paraId="641BAFD9" w14:textId="77777777" w:rsidR="00875D8E" w:rsidRPr="003A7AE2" w:rsidRDefault="00875D8E" w:rsidP="00D7269F">
      <w:pPr>
        <w:autoSpaceDE w:val="0"/>
        <w:autoSpaceDN w:val="0"/>
        <w:adjustRightInd w:val="0"/>
        <w:spacing w:before="0" w:after="120" w:line="240" w:lineRule="auto"/>
        <w:rPr>
          <w:rFonts w:asciiTheme="minorHAnsi" w:hAnsiTheme="minorHAnsi"/>
          <w:szCs w:val="22"/>
        </w:rPr>
      </w:pPr>
    </w:p>
    <w:p w14:paraId="19AB146A" w14:textId="6B839AE4" w:rsidR="00497586" w:rsidRPr="003A7AE2" w:rsidRDefault="00497586" w:rsidP="00D7269F">
      <w:pPr>
        <w:spacing w:line="240" w:lineRule="auto"/>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D7269F">
      <w:pPr>
        <w:pStyle w:val="Default"/>
        <w:rPr>
          <w:rFonts w:asciiTheme="minorHAnsi" w:hAnsiTheme="minorHAnsi"/>
          <w:sz w:val="22"/>
          <w:szCs w:val="22"/>
        </w:rPr>
      </w:pPr>
    </w:p>
    <w:p w14:paraId="13566F65"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D7269F">
      <w:pPr>
        <w:pStyle w:val="Default"/>
        <w:rPr>
          <w:rFonts w:asciiTheme="minorHAnsi" w:hAnsiTheme="minorHAnsi"/>
          <w:sz w:val="22"/>
          <w:szCs w:val="22"/>
        </w:rPr>
      </w:pPr>
      <w:r w:rsidRPr="003A7AE2">
        <w:rPr>
          <w:rFonts w:asciiTheme="minorHAnsi" w:hAnsiTheme="minorHAnsi"/>
          <w:sz w:val="22"/>
          <w:szCs w:val="22"/>
        </w:rPr>
        <w:t xml:space="preserve">Wartość docelowa dla wskaźnika rezultatu to wyrażony liczbowo stan danego wskaźnika uzyskany w efekcie realizacji projektu. </w:t>
      </w:r>
    </w:p>
    <w:p w14:paraId="6767D569" w14:textId="35C98E1A" w:rsidR="0032765F" w:rsidRPr="003A7AE2" w:rsidRDefault="00497586" w:rsidP="00D7269F">
      <w:pPr>
        <w:spacing w:line="240" w:lineRule="auto"/>
        <w:rPr>
          <w:rFonts w:asciiTheme="minorHAnsi" w:hAnsiTheme="minorHAnsi"/>
          <w:szCs w:val="22"/>
        </w:rPr>
      </w:pPr>
      <w:r w:rsidRPr="003A7AE2">
        <w:rPr>
          <w:rFonts w:asciiTheme="minorHAnsi" w:hAnsiTheme="minorHAnsi"/>
          <w:szCs w:val="22"/>
        </w:rPr>
        <w:lastRenderedPageBreak/>
        <w:t>Jako źródło informacji o wskaźniku wskazać należy odpowiedni dokument (np. ewidencja zatrudnienia)</w:t>
      </w:r>
      <w:r w:rsidR="004C65F9">
        <w:rPr>
          <w:rFonts w:asciiTheme="minorHAnsi" w:hAnsiTheme="minorHAnsi"/>
          <w:szCs w:val="22"/>
        </w:rPr>
        <w:t>.</w:t>
      </w:r>
    </w:p>
    <w:p w14:paraId="00AA7B60" w14:textId="2111AA3A" w:rsidR="00890482" w:rsidRDefault="00875D8E" w:rsidP="006069D8">
      <w:pPr>
        <w:autoSpaceDE w:val="0"/>
        <w:autoSpaceDN w:val="0"/>
        <w:adjustRightInd w:val="0"/>
        <w:spacing w:before="120" w:after="120" w:line="240" w:lineRule="auto"/>
        <w:jc w:val="both"/>
        <w:rPr>
          <w:rFonts w:asciiTheme="minorHAnsi" w:hAnsiTheme="minorHAnsi"/>
          <w:szCs w:val="22"/>
        </w:rPr>
      </w:pPr>
      <w:r w:rsidRPr="00875D8E">
        <w:rPr>
          <w:rFonts w:asciiTheme="minorHAnsi" w:hAnsiTheme="minorHAnsi"/>
          <w:szCs w:val="22"/>
        </w:rPr>
        <w:t>W ramach Działania 5.</w:t>
      </w:r>
      <w:r w:rsidR="00621237">
        <w:rPr>
          <w:rFonts w:asciiTheme="minorHAnsi" w:hAnsiTheme="minorHAnsi"/>
          <w:szCs w:val="22"/>
        </w:rPr>
        <w:t>2</w:t>
      </w:r>
      <w:r w:rsidRPr="00875D8E">
        <w:rPr>
          <w:rFonts w:asciiTheme="minorHAnsi" w:hAnsiTheme="minorHAnsi"/>
          <w:szCs w:val="22"/>
        </w:rPr>
        <w:t xml:space="preserve">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621237" w:rsidRPr="00621237" w14:paraId="264BD71D" w14:textId="77777777" w:rsidTr="001D0F45">
        <w:trPr>
          <w:trHeight w:val="20"/>
          <w:jc w:val="center"/>
        </w:trPr>
        <w:tc>
          <w:tcPr>
            <w:tcW w:w="1189" w:type="pct"/>
            <w:shd w:val="clear" w:color="auto" w:fill="auto"/>
          </w:tcPr>
          <w:p w14:paraId="149AB46D"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szCs w:val="22"/>
                <w:lang w:eastAsia="en-US"/>
              </w:rPr>
            </w:pPr>
            <w:r w:rsidRPr="00621237">
              <w:rPr>
                <w:rFonts w:asciiTheme="minorHAnsi" w:eastAsiaTheme="minorHAnsi" w:hAnsiTheme="minorHAnsi" w:cs="Arial"/>
                <w:b/>
                <w:szCs w:val="22"/>
                <w:lang w:eastAsia="en-US"/>
              </w:rPr>
              <w:t>Nazwa wskaźnika rezultatu bezpośredniego</w:t>
            </w:r>
          </w:p>
        </w:tc>
        <w:tc>
          <w:tcPr>
            <w:tcW w:w="701" w:type="pct"/>
          </w:tcPr>
          <w:p w14:paraId="0E0879AA"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bCs/>
                <w:szCs w:val="22"/>
                <w:lang w:eastAsia="en-US"/>
              </w:rPr>
            </w:pPr>
            <w:r w:rsidRPr="00621237">
              <w:rPr>
                <w:rFonts w:asciiTheme="minorHAnsi" w:eastAsiaTheme="minorHAnsi" w:hAnsiTheme="minorHAnsi" w:cs="Arial"/>
                <w:b/>
                <w:bCs/>
                <w:szCs w:val="22"/>
                <w:lang w:eastAsia="en-US"/>
              </w:rPr>
              <w:t>Jednostka miary</w:t>
            </w:r>
          </w:p>
        </w:tc>
        <w:tc>
          <w:tcPr>
            <w:tcW w:w="2061" w:type="pct"/>
            <w:shd w:val="clear" w:color="auto" w:fill="auto"/>
          </w:tcPr>
          <w:p w14:paraId="76302DD8"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szCs w:val="22"/>
                <w:lang w:eastAsia="en-US"/>
              </w:rPr>
            </w:pPr>
            <w:r w:rsidRPr="00621237">
              <w:rPr>
                <w:rFonts w:asciiTheme="minorHAnsi" w:eastAsiaTheme="minorHAnsi" w:hAnsiTheme="minorHAnsi" w:cs="Arial"/>
                <w:b/>
                <w:bCs/>
                <w:szCs w:val="22"/>
                <w:lang w:eastAsia="en-US"/>
              </w:rPr>
              <w:t>Definicja wskaźnika</w:t>
            </w:r>
          </w:p>
        </w:tc>
        <w:tc>
          <w:tcPr>
            <w:tcW w:w="1049" w:type="pct"/>
          </w:tcPr>
          <w:p w14:paraId="315BB56D"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b/>
                <w:bCs/>
                <w:szCs w:val="22"/>
                <w:lang w:eastAsia="en-US"/>
              </w:rPr>
            </w:pPr>
            <w:r w:rsidRPr="00621237">
              <w:rPr>
                <w:rFonts w:asciiTheme="minorHAnsi" w:eastAsiaTheme="minorHAnsi" w:hAnsiTheme="minorHAnsi" w:cs="Arial"/>
                <w:b/>
                <w:bCs/>
                <w:szCs w:val="22"/>
                <w:lang w:eastAsia="en-US"/>
              </w:rPr>
              <w:t>Rodzaj dokumentu, w którym określono wskaźnik</w:t>
            </w:r>
          </w:p>
        </w:tc>
      </w:tr>
      <w:tr w:rsidR="00621237" w:rsidRPr="00621237" w14:paraId="7CEB2F26" w14:textId="77777777" w:rsidTr="001D0F45">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46883612"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Wzrost zatrudnienia we wspieranych podmiotach (innych niż przedsiębiorstwa)</w:t>
            </w:r>
          </w:p>
          <w:p w14:paraId="728F35C4" w14:textId="13FA9114"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Ogółem/Kobiety/</w:t>
            </w:r>
            <w:r w:rsidR="002D0467">
              <w:rPr>
                <w:rFonts w:asciiTheme="minorHAnsi" w:eastAsiaTheme="minorHAnsi" w:hAnsiTheme="minorHAnsi" w:cs="Arial"/>
                <w:szCs w:val="22"/>
                <w:lang w:eastAsia="en-US"/>
              </w:rPr>
              <w:t xml:space="preserve"> </w:t>
            </w:r>
            <w:r w:rsidRPr="00621237">
              <w:rPr>
                <w:rFonts w:asciiTheme="minorHAnsi" w:eastAsiaTheme="minorHAnsi" w:hAnsiTheme="minorHAnsi" w:cs="Arial"/>
                <w:szCs w:val="22"/>
                <w:lang w:eastAsia="en-US"/>
              </w:rPr>
              <w:t>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0E8940"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B44F90"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 xml:space="preserve">Nowe miejsca pracy brutto we wspartych  podmiotach (innych niż przedsiębiorstwa) wyrażone w ekwiwalencie pełnego czasu pracy (EPC). </w:t>
            </w:r>
          </w:p>
          <w:p w14:paraId="5B5D3621"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 xml:space="preserve">Wskaźnik ukazuje zmianę "przed-po" i obejmuje część wzrostu zatrudnienia w podmiocie będącego bezpośrednim skutkiem zakończenia realizacji projektu (nie są wliczani pracownicy zatrudnieni do realizacji projektu). </w:t>
            </w:r>
          </w:p>
          <w:p w14:paraId="21F282B5"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14:paraId="6F8D10C0"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14:paraId="11C87C08"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 xml:space="preserve">Ekwiwalent pełnego czasu pracy: miejsca pracy mogą być pełnoetatowe, na część etatu lub sezonowe, przy czym etaty częściowe podlegają sumowaniu lecz nie są zaokrąglane do pełnych jednostek. Zatrudnienie sezonowe i na </w:t>
            </w:r>
            <w:r w:rsidRPr="00621237">
              <w:rPr>
                <w:rFonts w:asciiTheme="minorHAnsi" w:eastAsiaTheme="minorHAnsi" w:hAnsiTheme="minorHAnsi" w:cs="Arial"/>
                <w:szCs w:val="22"/>
                <w:lang w:eastAsia="en-US"/>
              </w:rPr>
              <w:lastRenderedPageBreak/>
              <w:t>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34AF022"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lastRenderedPageBreak/>
              <w:t>horyzontalny</w:t>
            </w:r>
          </w:p>
        </w:tc>
      </w:tr>
      <w:tr w:rsidR="00621237" w:rsidRPr="00621237" w14:paraId="4A39B4E7" w14:textId="77777777" w:rsidTr="001D0F45">
        <w:trPr>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657CCD19" w14:textId="25FF5F26"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Liczba utrzymanych miejsc pracy Ogółem/Kobiety/</w:t>
            </w:r>
            <w:r w:rsidR="002D0467">
              <w:rPr>
                <w:rFonts w:asciiTheme="minorHAnsi" w:eastAsiaTheme="minorHAnsi" w:hAnsiTheme="minorHAnsi" w:cs="Arial"/>
                <w:szCs w:val="22"/>
                <w:lang w:eastAsia="en-US"/>
              </w:rPr>
              <w:t xml:space="preserve"> </w:t>
            </w:r>
            <w:r w:rsidRPr="00621237">
              <w:rPr>
                <w:rFonts w:asciiTheme="minorHAnsi" w:eastAsiaTheme="minorHAnsi" w:hAnsiTheme="minorHAnsi" w:cs="Arial"/>
                <w:szCs w:val="22"/>
                <w:lang w:eastAsia="en-US"/>
              </w:rPr>
              <w:t>Mężczyźni</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181"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734182"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Miejsca pracy utworzone w wyniku realizacji projektu, lecz nie powodują wzrostu zatrudnienia w organizacji</w:t>
            </w:r>
          </w:p>
          <w:p w14:paraId="16A4E495"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EE1DF20"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horyzontalny</w:t>
            </w:r>
          </w:p>
        </w:tc>
      </w:tr>
      <w:tr w:rsidR="00621237" w:rsidRPr="00621237" w14:paraId="6D9CC581" w14:textId="77777777" w:rsidTr="001D0F45">
        <w:trPr>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22DDD970" w14:textId="50F20161"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Liczba nowo utworzonych miejsc pracy - pozostałe formy Ogółem/Kobiety/</w:t>
            </w:r>
            <w:r w:rsidR="002D0467">
              <w:rPr>
                <w:rFonts w:asciiTheme="minorHAnsi" w:eastAsiaTheme="minorHAnsi" w:hAnsiTheme="minorHAnsi" w:cs="Arial"/>
                <w:szCs w:val="22"/>
                <w:lang w:eastAsia="en-US"/>
              </w:rPr>
              <w:t xml:space="preserve"> </w:t>
            </w:r>
            <w:r w:rsidRPr="00621237">
              <w:rPr>
                <w:rFonts w:asciiTheme="minorHAnsi" w:eastAsiaTheme="minorHAnsi" w:hAnsiTheme="minorHAnsi" w:cs="Arial"/>
                <w:szCs w:val="22"/>
                <w:lang w:eastAsia="en-US"/>
              </w:rPr>
              <w:t>Mężczyźni</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3EB5729"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tcPr>
          <w:p w14:paraId="667B7F95" w14:textId="1B79C811"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r w:rsidRPr="00621237">
              <w:rPr>
                <w:rFonts w:asciiTheme="minorHAnsi" w:eastAsiaTheme="minorHAnsi" w:hAnsiTheme="minorHAnsi" w:cs="Arial"/>
                <w:iCs/>
                <w:szCs w:val="22"/>
                <w:lang w:eastAsia="en-US"/>
              </w:rPr>
              <w:t>Pozostałe formy</w:t>
            </w:r>
            <w:r w:rsidRPr="00621237">
              <w:rPr>
                <w:rFonts w:asciiTheme="minorHAnsi" w:eastAsiaTheme="minorHAnsi" w:hAnsiTheme="minorHAnsi" w:cs="Arial"/>
                <w:szCs w:val="22"/>
                <w:lang w:eastAsia="en-US"/>
              </w:rPr>
              <w:t>, np. umowy cywilnoprawne, miejsca pracy do obsługi pr</w:t>
            </w:r>
            <w:r w:rsidR="005C14F4">
              <w:rPr>
                <w:rFonts w:asciiTheme="minorHAnsi" w:eastAsiaTheme="minorHAnsi" w:hAnsiTheme="minorHAnsi" w:cs="Arial"/>
                <w:szCs w:val="22"/>
                <w:lang w:eastAsia="en-US"/>
              </w:rPr>
              <w:t>ojektu, nietrwałe miejsca pracy. Wskaźnik ma charakter informacyjny</w:t>
            </w:r>
          </w:p>
          <w:p w14:paraId="2ADA601B" w14:textId="77777777" w:rsidR="00621237" w:rsidRPr="00621237" w:rsidRDefault="00621237" w:rsidP="001D0F45">
            <w:pPr>
              <w:autoSpaceDE w:val="0"/>
              <w:autoSpaceDN w:val="0"/>
              <w:adjustRightInd w:val="0"/>
              <w:spacing w:before="120" w:after="120" w:line="240" w:lineRule="auto"/>
              <w:rPr>
                <w:rFonts w:asciiTheme="minorHAnsi" w:eastAsiaTheme="minorHAnsi" w:hAnsiTheme="minorHAnsi" w:cs="Arial"/>
                <w:szCs w:val="22"/>
                <w:lang w:eastAsia="en-US"/>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6A5B1A5" w14:textId="77777777" w:rsidR="00621237" w:rsidRPr="00621237" w:rsidRDefault="00621237" w:rsidP="001D0F45">
            <w:pPr>
              <w:autoSpaceDE w:val="0"/>
              <w:autoSpaceDN w:val="0"/>
              <w:adjustRightInd w:val="0"/>
              <w:spacing w:before="120" w:after="120" w:line="240" w:lineRule="auto"/>
              <w:jc w:val="center"/>
              <w:rPr>
                <w:rFonts w:asciiTheme="minorHAnsi" w:eastAsiaTheme="minorHAnsi" w:hAnsiTheme="minorHAnsi" w:cs="Arial"/>
                <w:szCs w:val="22"/>
                <w:lang w:eastAsia="en-US"/>
              </w:rPr>
            </w:pPr>
            <w:r w:rsidRPr="00621237">
              <w:rPr>
                <w:rFonts w:asciiTheme="minorHAnsi" w:eastAsiaTheme="minorHAnsi" w:hAnsiTheme="minorHAnsi" w:cs="Arial"/>
                <w:szCs w:val="22"/>
                <w:lang w:eastAsia="en-US"/>
              </w:rPr>
              <w:t>horyzontalny</w:t>
            </w:r>
          </w:p>
        </w:tc>
      </w:tr>
    </w:tbl>
    <w:p w14:paraId="6292158C" w14:textId="77777777" w:rsidR="00890482" w:rsidRDefault="00890482"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p>
    <w:p w14:paraId="4B6A3321"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E75C32">
        <w:rPr>
          <w:rFonts w:asciiTheme="minorHAnsi" w:eastAsiaTheme="minorHAnsi" w:hAnsiTheme="minorHAnsi" w:cs="Arial"/>
          <w:szCs w:val="22"/>
          <w:lang w:eastAsia="en-US"/>
        </w:rPr>
        <w:t xml:space="preserve">W ramach wniosku o dofinansowanie Wnioskodawca ma obowiązek uwzględnić </w:t>
      </w:r>
      <w:r w:rsidRPr="00E75C32">
        <w:rPr>
          <w:rFonts w:asciiTheme="minorHAnsi" w:eastAsiaTheme="minorHAnsi" w:hAnsiTheme="minorHAnsi" w:cs="Arial"/>
          <w:b/>
          <w:szCs w:val="22"/>
          <w:lang w:eastAsia="en-US"/>
        </w:rPr>
        <w:t>wszystkie adekwatne</w:t>
      </w:r>
      <w:r w:rsidRPr="00E75C32">
        <w:rPr>
          <w:rFonts w:asciiTheme="minorHAnsi" w:eastAsiaTheme="minorHAnsi" w:hAnsiTheme="minorHAnsi" w:cs="Arial"/>
          <w:szCs w:val="22"/>
          <w:lang w:eastAsia="en-US"/>
        </w:rPr>
        <w:t xml:space="preserve"> wskaźniki produktu oraz rezultatu bezpośredniego z listy przedstawionej  w powyższych tabelach, odpowiadające celowi projektu. Dodatkowo w ramach wniosku o dofinansowanie Wnioskodawca może określić inne, dodatkowe wskaźniki specyficzne dla danego projektu, o ile będzie to niezbędne dla prawidłowej realizacji projektu (tzw. wskaźniki projektowe).</w:t>
      </w:r>
    </w:p>
    <w:p w14:paraId="443858BF"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E75C32">
        <w:rPr>
          <w:rFonts w:asciiTheme="minorHAnsi" w:eastAsiaTheme="minorHAnsi" w:hAnsiTheme="minorHAnsi" w:cs="Arial"/>
          <w:szCs w:val="22"/>
          <w:lang w:eastAsia="en-US"/>
        </w:rPr>
        <w:t xml:space="preserve">We wniosku o dofinansowanie należy określić, w jaki sposób i na jakiej podstawie mierzone będą wskaźniki realizacji celu projektu poprzez ustalenie źródła weryfikacji / pozyskania danych do pomiaru wskaźnika oraz częstotliwości pomiaru. Dlatego przy określaniu wskaźników należy wziąć pod uwagę dostępność i wiarygodność danych niezbędnych do pomiaru danego wskaźnika. </w:t>
      </w:r>
    </w:p>
    <w:p w14:paraId="40B17679"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Wartość bazowa (tzn. wartość w momencie rozpoczęcia realizacji projektu) w przypadku każdego wskaźnika powinna być wykazana na poziomie „0”.</w:t>
      </w:r>
    </w:p>
    <w:p w14:paraId="731AC6B0" w14:textId="17786FE9"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Pr>
          <w:rFonts w:asciiTheme="minorHAnsi" w:eastAsiaTheme="minorHAnsi" w:hAnsiTheme="minorHAnsi" w:cs="Arial"/>
          <w:b/>
          <w:szCs w:val="22"/>
          <w:lang w:eastAsia="en-US"/>
        </w:rPr>
        <w:t>O ile w decyzji</w:t>
      </w:r>
      <w:r w:rsidRPr="00E75C32">
        <w:rPr>
          <w:rFonts w:asciiTheme="minorHAnsi" w:eastAsiaTheme="minorHAnsi" w:hAnsiTheme="minorHAnsi" w:cs="Arial"/>
          <w:b/>
          <w:szCs w:val="22"/>
          <w:lang w:eastAsia="en-US"/>
        </w:rPr>
        <w:t xml:space="preserve"> o dofinansowanie projektu nie wskazano inaczej, efekt wsparcia na poziomie projektu występuje: </w:t>
      </w:r>
    </w:p>
    <w:p w14:paraId="654539C2" w14:textId="1DB77926"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a) w przypadku wskaźników produktu</w:t>
      </w:r>
      <w:r>
        <w:rPr>
          <w:rFonts w:asciiTheme="minorHAnsi" w:eastAsiaTheme="minorHAnsi" w:hAnsiTheme="minorHAnsi" w:cs="Arial"/>
          <w:b/>
          <w:szCs w:val="22"/>
          <w:lang w:eastAsia="en-US"/>
        </w:rPr>
        <w:t xml:space="preserve"> – w okresie od podjęcia decyzji</w:t>
      </w:r>
      <w:r w:rsidRPr="00E75C32">
        <w:rPr>
          <w:rFonts w:asciiTheme="minorHAnsi" w:eastAsiaTheme="minorHAnsi" w:hAnsiTheme="minorHAnsi" w:cs="Arial"/>
          <w:b/>
          <w:szCs w:val="22"/>
          <w:lang w:eastAsia="en-US"/>
        </w:rPr>
        <w:t xml:space="preserve"> o dofinansowanie, przy czym osiągnięte wartości powinny zostać wykazane najpóźniej we wniosku o płatność końcową oraz utrzymane w okresie trwałości projektu, </w:t>
      </w:r>
    </w:p>
    <w:p w14:paraId="2BC5B001" w14:textId="77777777" w:rsidR="00E75C32" w:rsidRPr="00E75C32" w:rsidRDefault="00E75C32" w:rsidP="00E75C32">
      <w:pPr>
        <w:autoSpaceDE w:val="0"/>
        <w:autoSpaceDN w:val="0"/>
        <w:adjustRightInd w:val="0"/>
        <w:spacing w:before="120" w:after="120" w:line="240" w:lineRule="auto"/>
        <w:jc w:val="both"/>
        <w:rPr>
          <w:rFonts w:asciiTheme="minorHAnsi" w:eastAsiaTheme="minorHAnsi" w:hAnsiTheme="minorHAnsi" w:cs="Arial"/>
          <w:b/>
          <w:szCs w:val="22"/>
          <w:lang w:eastAsia="en-US"/>
        </w:rPr>
      </w:pPr>
      <w:r w:rsidRPr="00E75C32">
        <w:rPr>
          <w:rFonts w:asciiTheme="minorHAnsi" w:eastAsiaTheme="minorHAnsi" w:hAnsiTheme="minorHAnsi" w:cs="Arial"/>
          <w:b/>
          <w:szCs w:val="22"/>
          <w:lang w:eastAsia="en-US"/>
        </w:rPr>
        <w:t xml:space="preserve">b) w przypadku wskaźników rezultatu określonych na poziomie projektu: </w:t>
      </w:r>
    </w:p>
    <w:p w14:paraId="6431CCAE" w14:textId="77777777" w:rsidR="00ED3465" w:rsidRPr="00E75C32" w:rsidRDefault="00ED3465" w:rsidP="00ED3465">
      <w:pPr>
        <w:numPr>
          <w:ilvl w:val="0"/>
          <w:numId w:val="13"/>
        </w:numPr>
        <w:autoSpaceDE w:val="0"/>
        <w:autoSpaceDN w:val="0"/>
        <w:adjustRightInd w:val="0"/>
        <w:spacing w:before="120" w:after="120" w:line="240" w:lineRule="auto"/>
        <w:jc w:val="both"/>
        <w:rPr>
          <w:rFonts w:asciiTheme="minorHAnsi" w:eastAsiaTheme="minorHAnsi" w:hAnsiTheme="minorHAnsi" w:cs="Arial"/>
          <w:b/>
          <w:bCs/>
          <w:szCs w:val="22"/>
          <w:lang w:eastAsia="en-US"/>
        </w:rPr>
      </w:pPr>
      <w:r w:rsidRPr="00E75C32">
        <w:rPr>
          <w:rFonts w:asciiTheme="minorHAnsi" w:eastAsiaTheme="minorHAnsi" w:hAnsiTheme="minorHAnsi" w:cs="Arial"/>
          <w:b/>
          <w:szCs w:val="22"/>
          <w:lang w:eastAsia="en-US"/>
        </w:rPr>
        <w:t>co do zasady – w okresie 12 miesięcy od zakończenia okresu realizac</w:t>
      </w:r>
      <w:r>
        <w:rPr>
          <w:rFonts w:asciiTheme="minorHAnsi" w:eastAsiaTheme="minorHAnsi" w:hAnsiTheme="minorHAnsi" w:cs="Arial"/>
          <w:b/>
          <w:szCs w:val="22"/>
          <w:lang w:eastAsia="en-US"/>
        </w:rPr>
        <w:t>ji projektu określonego w decyzji</w:t>
      </w:r>
      <w:r w:rsidRPr="00E75C32">
        <w:rPr>
          <w:rFonts w:asciiTheme="minorHAnsi" w:eastAsiaTheme="minorHAnsi" w:hAnsiTheme="minorHAnsi" w:cs="Arial"/>
          <w:b/>
          <w:szCs w:val="22"/>
          <w:lang w:eastAsia="en-US"/>
        </w:rPr>
        <w:t xml:space="preserve"> o dofinansowaniu projektu lub, o ile wynika to ze specyfiki projektu, od uruchomienia przedsięwzięcia, </w:t>
      </w:r>
      <w:r w:rsidRPr="00E75C32">
        <w:rPr>
          <w:rFonts w:asciiTheme="minorHAnsi" w:eastAsiaTheme="minorHAnsi" w:hAnsiTheme="minorHAnsi" w:cs="Arial"/>
          <w:b/>
          <w:bCs/>
          <w:szCs w:val="22"/>
          <w:lang w:eastAsia="en-US"/>
        </w:rPr>
        <w:t xml:space="preserve">przy czym osiągnięte wartości wykazywane są we wniosku o płatność końcową lub jego korekcie. Wskaźniki rezultatu powinny być utrzymane </w:t>
      </w:r>
      <w:r w:rsidRPr="00E75C32">
        <w:rPr>
          <w:rFonts w:asciiTheme="minorHAnsi" w:eastAsiaTheme="minorHAnsi" w:hAnsiTheme="minorHAnsi" w:cs="Arial"/>
          <w:b/>
          <w:bCs/>
          <w:szCs w:val="22"/>
          <w:lang w:eastAsia="en-US"/>
        </w:rPr>
        <w:br/>
        <w:t>w okresie trwałości projektu, lub</w:t>
      </w:r>
    </w:p>
    <w:p w14:paraId="65862525" w14:textId="273B6CBB" w:rsidR="00ED3465" w:rsidRDefault="00ED3465" w:rsidP="00ED3465">
      <w:pPr>
        <w:numPr>
          <w:ilvl w:val="0"/>
          <w:numId w:val="13"/>
        </w:numPr>
        <w:autoSpaceDE w:val="0"/>
        <w:autoSpaceDN w:val="0"/>
        <w:adjustRightInd w:val="0"/>
        <w:spacing w:before="120" w:line="240" w:lineRule="auto"/>
        <w:ind w:left="714" w:hanging="357"/>
        <w:jc w:val="both"/>
        <w:rPr>
          <w:rFonts w:asciiTheme="minorHAnsi" w:eastAsiaTheme="minorHAnsi" w:hAnsiTheme="minorHAnsi" w:cs="Arial"/>
          <w:b/>
          <w:bCs/>
          <w:szCs w:val="22"/>
          <w:lang w:eastAsia="en-US"/>
        </w:rPr>
      </w:pPr>
      <w:r w:rsidRPr="00D669FF">
        <w:rPr>
          <w:rFonts w:asciiTheme="minorHAnsi" w:eastAsiaTheme="minorHAnsi" w:hAnsiTheme="minorHAnsi" w:cs="Arial"/>
          <w:b/>
          <w:bCs/>
          <w:szCs w:val="22"/>
          <w:lang w:eastAsia="en-US"/>
        </w:rPr>
        <w:t xml:space="preserve">w okresie trwałości projektu, na zasadach określonych przez IZ RPO w decyzji </w:t>
      </w:r>
      <w:r w:rsidRPr="00D669FF">
        <w:rPr>
          <w:rFonts w:asciiTheme="minorHAnsi" w:eastAsiaTheme="minorHAnsi" w:hAnsiTheme="minorHAnsi" w:cs="Arial"/>
          <w:b/>
          <w:bCs/>
          <w:szCs w:val="22"/>
          <w:lang w:eastAsia="en-US"/>
        </w:rPr>
        <w:br/>
        <w:t>o dofinansowanie projektu</w:t>
      </w:r>
      <w:r w:rsidR="003C1D55">
        <w:rPr>
          <w:rFonts w:asciiTheme="minorHAnsi" w:eastAsiaTheme="minorHAnsi" w:hAnsiTheme="minorHAnsi" w:cs="Arial"/>
          <w:b/>
          <w:bCs/>
          <w:szCs w:val="22"/>
          <w:lang w:eastAsia="en-US"/>
        </w:rPr>
        <w:t>.</w:t>
      </w:r>
      <w:r w:rsidRPr="00D669FF">
        <w:rPr>
          <w:rFonts w:asciiTheme="minorHAnsi" w:eastAsiaTheme="minorHAnsi" w:hAnsiTheme="minorHAnsi" w:cs="Arial"/>
          <w:b/>
          <w:bCs/>
          <w:szCs w:val="22"/>
          <w:lang w:eastAsia="en-US"/>
        </w:rPr>
        <w:t xml:space="preserve"> </w:t>
      </w:r>
    </w:p>
    <w:p w14:paraId="664BF8E5" w14:textId="77777777" w:rsidR="00ED3465" w:rsidRPr="00ED3465" w:rsidRDefault="00ED3465" w:rsidP="00ED3465">
      <w:pPr>
        <w:autoSpaceDE w:val="0"/>
        <w:autoSpaceDN w:val="0"/>
        <w:adjustRightInd w:val="0"/>
        <w:spacing w:before="120" w:after="120" w:line="240" w:lineRule="auto"/>
        <w:ind w:left="720"/>
        <w:jc w:val="both"/>
        <w:rPr>
          <w:rFonts w:asciiTheme="minorHAnsi" w:eastAsiaTheme="minorHAnsi" w:hAnsiTheme="minorHAnsi" w:cs="Arial"/>
          <w:color w:val="000000" w:themeColor="text1"/>
          <w:szCs w:val="22"/>
          <w:lang w:eastAsia="en-US"/>
        </w:rPr>
      </w:pPr>
      <w:r w:rsidRPr="00ED3465">
        <w:rPr>
          <w:rFonts w:asciiTheme="minorHAnsi" w:hAnsiTheme="minorHAnsi"/>
          <w:b/>
          <w:color w:val="000000" w:themeColor="text1"/>
          <w:szCs w:val="22"/>
        </w:rPr>
        <w:t>W związku ze zbliżającym się terminem zakończenia realizacji Programu, wskaźniki rezultatu powinny zostać przedstawione przez beneficjenta do 30.06.2024 r.</w:t>
      </w:r>
    </w:p>
    <w:p w14:paraId="2FE5C9D2" w14:textId="2A424552" w:rsidR="00B47078" w:rsidRPr="00E75C32" w:rsidRDefault="00B47078" w:rsidP="00E75C32">
      <w:pPr>
        <w:autoSpaceDE w:val="0"/>
        <w:autoSpaceDN w:val="0"/>
        <w:adjustRightInd w:val="0"/>
        <w:spacing w:before="120" w:after="120" w:line="240" w:lineRule="auto"/>
        <w:jc w:val="both"/>
        <w:rPr>
          <w:rFonts w:asciiTheme="minorHAnsi" w:hAnsiTheme="minorHAnsi"/>
          <w:b/>
          <w:color w:val="FF0000"/>
          <w:szCs w:val="22"/>
        </w:rPr>
      </w:pPr>
    </w:p>
    <w:sectPr w:rsidR="00B47078" w:rsidRPr="00E75C32" w:rsidSect="00D9145D">
      <w:footerReference w:type="default" r:id="rId8"/>
      <w:headerReference w:type="first" r:id="rId9"/>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B21F" w14:textId="77777777" w:rsidR="008B2D8D" w:rsidRDefault="008B2D8D" w:rsidP="008C495E">
      <w:pPr>
        <w:spacing w:before="0" w:line="240" w:lineRule="auto"/>
      </w:pPr>
      <w:r>
        <w:separator/>
      </w:r>
    </w:p>
  </w:endnote>
  <w:endnote w:type="continuationSeparator" w:id="0">
    <w:p w14:paraId="52FE2A15" w14:textId="77777777" w:rsidR="008B2D8D" w:rsidRDefault="008B2D8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1906"/>
      <w:docPartObj>
        <w:docPartGallery w:val="Page Numbers (Bottom of Page)"/>
        <w:docPartUnique/>
      </w:docPartObj>
    </w:sdtPr>
    <w:sdtEndPr/>
    <w:sdtContent>
      <w:p w14:paraId="454D656A" w14:textId="7C5660E9" w:rsidR="00743204" w:rsidRDefault="00D173BC">
        <w:pPr>
          <w:pStyle w:val="Stopka"/>
          <w:jc w:val="right"/>
        </w:pPr>
        <w:r>
          <w:fldChar w:fldCharType="begin"/>
        </w:r>
        <w:r w:rsidR="00743204">
          <w:instrText>PAGE   \* MERGEFORMAT</w:instrText>
        </w:r>
        <w:r>
          <w:fldChar w:fldCharType="separate"/>
        </w:r>
        <w:r w:rsidR="00771036">
          <w:rPr>
            <w:noProof/>
          </w:rPr>
          <w:t>7</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3010" w14:textId="77777777" w:rsidR="008B2D8D" w:rsidRDefault="008B2D8D" w:rsidP="008C495E">
      <w:pPr>
        <w:spacing w:before="0" w:line="240" w:lineRule="auto"/>
      </w:pPr>
      <w:r>
        <w:separator/>
      </w:r>
    </w:p>
  </w:footnote>
  <w:footnote w:type="continuationSeparator" w:id="0">
    <w:p w14:paraId="1CC28C90" w14:textId="77777777" w:rsidR="008B2D8D" w:rsidRDefault="008B2D8D"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2ADA" w14:textId="4545FEA5" w:rsidR="00275240" w:rsidRDefault="00275240" w:rsidP="00275240">
    <w:pPr>
      <w:spacing w:before="0" w:line="254" w:lineRule="auto"/>
      <w:ind w:left="5760" w:right="100"/>
      <w:jc w:val="both"/>
      <w:rPr>
        <w:rFonts w:asciiTheme="minorHAnsi" w:eastAsia="Calibri" w:hAnsiTheme="minorHAnsi" w:cs="Arial"/>
        <w:sz w:val="18"/>
        <w:szCs w:val="18"/>
      </w:rPr>
    </w:pPr>
    <w:r w:rsidRPr="009F3688">
      <w:rPr>
        <w:noProof/>
        <w:sz w:val="16"/>
        <w:szCs w:val="16"/>
      </w:rPr>
      <w:drawing>
        <wp:anchor distT="0" distB="0" distL="114300" distR="114300" simplePos="0" relativeHeight="251659264" behindDoc="1" locked="0" layoutInCell="1" allowOverlap="1" wp14:anchorId="2946CCD2" wp14:editId="1C2C55B4">
          <wp:simplePos x="0" y="0"/>
          <wp:positionH relativeFrom="column">
            <wp:posOffset>500380</wp:posOffset>
          </wp:positionH>
          <wp:positionV relativeFrom="paragraph">
            <wp:posOffset>131445</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356BE169"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06B3486C"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26EE1175"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16206E27" w14:textId="77777777" w:rsidR="00275240" w:rsidRDefault="00275240" w:rsidP="00275240">
    <w:pPr>
      <w:spacing w:before="0" w:line="254" w:lineRule="auto"/>
      <w:ind w:left="5760" w:right="100"/>
      <w:jc w:val="both"/>
      <w:rPr>
        <w:rFonts w:asciiTheme="minorHAnsi" w:eastAsia="Calibri" w:hAnsiTheme="minorHAnsi" w:cs="Arial"/>
        <w:sz w:val="18"/>
        <w:szCs w:val="18"/>
      </w:rPr>
    </w:pPr>
  </w:p>
  <w:p w14:paraId="5088CA25" w14:textId="7896499C" w:rsidR="00275240" w:rsidRPr="00275240" w:rsidRDefault="00275240" w:rsidP="00C05E16">
    <w:pPr>
      <w:spacing w:before="0" w:line="254" w:lineRule="auto"/>
      <w:ind w:left="5760" w:right="100"/>
      <w:jc w:val="right"/>
      <w:rPr>
        <w:rFonts w:asciiTheme="minorHAnsi" w:eastAsia="Calibri" w:hAnsiTheme="minorHAnsi" w:cs="Arial"/>
        <w:bCs/>
        <w:sz w:val="18"/>
        <w:szCs w:val="18"/>
      </w:rPr>
    </w:pPr>
    <w:r w:rsidRPr="00275240">
      <w:rPr>
        <w:rFonts w:asciiTheme="minorHAnsi" w:eastAsia="Calibri" w:hAnsiTheme="minorHAnsi" w:cs="Arial"/>
        <w:sz w:val="18"/>
        <w:szCs w:val="18"/>
      </w:rPr>
      <w:t xml:space="preserve">Załącznik nr </w:t>
    </w:r>
    <w:r w:rsidR="00C05E16">
      <w:rPr>
        <w:rFonts w:asciiTheme="minorHAnsi" w:eastAsia="Calibri" w:hAnsiTheme="minorHAnsi" w:cs="Arial"/>
        <w:sz w:val="18"/>
        <w:szCs w:val="18"/>
      </w:rPr>
      <w:t>2</w:t>
    </w:r>
    <w:r w:rsidRPr="00275240">
      <w:rPr>
        <w:rFonts w:asciiTheme="minorHAnsi" w:eastAsia="Calibri" w:hAnsiTheme="minorHAnsi" w:cs="Arial"/>
        <w:sz w:val="18"/>
        <w:szCs w:val="18"/>
      </w:rPr>
      <w:t xml:space="preserve"> do </w:t>
    </w:r>
    <w:r w:rsidR="00C05E16">
      <w:rPr>
        <w:rFonts w:asciiTheme="minorHAnsi" w:eastAsia="Calibri" w:hAnsiTheme="minorHAnsi" w:cs="Arial"/>
        <w:bCs/>
        <w:sz w:val="18"/>
        <w:szCs w:val="18"/>
      </w:rPr>
      <w:t>Zasad ubiegania się o </w:t>
    </w:r>
    <w:r w:rsidRPr="00275240">
      <w:rPr>
        <w:rFonts w:asciiTheme="minorHAnsi" w:eastAsia="Calibri" w:hAnsiTheme="minorHAnsi" w:cs="Arial"/>
        <w:bCs/>
        <w:sz w:val="18"/>
        <w:szCs w:val="18"/>
      </w:rPr>
      <w:t>wsparcie w trybie pozakonkursowym</w:t>
    </w:r>
  </w:p>
  <w:p w14:paraId="2ABFCD93" w14:textId="19C910A8" w:rsidR="00275240" w:rsidRPr="00275240" w:rsidRDefault="00275240" w:rsidP="00C05E16">
    <w:pPr>
      <w:spacing w:before="0" w:line="254" w:lineRule="auto"/>
      <w:ind w:left="5040" w:right="100" w:firstLine="720"/>
      <w:jc w:val="right"/>
      <w:rPr>
        <w:rFonts w:asciiTheme="minorHAnsi" w:eastAsia="Calibri" w:hAnsiTheme="minorHAnsi" w:cs="Arial"/>
        <w:bCs/>
        <w:sz w:val="18"/>
        <w:szCs w:val="18"/>
      </w:rPr>
    </w:pPr>
    <w:r w:rsidRPr="00275240">
      <w:rPr>
        <w:rFonts w:asciiTheme="minorHAnsi" w:eastAsia="Calibri" w:hAnsiTheme="minorHAnsi" w:cs="Arial"/>
        <w:bCs/>
        <w:sz w:val="18"/>
        <w:szCs w:val="18"/>
      </w:rPr>
      <w:t xml:space="preserve">Nabór nr </w:t>
    </w:r>
    <w:bookmarkStart w:id="0" w:name="_Hlk20313494"/>
    <w:r w:rsidR="002E6D4C" w:rsidRPr="002E6D4C">
      <w:rPr>
        <w:rFonts w:asciiTheme="minorHAnsi" w:eastAsia="Calibri" w:hAnsiTheme="minorHAnsi" w:cs="Arial"/>
        <w:bCs/>
        <w:sz w:val="18"/>
        <w:szCs w:val="18"/>
      </w:rPr>
      <w:t>RPDS.05.02.01-IZ.00-02-4</w:t>
    </w:r>
    <w:r w:rsidR="003D0A0E">
      <w:rPr>
        <w:rFonts w:asciiTheme="minorHAnsi" w:eastAsia="Calibri" w:hAnsiTheme="minorHAnsi" w:cs="Arial"/>
        <w:bCs/>
        <w:sz w:val="18"/>
        <w:szCs w:val="18"/>
      </w:rPr>
      <w:t>33</w:t>
    </w:r>
    <w:r w:rsidR="002E6D4C" w:rsidRPr="002E6D4C">
      <w:rPr>
        <w:rFonts w:asciiTheme="minorHAnsi" w:eastAsia="Calibri" w:hAnsiTheme="minorHAnsi" w:cs="Arial"/>
        <w:bCs/>
        <w:sz w:val="18"/>
        <w:szCs w:val="18"/>
      </w:rPr>
      <w:t>/2</w:t>
    </w:r>
    <w:bookmarkEnd w:id="0"/>
    <w:r w:rsidR="003D0A0E">
      <w:rPr>
        <w:rFonts w:asciiTheme="minorHAnsi" w:eastAsia="Calibri" w:hAnsiTheme="minorHAnsi" w:cs="Arial"/>
        <w:bCs/>
        <w:sz w:val="18"/>
        <w:szCs w:val="18"/>
      </w:rPr>
      <w:t>2</w:t>
    </w:r>
  </w:p>
  <w:p w14:paraId="7B64A0D2" w14:textId="3892E161" w:rsidR="00275240" w:rsidRDefault="00C05E16" w:rsidP="00C05E16">
    <w:pPr>
      <w:pStyle w:val="Nagwek"/>
      <w:tabs>
        <w:tab w:val="clear" w:pos="4536"/>
        <w:tab w:val="clear" w:pos="9072"/>
        <w:tab w:val="left" w:pos="773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B5CBB"/>
    <w:multiLevelType w:val="hybridMultilevel"/>
    <w:tmpl w:val="D1C03C62"/>
    <w:lvl w:ilvl="0" w:tplc="F2CAD350">
      <w:start w:val="1"/>
      <w:numFmt w:val="bullet"/>
      <w:lvlText w:val=""/>
      <w:lvlJc w:val="left"/>
      <w:pPr>
        <w:ind w:left="1404" w:hanging="360"/>
      </w:pPr>
      <w:rPr>
        <w:rFonts w:ascii="Symbol" w:hAnsi="Symbol" w:hint="default"/>
        <w:color w:val="000000" w:themeColor="text1"/>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7"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D4629DA"/>
    <w:multiLevelType w:val="hybridMultilevel"/>
    <w:tmpl w:val="936AB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E2255A"/>
    <w:multiLevelType w:val="hybridMultilevel"/>
    <w:tmpl w:val="44B8B1DE"/>
    <w:lvl w:ilvl="0" w:tplc="1FF4423C">
      <w:start w:val="1"/>
      <w:numFmt w:val="decimal"/>
      <w:lvlText w:val="%1."/>
      <w:lvlJc w:val="left"/>
      <w:pPr>
        <w:ind w:left="818" w:hanging="360"/>
      </w:pPr>
      <w:rPr>
        <w:rFonts w:asciiTheme="minorHAnsi" w:eastAsia="Times New Roman" w:hAnsiTheme="minorHAnsi" w:cs="Arial"/>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 w15:restartNumberingAfterBreak="0">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2"/>
  </w:num>
  <w:num w:numId="8">
    <w:abstractNumId w:val="4"/>
  </w:num>
  <w:num w:numId="9">
    <w:abstractNumId w:val="10"/>
  </w:num>
  <w:num w:numId="10">
    <w:abstractNumId w:val="3"/>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95E"/>
    <w:rsid w:val="00000BE9"/>
    <w:rsid w:val="000202B0"/>
    <w:rsid w:val="00021011"/>
    <w:rsid w:val="00042A02"/>
    <w:rsid w:val="00045A96"/>
    <w:rsid w:val="00052988"/>
    <w:rsid w:val="00053380"/>
    <w:rsid w:val="00054CF3"/>
    <w:rsid w:val="00065DCD"/>
    <w:rsid w:val="000715A8"/>
    <w:rsid w:val="000733A4"/>
    <w:rsid w:val="00076457"/>
    <w:rsid w:val="00080E29"/>
    <w:rsid w:val="00084FC4"/>
    <w:rsid w:val="00094C3F"/>
    <w:rsid w:val="000A2F95"/>
    <w:rsid w:val="000D7445"/>
    <w:rsid w:val="000E3B57"/>
    <w:rsid w:val="000E5C5E"/>
    <w:rsid w:val="00115219"/>
    <w:rsid w:val="00132A47"/>
    <w:rsid w:val="00150D39"/>
    <w:rsid w:val="00160D5F"/>
    <w:rsid w:val="001711EA"/>
    <w:rsid w:val="0017324E"/>
    <w:rsid w:val="00173709"/>
    <w:rsid w:val="001933BD"/>
    <w:rsid w:val="0019343C"/>
    <w:rsid w:val="00195912"/>
    <w:rsid w:val="001962F1"/>
    <w:rsid w:val="001A3060"/>
    <w:rsid w:val="001B3E6B"/>
    <w:rsid w:val="001C0B15"/>
    <w:rsid w:val="001D0F45"/>
    <w:rsid w:val="001D20A9"/>
    <w:rsid w:val="001E143A"/>
    <w:rsid w:val="001F6BE0"/>
    <w:rsid w:val="00204DF9"/>
    <w:rsid w:val="0022505F"/>
    <w:rsid w:val="00243514"/>
    <w:rsid w:val="002551B0"/>
    <w:rsid w:val="00255CF9"/>
    <w:rsid w:val="002624F6"/>
    <w:rsid w:val="00272EC7"/>
    <w:rsid w:val="00273447"/>
    <w:rsid w:val="00274058"/>
    <w:rsid w:val="002746BC"/>
    <w:rsid w:val="00275240"/>
    <w:rsid w:val="00291D8A"/>
    <w:rsid w:val="0029753F"/>
    <w:rsid w:val="002A2E5B"/>
    <w:rsid w:val="002D0467"/>
    <w:rsid w:val="002E120C"/>
    <w:rsid w:val="002E6D4C"/>
    <w:rsid w:val="002F7385"/>
    <w:rsid w:val="00302BE2"/>
    <w:rsid w:val="00307FBA"/>
    <w:rsid w:val="003155EA"/>
    <w:rsid w:val="00321DB0"/>
    <w:rsid w:val="0032505D"/>
    <w:rsid w:val="0032765F"/>
    <w:rsid w:val="00335F9F"/>
    <w:rsid w:val="00337E05"/>
    <w:rsid w:val="0035001C"/>
    <w:rsid w:val="00355920"/>
    <w:rsid w:val="00356BA0"/>
    <w:rsid w:val="00361D70"/>
    <w:rsid w:val="00373BE5"/>
    <w:rsid w:val="00374C1E"/>
    <w:rsid w:val="00377E66"/>
    <w:rsid w:val="003A178D"/>
    <w:rsid w:val="003A1B87"/>
    <w:rsid w:val="003A7AE2"/>
    <w:rsid w:val="003B0F33"/>
    <w:rsid w:val="003B6ECB"/>
    <w:rsid w:val="003C1D55"/>
    <w:rsid w:val="003C2977"/>
    <w:rsid w:val="003D0A0E"/>
    <w:rsid w:val="003D3BC5"/>
    <w:rsid w:val="003D522D"/>
    <w:rsid w:val="003D6A16"/>
    <w:rsid w:val="003F05D2"/>
    <w:rsid w:val="003F5770"/>
    <w:rsid w:val="00401430"/>
    <w:rsid w:val="00413E25"/>
    <w:rsid w:val="00424C0A"/>
    <w:rsid w:val="00436C94"/>
    <w:rsid w:val="00467D2B"/>
    <w:rsid w:val="00471B9A"/>
    <w:rsid w:val="004839B2"/>
    <w:rsid w:val="00485478"/>
    <w:rsid w:val="00494F11"/>
    <w:rsid w:val="00495D6C"/>
    <w:rsid w:val="00497586"/>
    <w:rsid w:val="004A4160"/>
    <w:rsid w:val="004A4436"/>
    <w:rsid w:val="004A7178"/>
    <w:rsid w:val="004B1AAC"/>
    <w:rsid w:val="004C65F9"/>
    <w:rsid w:val="004E0A33"/>
    <w:rsid w:val="004F3814"/>
    <w:rsid w:val="004F75FB"/>
    <w:rsid w:val="00516B06"/>
    <w:rsid w:val="0053148E"/>
    <w:rsid w:val="00540B5A"/>
    <w:rsid w:val="00542A50"/>
    <w:rsid w:val="00553581"/>
    <w:rsid w:val="005636D4"/>
    <w:rsid w:val="00565671"/>
    <w:rsid w:val="00565D80"/>
    <w:rsid w:val="00595335"/>
    <w:rsid w:val="005B7081"/>
    <w:rsid w:val="005B72D0"/>
    <w:rsid w:val="005C14F4"/>
    <w:rsid w:val="005D5819"/>
    <w:rsid w:val="005E1088"/>
    <w:rsid w:val="005F1159"/>
    <w:rsid w:val="00604440"/>
    <w:rsid w:val="006069D8"/>
    <w:rsid w:val="00610669"/>
    <w:rsid w:val="00621237"/>
    <w:rsid w:val="00636AF7"/>
    <w:rsid w:val="00642322"/>
    <w:rsid w:val="00644DA8"/>
    <w:rsid w:val="00667C26"/>
    <w:rsid w:val="006C0EAA"/>
    <w:rsid w:val="006C681F"/>
    <w:rsid w:val="006D5B52"/>
    <w:rsid w:val="006D5D7B"/>
    <w:rsid w:val="006F0ABC"/>
    <w:rsid w:val="006F3E11"/>
    <w:rsid w:val="00717C18"/>
    <w:rsid w:val="00725110"/>
    <w:rsid w:val="0072798D"/>
    <w:rsid w:val="00741B27"/>
    <w:rsid w:val="00743204"/>
    <w:rsid w:val="0076413F"/>
    <w:rsid w:val="00766CF0"/>
    <w:rsid w:val="00771036"/>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43C12"/>
    <w:rsid w:val="00875D8E"/>
    <w:rsid w:val="00877F3B"/>
    <w:rsid w:val="00890482"/>
    <w:rsid w:val="0089244A"/>
    <w:rsid w:val="00897B25"/>
    <w:rsid w:val="008A7D54"/>
    <w:rsid w:val="008B21E1"/>
    <w:rsid w:val="008B2D8D"/>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A61F1"/>
    <w:rsid w:val="009C320F"/>
    <w:rsid w:val="009C48DB"/>
    <w:rsid w:val="009C5E72"/>
    <w:rsid w:val="009D3C56"/>
    <w:rsid w:val="009D7559"/>
    <w:rsid w:val="009E5EFE"/>
    <w:rsid w:val="009E607D"/>
    <w:rsid w:val="009E65D0"/>
    <w:rsid w:val="009F5845"/>
    <w:rsid w:val="00A40E24"/>
    <w:rsid w:val="00A42104"/>
    <w:rsid w:val="00A53C5D"/>
    <w:rsid w:val="00A5467E"/>
    <w:rsid w:val="00A565C1"/>
    <w:rsid w:val="00A65834"/>
    <w:rsid w:val="00A815D9"/>
    <w:rsid w:val="00A92838"/>
    <w:rsid w:val="00AA23F8"/>
    <w:rsid w:val="00AA4403"/>
    <w:rsid w:val="00AA4BF5"/>
    <w:rsid w:val="00AA4C46"/>
    <w:rsid w:val="00AA74B6"/>
    <w:rsid w:val="00AC2F82"/>
    <w:rsid w:val="00AC6F89"/>
    <w:rsid w:val="00AD2437"/>
    <w:rsid w:val="00AD41BA"/>
    <w:rsid w:val="00AD5DFF"/>
    <w:rsid w:val="00B11973"/>
    <w:rsid w:val="00B204DD"/>
    <w:rsid w:val="00B235FF"/>
    <w:rsid w:val="00B26F44"/>
    <w:rsid w:val="00B47078"/>
    <w:rsid w:val="00B57210"/>
    <w:rsid w:val="00B7110C"/>
    <w:rsid w:val="00B843EB"/>
    <w:rsid w:val="00B8641F"/>
    <w:rsid w:val="00B87D19"/>
    <w:rsid w:val="00BA4236"/>
    <w:rsid w:val="00BB7F60"/>
    <w:rsid w:val="00BD05BA"/>
    <w:rsid w:val="00BD70AD"/>
    <w:rsid w:val="00BE20B6"/>
    <w:rsid w:val="00BE31AE"/>
    <w:rsid w:val="00BE3F33"/>
    <w:rsid w:val="00BE50EE"/>
    <w:rsid w:val="00C05E16"/>
    <w:rsid w:val="00C10532"/>
    <w:rsid w:val="00C24499"/>
    <w:rsid w:val="00C538A8"/>
    <w:rsid w:val="00C543ED"/>
    <w:rsid w:val="00C60D52"/>
    <w:rsid w:val="00C7417D"/>
    <w:rsid w:val="00C758A2"/>
    <w:rsid w:val="00C81560"/>
    <w:rsid w:val="00C91CE9"/>
    <w:rsid w:val="00CB485D"/>
    <w:rsid w:val="00CD21B1"/>
    <w:rsid w:val="00CD5A7A"/>
    <w:rsid w:val="00CF16E5"/>
    <w:rsid w:val="00D03CAB"/>
    <w:rsid w:val="00D052AB"/>
    <w:rsid w:val="00D173BC"/>
    <w:rsid w:val="00D63DBC"/>
    <w:rsid w:val="00D7269F"/>
    <w:rsid w:val="00D75E86"/>
    <w:rsid w:val="00D82F7C"/>
    <w:rsid w:val="00D902BB"/>
    <w:rsid w:val="00D90C7A"/>
    <w:rsid w:val="00D9145D"/>
    <w:rsid w:val="00DA0C41"/>
    <w:rsid w:val="00DA0E32"/>
    <w:rsid w:val="00DB2D42"/>
    <w:rsid w:val="00DB63A0"/>
    <w:rsid w:val="00DF3CC5"/>
    <w:rsid w:val="00DF4DD2"/>
    <w:rsid w:val="00E06046"/>
    <w:rsid w:val="00E07494"/>
    <w:rsid w:val="00E11800"/>
    <w:rsid w:val="00E11D35"/>
    <w:rsid w:val="00E32852"/>
    <w:rsid w:val="00E45206"/>
    <w:rsid w:val="00E50356"/>
    <w:rsid w:val="00E55074"/>
    <w:rsid w:val="00E604AF"/>
    <w:rsid w:val="00E61834"/>
    <w:rsid w:val="00E75C32"/>
    <w:rsid w:val="00E848C5"/>
    <w:rsid w:val="00E90CA0"/>
    <w:rsid w:val="00E91B8F"/>
    <w:rsid w:val="00E944F3"/>
    <w:rsid w:val="00EB6FAC"/>
    <w:rsid w:val="00ED0E9F"/>
    <w:rsid w:val="00ED274D"/>
    <w:rsid w:val="00ED3465"/>
    <w:rsid w:val="00ED5DD7"/>
    <w:rsid w:val="00EE0A11"/>
    <w:rsid w:val="00EF6053"/>
    <w:rsid w:val="00F0119D"/>
    <w:rsid w:val="00F11756"/>
    <w:rsid w:val="00F137F5"/>
    <w:rsid w:val="00F30D7F"/>
    <w:rsid w:val="00F367D1"/>
    <w:rsid w:val="00F3754F"/>
    <w:rsid w:val="00F52C46"/>
    <w:rsid w:val="00F8611C"/>
    <w:rsid w:val="00F90750"/>
    <w:rsid w:val="00FA3B8D"/>
    <w:rsid w:val="00FC6F40"/>
    <w:rsid w:val="00FD5BF8"/>
    <w:rsid w:val="00FF7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37C1B"/>
  <w15:docId w15:val="{B5D2461B-1FDF-48F1-BC6D-ACFEABAC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8C495E"/>
    <w:pPr>
      <w:ind w:left="708"/>
    </w:p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20514804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10272907">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113402654">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977882197">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95755960">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877887024">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244920123">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472715577">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09A1-AAAC-4538-AE82-088CA770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2219</Words>
  <Characters>13315</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Gęsiak-Kaniuka</dc:creator>
  <cp:keywords/>
  <dc:description/>
  <cp:lastModifiedBy>Agata Kopeć</cp:lastModifiedBy>
  <cp:revision>15</cp:revision>
  <cp:lastPrinted>2015-11-05T11:07:00Z</cp:lastPrinted>
  <dcterms:created xsi:type="dcterms:W3CDTF">2019-02-19T11:48:00Z</dcterms:created>
  <dcterms:modified xsi:type="dcterms:W3CDTF">2022-03-28T10:55:00Z</dcterms:modified>
</cp:coreProperties>
</file>