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EB" w14:textId="77777777" w:rsidR="00890C4C" w:rsidRPr="00B82B56" w:rsidRDefault="00890C4C" w:rsidP="00391DF3">
      <w:pPr>
        <w:pStyle w:val="Nagwek"/>
        <w:tabs>
          <w:tab w:val="clear" w:pos="4536"/>
        </w:tabs>
        <w:spacing w:before="120" w:after="120"/>
        <w:jc w:val="both"/>
        <w:rPr>
          <w:rFonts w:cstheme="minorHAnsi"/>
          <w:b/>
          <w:sz w:val="24"/>
          <w:szCs w:val="24"/>
        </w:rPr>
      </w:pPr>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391DF3">
      <w:pPr>
        <w:spacing w:line="240" w:lineRule="auto"/>
        <w:jc w:val="both"/>
        <w:rPr>
          <w:rFonts w:cstheme="minorHAnsi"/>
          <w:b/>
          <w:sz w:val="24"/>
          <w:szCs w:val="24"/>
        </w:rPr>
      </w:pPr>
    </w:p>
    <w:p w14:paraId="47A68890" w14:textId="77777777" w:rsidR="00705179" w:rsidRPr="00B82B56" w:rsidRDefault="00705179" w:rsidP="00391DF3">
      <w:pPr>
        <w:autoSpaceDE w:val="0"/>
        <w:spacing w:line="240" w:lineRule="auto"/>
        <w:contextualSpacing/>
        <w:jc w:val="center"/>
        <w:rPr>
          <w:rFonts w:cstheme="minorHAnsi"/>
          <w:b/>
          <w:sz w:val="28"/>
          <w:szCs w:val="28"/>
        </w:rPr>
      </w:pPr>
    </w:p>
    <w:p w14:paraId="36577346" w14:textId="36C8926F" w:rsidR="0087487C" w:rsidRPr="00B82B56" w:rsidRDefault="00104A3E" w:rsidP="00391DF3">
      <w:pPr>
        <w:autoSpaceDE w:val="0"/>
        <w:spacing w:line="240" w:lineRule="auto"/>
        <w:contextualSpacing/>
        <w:jc w:val="center"/>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391DF3">
      <w:pPr>
        <w:autoSpaceDE w:val="0"/>
        <w:spacing w:line="240" w:lineRule="auto"/>
        <w:contextualSpacing/>
        <w:jc w:val="center"/>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391DF3">
      <w:pPr>
        <w:autoSpaceDE w:val="0"/>
        <w:spacing w:line="240" w:lineRule="auto"/>
        <w:contextualSpacing/>
        <w:jc w:val="center"/>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391DF3">
      <w:pPr>
        <w:autoSpaceDE w:val="0"/>
        <w:spacing w:line="240" w:lineRule="auto"/>
        <w:contextualSpacing/>
        <w:jc w:val="center"/>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Regionalnego Programu Operacyjnego Województwa Dolnośląskiego 2014-2020</w:t>
      </w:r>
    </w:p>
    <w:p w14:paraId="0AD67C49" w14:textId="57D73AE8" w:rsidR="00FA3BA0" w:rsidRPr="00B82B56" w:rsidRDefault="00FA3BA0" w:rsidP="00391DF3">
      <w:pPr>
        <w:spacing w:before="240" w:after="0" w:line="240" w:lineRule="auto"/>
        <w:jc w:val="center"/>
        <w:rPr>
          <w:rFonts w:cstheme="minorHAnsi"/>
          <w:b/>
          <w:sz w:val="24"/>
          <w:szCs w:val="24"/>
        </w:rPr>
      </w:pPr>
    </w:p>
    <w:p w14:paraId="76FBAB66" w14:textId="2FEB4F15" w:rsidR="0087487C" w:rsidRPr="00B82B56" w:rsidRDefault="0087487C" w:rsidP="00391DF3">
      <w:pPr>
        <w:spacing w:before="240" w:after="0" w:line="240" w:lineRule="auto"/>
        <w:jc w:val="center"/>
        <w:rPr>
          <w:rFonts w:cstheme="minorHAnsi"/>
          <w:b/>
          <w:sz w:val="24"/>
          <w:szCs w:val="24"/>
        </w:rPr>
      </w:pPr>
    </w:p>
    <w:p w14:paraId="7145A92D" w14:textId="77777777" w:rsidR="0087487C" w:rsidRPr="00B82B56" w:rsidRDefault="0087487C" w:rsidP="00391DF3">
      <w:pPr>
        <w:spacing w:before="240" w:after="0" w:line="240" w:lineRule="auto"/>
        <w:jc w:val="center"/>
        <w:rPr>
          <w:rFonts w:cstheme="minorHAnsi"/>
          <w:b/>
          <w:sz w:val="24"/>
          <w:szCs w:val="24"/>
        </w:rPr>
      </w:pPr>
    </w:p>
    <w:p w14:paraId="4DFC2BA1" w14:textId="77777777" w:rsidR="001703AB" w:rsidRPr="00B82B56" w:rsidRDefault="001703AB" w:rsidP="00391DF3">
      <w:pPr>
        <w:spacing w:after="120" w:line="240" w:lineRule="auto"/>
        <w:jc w:val="center"/>
        <w:rPr>
          <w:rFonts w:cstheme="minorHAnsi"/>
          <w:b/>
          <w:sz w:val="32"/>
          <w:szCs w:val="32"/>
        </w:rPr>
      </w:pPr>
      <w:r w:rsidRPr="00B82B56">
        <w:rPr>
          <w:rFonts w:cstheme="minorHAnsi"/>
          <w:b/>
          <w:sz w:val="32"/>
          <w:szCs w:val="32"/>
        </w:rPr>
        <w:t xml:space="preserve">Oś priorytetowa 3 </w:t>
      </w:r>
      <w:bookmarkStart w:id="0" w:name="_Hlk50469307"/>
      <w:r w:rsidRPr="00B82B56">
        <w:rPr>
          <w:rFonts w:cs="Arial"/>
          <w:b/>
          <w:sz w:val="32"/>
          <w:szCs w:val="32"/>
        </w:rPr>
        <w:t>Gospodarka niskoemisyjna</w:t>
      </w:r>
    </w:p>
    <w:p w14:paraId="5E22A504" w14:textId="77777777" w:rsidR="001703AB" w:rsidRPr="00B82B56" w:rsidRDefault="001703AB" w:rsidP="00391DF3">
      <w:pPr>
        <w:spacing w:after="120" w:line="240" w:lineRule="auto"/>
        <w:jc w:val="center"/>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0"/>
    <w:p w14:paraId="72216903" w14:textId="7015E280" w:rsidR="001703AB" w:rsidRPr="00B82B56" w:rsidRDefault="001703AB" w:rsidP="00391DF3">
      <w:pPr>
        <w:spacing w:after="120" w:line="240" w:lineRule="auto"/>
        <w:jc w:val="center"/>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391DF3">
      <w:pPr>
        <w:pStyle w:val="Nagwek"/>
        <w:jc w:val="center"/>
        <w:rPr>
          <w:rFonts w:cstheme="minorHAnsi"/>
          <w:b/>
          <w:szCs w:val="24"/>
        </w:rPr>
      </w:pPr>
    </w:p>
    <w:p w14:paraId="5FD5BD40" w14:textId="77777777" w:rsidR="0087487C" w:rsidRPr="00B82B56" w:rsidRDefault="0087487C" w:rsidP="00391DF3">
      <w:pPr>
        <w:pStyle w:val="Nagwek"/>
        <w:jc w:val="center"/>
        <w:rPr>
          <w:rFonts w:cstheme="minorHAnsi"/>
          <w:b/>
          <w:szCs w:val="24"/>
        </w:rPr>
      </w:pPr>
    </w:p>
    <w:p w14:paraId="25CA1EF6" w14:textId="77777777" w:rsidR="0087487C" w:rsidRPr="00B82B56" w:rsidRDefault="0087487C" w:rsidP="00391DF3">
      <w:pPr>
        <w:pStyle w:val="Nagwek"/>
        <w:jc w:val="center"/>
        <w:rPr>
          <w:rFonts w:cstheme="minorHAnsi"/>
          <w:b/>
          <w:szCs w:val="24"/>
        </w:rPr>
      </w:pPr>
    </w:p>
    <w:p w14:paraId="49B725E4" w14:textId="0B3D270A" w:rsidR="00381EA1" w:rsidRPr="00B82B56" w:rsidRDefault="001703AB" w:rsidP="00391DF3">
      <w:pPr>
        <w:spacing w:after="0" w:line="240" w:lineRule="auto"/>
        <w:jc w:val="center"/>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391DF3">
      <w:pPr>
        <w:spacing w:after="0" w:line="240" w:lineRule="auto"/>
        <w:jc w:val="center"/>
        <w:rPr>
          <w:rFonts w:cs="Arial"/>
          <w:b/>
          <w:sz w:val="24"/>
          <w:szCs w:val="24"/>
        </w:rPr>
      </w:pPr>
    </w:p>
    <w:p w14:paraId="53968917" w14:textId="77777777" w:rsidR="00E41EBE" w:rsidRPr="00B82B56" w:rsidRDefault="00E41EBE" w:rsidP="00391DF3">
      <w:pPr>
        <w:spacing w:after="0" w:line="240" w:lineRule="auto"/>
        <w:jc w:val="center"/>
        <w:rPr>
          <w:rFonts w:cstheme="minorHAnsi"/>
          <w:b/>
          <w:sz w:val="24"/>
          <w:szCs w:val="24"/>
        </w:rPr>
      </w:pPr>
    </w:p>
    <w:p w14:paraId="12358900" w14:textId="49EEBAD5" w:rsidR="00381EA1" w:rsidRPr="00B82B56" w:rsidRDefault="001703AB" w:rsidP="00391DF3">
      <w:pPr>
        <w:spacing w:after="0" w:line="240" w:lineRule="auto"/>
        <w:jc w:val="center"/>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391DF3">
      <w:pPr>
        <w:spacing w:after="0" w:line="240" w:lineRule="auto"/>
        <w:jc w:val="center"/>
        <w:rPr>
          <w:rFonts w:cstheme="minorHAnsi"/>
          <w:sz w:val="24"/>
          <w:szCs w:val="24"/>
        </w:rPr>
      </w:pPr>
    </w:p>
    <w:p w14:paraId="75815E7C" w14:textId="77777777" w:rsidR="0087487C" w:rsidRPr="00B82B56" w:rsidRDefault="0087487C" w:rsidP="00391DF3">
      <w:pPr>
        <w:spacing w:after="0" w:line="240" w:lineRule="auto"/>
        <w:jc w:val="center"/>
        <w:rPr>
          <w:rFonts w:cstheme="minorHAnsi"/>
          <w:sz w:val="24"/>
          <w:szCs w:val="24"/>
        </w:rPr>
      </w:pPr>
    </w:p>
    <w:p w14:paraId="0435ABD4" w14:textId="77777777" w:rsidR="007665BF" w:rsidRPr="00B82B56" w:rsidRDefault="007665BF" w:rsidP="00391DF3">
      <w:pPr>
        <w:spacing w:after="0" w:line="240" w:lineRule="auto"/>
        <w:jc w:val="center"/>
        <w:rPr>
          <w:rFonts w:cstheme="minorHAnsi"/>
          <w:sz w:val="24"/>
          <w:szCs w:val="24"/>
        </w:rPr>
      </w:pPr>
    </w:p>
    <w:p w14:paraId="1879376E" w14:textId="77777777" w:rsidR="007665BF" w:rsidRPr="00B82B56" w:rsidRDefault="007665BF" w:rsidP="00391DF3">
      <w:pPr>
        <w:spacing w:after="0" w:line="240" w:lineRule="auto"/>
        <w:jc w:val="center"/>
        <w:rPr>
          <w:rFonts w:cstheme="minorHAnsi"/>
          <w:sz w:val="24"/>
          <w:szCs w:val="24"/>
        </w:rPr>
      </w:pPr>
    </w:p>
    <w:p w14:paraId="06B56528" w14:textId="77777777" w:rsidR="007665BF" w:rsidRPr="00B82B56" w:rsidRDefault="007665BF" w:rsidP="00391DF3">
      <w:pPr>
        <w:spacing w:after="0" w:line="240" w:lineRule="auto"/>
        <w:jc w:val="center"/>
        <w:rPr>
          <w:rFonts w:cstheme="minorHAnsi"/>
          <w:sz w:val="24"/>
          <w:szCs w:val="24"/>
        </w:rPr>
      </w:pPr>
    </w:p>
    <w:p w14:paraId="43F601BE" w14:textId="77777777" w:rsidR="007665BF" w:rsidRPr="00B82B56" w:rsidRDefault="007665BF" w:rsidP="00391DF3">
      <w:pPr>
        <w:spacing w:after="0" w:line="240" w:lineRule="auto"/>
        <w:jc w:val="center"/>
        <w:rPr>
          <w:rFonts w:cstheme="minorHAnsi"/>
          <w:sz w:val="24"/>
          <w:szCs w:val="24"/>
        </w:rPr>
      </w:pPr>
    </w:p>
    <w:p w14:paraId="53521933" w14:textId="77777777" w:rsidR="007665BF" w:rsidRPr="00B82B56" w:rsidRDefault="007665BF" w:rsidP="00391DF3">
      <w:pPr>
        <w:spacing w:after="0" w:line="240" w:lineRule="auto"/>
        <w:jc w:val="center"/>
        <w:rPr>
          <w:rFonts w:cstheme="minorHAnsi"/>
          <w:sz w:val="24"/>
          <w:szCs w:val="24"/>
        </w:rPr>
      </w:pPr>
    </w:p>
    <w:p w14:paraId="2DD7700B" w14:textId="77777777" w:rsidR="007665BF" w:rsidRPr="00B82B56" w:rsidRDefault="007665BF" w:rsidP="00391DF3">
      <w:pPr>
        <w:spacing w:after="0" w:line="240" w:lineRule="auto"/>
        <w:jc w:val="center"/>
        <w:rPr>
          <w:rFonts w:cstheme="minorHAnsi"/>
          <w:sz w:val="24"/>
          <w:szCs w:val="24"/>
        </w:rPr>
      </w:pPr>
    </w:p>
    <w:p w14:paraId="2ECF1CB2" w14:textId="77777777" w:rsidR="007665BF" w:rsidRPr="00B82B56" w:rsidRDefault="007665BF" w:rsidP="00391DF3">
      <w:pPr>
        <w:spacing w:after="0" w:line="240" w:lineRule="auto"/>
        <w:jc w:val="center"/>
        <w:rPr>
          <w:rFonts w:cstheme="minorHAnsi"/>
          <w:sz w:val="24"/>
          <w:szCs w:val="24"/>
        </w:rPr>
      </w:pPr>
    </w:p>
    <w:p w14:paraId="2AD5916E" w14:textId="1630740A" w:rsidR="001703AB" w:rsidRPr="00B82B56" w:rsidRDefault="00594CA5" w:rsidP="00391DF3">
      <w:pPr>
        <w:spacing w:after="0" w:line="240" w:lineRule="auto"/>
        <w:jc w:val="center"/>
        <w:rPr>
          <w:rFonts w:cstheme="minorHAnsi"/>
          <w:sz w:val="24"/>
          <w:szCs w:val="24"/>
        </w:rPr>
      </w:pPr>
      <w:r w:rsidRPr="00B82B56">
        <w:rPr>
          <w:rFonts w:cstheme="minorHAnsi"/>
          <w:sz w:val="24"/>
          <w:szCs w:val="24"/>
        </w:rPr>
        <w:t xml:space="preserve">Wrocław, </w:t>
      </w:r>
      <w:r w:rsidR="00E204DA">
        <w:rPr>
          <w:rFonts w:cstheme="minorHAnsi"/>
          <w:sz w:val="24"/>
          <w:szCs w:val="24"/>
        </w:rPr>
        <w:t xml:space="preserve">listopad </w:t>
      </w:r>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391DF3">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391DF3">
      <w:pPr>
        <w:spacing w:after="0" w:line="240" w:lineRule="auto"/>
        <w:jc w:val="center"/>
        <w:rPr>
          <w:rFonts w:cstheme="minorHAnsi"/>
          <w:sz w:val="24"/>
          <w:szCs w:val="24"/>
        </w:rPr>
      </w:pPr>
    </w:p>
    <w:p w14:paraId="414A3981" w14:textId="77777777" w:rsidR="009938A4" w:rsidRPr="00B82B56" w:rsidRDefault="001F3778" w:rsidP="00391DF3">
      <w:pPr>
        <w:pStyle w:val="Nagwek1"/>
        <w:spacing w:before="0" w:after="0"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391DF3">
      <w:pPr>
        <w:spacing w:after="120" w:line="240" w:lineRule="auto"/>
        <w:jc w:val="both"/>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391DF3">
      <w:pPr>
        <w:spacing w:after="120" w:line="240" w:lineRule="auto"/>
        <w:jc w:val="both"/>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391DF3">
      <w:pPr>
        <w:tabs>
          <w:tab w:val="left" w:pos="2835"/>
        </w:tabs>
        <w:spacing w:line="240" w:lineRule="auto"/>
        <w:jc w:val="both"/>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391DF3">
      <w:pPr>
        <w:tabs>
          <w:tab w:val="left" w:pos="2835"/>
        </w:tabs>
        <w:spacing w:line="240" w:lineRule="auto"/>
        <w:jc w:val="both"/>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391DF3">
      <w:pPr>
        <w:tabs>
          <w:tab w:val="left" w:pos="2835"/>
        </w:tabs>
        <w:spacing w:line="240" w:lineRule="auto"/>
        <w:jc w:val="both"/>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391DF3">
      <w:pPr>
        <w:tabs>
          <w:tab w:val="left" w:pos="2835"/>
        </w:tabs>
        <w:spacing w:line="240" w:lineRule="auto"/>
        <w:jc w:val="both"/>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391DF3">
      <w:pPr>
        <w:tabs>
          <w:tab w:val="left" w:pos="2835"/>
        </w:tabs>
        <w:spacing w:line="240" w:lineRule="auto"/>
        <w:jc w:val="both"/>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391DF3">
      <w:pPr>
        <w:tabs>
          <w:tab w:val="left" w:pos="2835"/>
        </w:tabs>
        <w:spacing w:line="240" w:lineRule="auto"/>
        <w:jc w:val="both"/>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391DF3">
      <w:pPr>
        <w:tabs>
          <w:tab w:val="left" w:pos="2835"/>
        </w:tabs>
        <w:spacing w:line="240" w:lineRule="auto"/>
        <w:jc w:val="both"/>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391DF3">
      <w:pPr>
        <w:spacing w:after="0" w:line="240" w:lineRule="auto"/>
        <w:jc w:val="both"/>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391DF3">
      <w:pPr>
        <w:spacing w:after="0" w:line="240" w:lineRule="auto"/>
        <w:jc w:val="both"/>
        <w:rPr>
          <w:rFonts w:cstheme="minorHAnsi"/>
          <w:sz w:val="24"/>
          <w:szCs w:val="24"/>
        </w:rPr>
      </w:pPr>
    </w:p>
    <w:p w14:paraId="513D73B5" w14:textId="278FC715" w:rsidR="00381EA1" w:rsidRPr="00B82B56" w:rsidRDefault="00381EA1" w:rsidP="00391DF3">
      <w:pPr>
        <w:spacing w:after="0" w:line="240" w:lineRule="auto"/>
        <w:jc w:val="both"/>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391DF3">
      <w:pPr>
        <w:tabs>
          <w:tab w:val="left" w:pos="2835"/>
        </w:tabs>
        <w:spacing w:line="240" w:lineRule="auto"/>
        <w:jc w:val="both"/>
        <w:rPr>
          <w:rFonts w:cstheme="minorHAnsi"/>
          <w:b/>
          <w:bCs/>
          <w:sz w:val="24"/>
          <w:szCs w:val="24"/>
        </w:rPr>
      </w:pPr>
    </w:p>
    <w:p w14:paraId="0E8439B5" w14:textId="57239127" w:rsidR="009938A4" w:rsidRPr="00B82B56" w:rsidRDefault="001F3778" w:rsidP="00391DF3">
      <w:pPr>
        <w:tabs>
          <w:tab w:val="left" w:pos="2835"/>
        </w:tabs>
        <w:spacing w:line="240" w:lineRule="auto"/>
        <w:jc w:val="both"/>
        <w:rPr>
          <w:rFonts w:cstheme="minorHAnsi"/>
          <w:b/>
          <w:bCs/>
          <w:sz w:val="24"/>
          <w:szCs w:val="24"/>
        </w:rPr>
      </w:pPr>
      <w:r w:rsidRPr="00B82B56">
        <w:rPr>
          <w:rFonts w:cstheme="minorHAnsi"/>
          <w:b/>
          <w:bCs/>
          <w:sz w:val="24"/>
          <w:szCs w:val="24"/>
        </w:rPr>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lastRenderedPageBreak/>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391DF3">
      <w:pPr>
        <w:autoSpaceDE w:val="0"/>
        <w:autoSpaceDN w:val="0"/>
        <w:adjustRightInd w:val="0"/>
        <w:spacing w:line="240" w:lineRule="auto"/>
        <w:jc w:val="both"/>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p>
    <w:p w14:paraId="6CAFC9A7"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szkolnej (np. w 90% powierzchni budynku jest prowadzona  działalność szkolna a 10% jest wynajmowana na biura – kwalifikowalne będą wydatki stanowiące 90% kosztów dot. całkowitej powierzchni </w:t>
      </w:r>
      <w:r w:rsidRPr="005E5332">
        <w:rPr>
          <w:rFonts w:cstheme="minorHAnsi"/>
          <w:sz w:val="24"/>
          <w:szCs w:val="24"/>
        </w:rPr>
        <w:lastRenderedPageBreak/>
        <w:t>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5E5332">
      <w:pPr>
        <w:autoSpaceDE w:val="0"/>
        <w:autoSpaceDN w:val="0"/>
        <w:adjustRightInd w:val="0"/>
        <w:spacing w:line="240" w:lineRule="auto"/>
        <w:jc w:val="both"/>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391DF3">
      <w:pPr>
        <w:autoSpaceDE w:val="0"/>
        <w:autoSpaceDN w:val="0"/>
        <w:adjustRightInd w:val="0"/>
        <w:spacing w:line="240" w:lineRule="auto"/>
        <w:jc w:val="both"/>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energetycznie, likwidacja liniowych i punktowych mostków cieplnych, uzupełniająco do powyższych prac </w:t>
      </w:r>
      <w:r w:rsidRPr="00B82B56">
        <w:rPr>
          <w:rFonts w:asciiTheme="minorHAnsi" w:hAnsiTheme="minorHAnsi" w:cstheme="minorHAnsi"/>
          <w:sz w:val="24"/>
          <w:szCs w:val="24"/>
        </w:rPr>
        <w:lastRenderedPageBreak/>
        <w:t>- montaż urządzeń zacieniających okna (np. rolety, żaluzje) – tzw. komponent termomodernizacyjny;</w:t>
      </w:r>
    </w:p>
    <w:p w14:paraId="4CCAE4A7"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B82B56" w:rsidRDefault="001703AB" w:rsidP="00374DCB">
      <w:pPr>
        <w:pStyle w:val="Akapitzlist"/>
        <w:numPr>
          <w:ilvl w:val="0"/>
          <w:numId w:val="20"/>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lastRenderedPageBreak/>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391DF3">
      <w:pPr>
        <w:autoSpaceDE w:val="0"/>
        <w:autoSpaceDN w:val="0"/>
        <w:adjustRightInd w:val="0"/>
        <w:spacing w:line="240" w:lineRule="auto"/>
        <w:jc w:val="both"/>
        <w:rPr>
          <w:rFonts w:cstheme="minorHAnsi"/>
          <w:sz w:val="24"/>
          <w:szCs w:val="24"/>
        </w:rPr>
      </w:pPr>
    </w:p>
    <w:p w14:paraId="2E19310D" w14:textId="5401EFA5"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t>
      </w:r>
      <w:r w:rsidRPr="00B82B56">
        <w:rPr>
          <w:rFonts w:cstheme="minorHAnsi"/>
          <w:sz w:val="24"/>
          <w:szCs w:val="24"/>
        </w:rPr>
        <w:lastRenderedPageBreak/>
        <w:t>wyjątkiem audytów sporządzonych (zaktualizowanych) wcześniej niż na dwa lata przed rokiem ogłoszenia konkursu.</w:t>
      </w:r>
    </w:p>
    <w:p w14:paraId="61F771B7" w14:textId="0E2FE72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391DF3">
      <w:pPr>
        <w:autoSpaceDE w:val="0"/>
        <w:autoSpaceDN w:val="0"/>
        <w:adjustRightInd w:val="0"/>
        <w:spacing w:line="240" w:lineRule="auto"/>
        <w:jc w:val="both"/>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9C33B0">
      <w:pPr>
        <w:autoSpaceDE w:val="0"/>
        <w:autoSpaceDN w:val="0"/>
        <w:adjustRightInd w:val="0"/>
        <w:spacing w:after="0" w:line="240" w:lineRule="auto"/>
        <w:jc w:val="both"/>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9C33B0">
      <w:pPr>
        <w:pStyle w:val="Akapitzlist"/>
        <w:numPr>
          <w:ilvl w:val="0"/>
          <w:numId w:val="21"/>
        </w:numPr>
        <w:autoSpaceDE w:val="0"/>
        <w:autoSpaceDN w:val="0"/>
        <w:adjustRightInd w:val="0"/>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9C33B0">
      <w:pPr>
        <w:pStyle w:val="Akapitzlist"/>
        <w:numPr>
          <w:ilvl w:val="0"/>
          <w:numId w:val="21"/>
        </w:numPr>
        <w:autoSpaceDE w:val="0"/>
        <w:autoSpaceDN w:val="0"/>
        <w:adjustRightInd w:val="0"/>
        <w:spacing w:before="0" w:line="240" w:lineRule="auto"/>
        <w:jc w:val="both"/>
        <w:rPr>
          <w:rFonts w:asciiTheme="minorHAnsi" w:hAnsiTheme="minorHAnsi" w:cstheme="minorHAnsi"/>
          <w:sz w:val="24"/>
          <w:szCs w:val="24"/>
        </w:rPr>
      </w:pPr>
      <w:r w:rsidRPr="00B82B5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391DF3">
      <w:pPr>
        <w:autoSpaceDE w:val="0"/>
        <w:autoSpaceDN w:val="0"/>
        <w:adjustRightInd w:val="0"/>
        <w:spacing w:line="240" w:lineRule="auto"/>
        <w:jc w:val="both"/>
        <w:rPr>
          <w:rFonts w:cstheme="minorHAnsi"/>
          <w:b/>
          <w:bCs/>
          <w:sz w:val="24"/>
          <w:szCs w:val="24"/>
        </w:rPr>
      </w:pPr>
    </w:p>
    <w:p w14:paraId="133B3204" w14:textId="77777777" w:rsidR="001703AB" w:rsidRPr="00B82B56" w:rsidRDefault="001703AB" w:rsidP="00391DF3">
      <w:pPr>
        <w:autoSpaceDE w:val="0"/>
        <w:autoSpaceDN w:val="0"/>
        <w:adjustRightInd w:val="0"/>
        <w:spacing w:line="240" w:lineRule="auto"/>
        <w:jc w:val="both"/>
        <w:rPr>
          <w:rFonts w:cstheme="minorHAnsi"/>
          <w:b/>
          <w:bCs/>
          <w:sz w:val="24"/>
          <w:szCs w:val="24"/>
        </w:rPr>
      </w:pPr>
      <w:r w:rsidRPr="00B82B56">
        <w:rPr>
          <w:rFonts w:cstheme="minorHAnsi"/>
          <w:b/>
          <w:bCs/>
          <w:sz w:val="24"/>
          <w:szCs w:val="24"/>
        </w:rPr>
        <w:lastRenderedPageBreak/>
        <w:t xml:space="preserve">Kategoria interwencji (zakres interwencji) dla niniejszego typu projektu: </w:t>
      </w:r>
    </w:p>
    <w:p w14:paraId="60FA7C06" w14:textId="77777777" w:rsidR="001703AB" w:rsidRPr="00B82B56" w:rsidRDefault="001703AB" w:rsidP="00391DF3">
      <w:pPr>
        <w:autoSpaceDE w:val="0"/>
        <w:autoSpaceDN w:val="0"/>
        <w:adjustRightInd w:val="0"/>
        <w:spacing w:line="240" w:lineRule="auto"/>
        <w:jc w:val="both"/>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w:t>
      </w:r>
      <w:r w:rsidRPr="00B82B56">
        <w:rPr>
          <w:rFonts w:cstheme="minorHAnsi"/>
          <w:sz w:val="24"/>
          <w:szCs w:val="24"/>
        </w:rPr>
        <w:lastRenderedPageBreak/>
        <w:t>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391DF3">
      <w:pPr>
        <w:autoSpaceDE w:val="0"/>
        <w:autoSpaceDN w:val="0"/>
        <w:adjustRightInd w:val="0"/>
        <w:spacing w:line="240" w:lineRule="auto"/>
        <w:jc w:val="both"/>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391DF3">
      <w:pPr>
        <w:autoSpaceDE w:val="0"/>
        <w:autoSpaceDN w:val="0"/>
        <w:adjustRightInd w:val="0"/>
        <w:spacing w:line="240" w:lineRule="auto"/>
        <w:jc w:val="both"/>
        <w:rPr>
          <w:rFonts w:ascii="Calibri" w:hAnsi="Calibri" w:cstheme="minorHAnsi"/>
          <w:b/>
          <w:bCs/>
          <w:sz w:val="24"/>
          <w:szCs w:val="24"/>
        </w:rPr>
      </w:pPr>
    </w:p>
    <w:p w14:paraId="0006CF20" w14:textId="77777777" w:rsidR="009938A4" w:rsidRPr="00B82B56" w:rsidRDefault="001F3778" w:rsidP="00391DF3">
      <w:pPr>
        <w:autoSpaceDE w:val="0"/>
        <w:autoSpaceDN w:val="0"/>
        <w:adjustRightInd w:val="0"/>
        <w:spacing w:line="240" w:lineRule="auto"/>
        <w:jc w:val="both"/>
        <w:rPr>
          <w:rFonts w:cstheme="minorHAnsi"/>
          <w:b/>
          <w:sz w:val="24"/>
          <w:szCs w:val="24"/>
        </w:rPr>
      </w:pPr>
      <w:r w:rsidRPr="00B82B56">
        <w:rPr>
          <w:rFonts w:cstheme="minorHAnsi"/>
          <w:b/>
          <w:bCs/>
          <w:sz w:val="24"/>
          <w:szCs w:val="24"/>
        </w:rPr>
        <w:t xml:space="preserve">IV. </w:t>
      </w:r>
      <w:bookmarkStart w:id="1" w:name="_Toc18957531"/>
      <w:r w:rsidR="001D710F" w:rsidRPr="00B82B56">
        <w:rPr>
          <w:rFonts w:cstheme="minorHAnsi"/>
          <w:b/>
          <w:sz w:val="24"/>
          <w:szCs w:val="24"/>
        </w:rPr>
        <w:t>Typy Wnioskodawców/Beneficjentów oraz Partnerów</w:t>
      </w:r>
      <w:bookmarkEnd w:id="1"/>
      <w:r w:rsidR="009938A4" w:rsidRPr="00B82B56">
        <w:rPr>
          <w:rFonts w:cstheme="minorHAnsi"/>
          <w:b/>
          <w:bCs/>
          <w:sz w:val="24"/>
          <w:szCs w:val="24"/>
        </w:rPr>
        <w:t xml:space="preserve">: </w:t>
      </w:r>
    </w:p>
    <w:p w14:paraId="098917F0" w14:textId="77777777" w:rsidR="001431DC" w:rsidRPr="00B82B56" w:rsidRDefault="001431DC" w:rsidP="00391DF3">
      <w:pPr>
        <w:pStyle w:val="Akapitzlist1"/>
        <w:autoSpaceDE w:val="0"/>
        <w:autoSpaceDN w:val="0"/>
        <w:adjustRightInd w:val="0"/>
        <w:spacing w:after="120" w:line="240" w:lineRule="auto"/>
        <w:ind w:left="0"/>
        <w:jc w:val="both"/>
        <w:rPr>
          <w:rFonts w:asciiTheme="minorHAnsi" w:hAnsiTheme="minorHAnsi" w:cstheme="minorHAnsi"/>
          <w:sz w:val="24"/>
          <w:szCs w:val="24"/>
        </w:rPr>
      </w:pPr>
      <w:bookmarkStart w:id="2"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2"/>
    </w:p>
    <w:p w14:paraId="6B67FF11" w14:textId="77777777" w:rsidR="001431DC" w:rsidRPr="00B82B56" w:rsidRDefault="001431DC" w:rsidP="00391DF3">
      <w:pPr>
        <w:pStyle w:val="Akapitzlist1"/>
        <w:autoSpaceDE w:val="0"/>
        <w:autoSpaceDN w:val="0"/>
        <w:adjustRightInd w:val="0"/>
        <w:spacing w:after="0" w:line="240" w:lineRule="auto"/>
        <w:ind w:left="0"/>
        <w:jc w:val="both"/>
        <w:rPr>
          <w:rFonts w:asciiTheme="minorHAnsi" w:hAnsiTheme="minorHAnsi" w:cstheme="minorHAnsi"/>
          <w:sz w:val="24"/>
          <w:szCs w:val="24"/>
        </w:rPr>
      </w:pPr>
    </w:p>
    <w:p w14:paraId="0FB127D0"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391DF3">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391DF3">
      <w:pPr>
        <w:pStyle w:val="Akapitzlist1"/>
        <w:numPr>
          <w:ilvl w:val="0"/>
          <w:numId w:val="14"/>
        </w:numPr>
        <w:autoSpaceDE w:val="0"/>
        <w:autoSpaceDN w:val="0"/>
        <w:adjustRightInd w:val="0"/>
        <w:spacing w:after="0" w:line="240" w:lineRule="auto"/>
        <w:jc w:val="both"/>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391DF3">
      <w:pPr>
        <w:pStyle w:val="Akapitzlist1"/>
        <w:autoSpaceDE w:val="0"/>
        <w:autoSpaceDN w:val="0"/>
        <w:adjustRightInd w:val="0"/>
        <w:spacing w:after="0" w:line="240" w:lineRule="auto"/>
        <w:ind w:left="0"/>
        <w:jc w:val="both"/>
        <w:rPr>
          <w:rFonts w:cs="Arial"/>
          <w:sz w:val="24"/>
          <w:szCs w:val="24"/>
          <w:lang w:eastAsia="pl-PL"/>
        </w:rPr>
      </w:pPr>
    </w:p>
    <w:p w14:paraId="63924670" w14:textId="6A964298" w:rsidR="001431DC" w:rsidRPr="00B82B56" w:rsidRDefault="001431DC" w:rsidP="00391DF3">
      <w:pPr>
        <w:pStyle w:val="Akapitzlist1"/>
        <w:autoSpaceDE w:val="0"/>
        <w:autoSpaceDN w:val="0"/>
        <w:adjustRightInd w:val="0"/>
        <w:spacing w:after="0" w:line="240" w:lineRule="auto"/>
        <w:ind w:left="0"/>
        <w:jc w:val="both"/>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391DF3">
      <w:pPr>
        <w:pStyle w:val="Akapitzlist1"/>
        <w:autoSpaceDE w:val="0"/>
        <w:autoSpaceDN w:val="0"/>
        <w:adjustRightInd w:val="0"/>
        <w:spacing w:after="0" w:line="240" w:lineRule="auto"/>
        <w:ind w:left="0"/>
        <w:jc w:val="both"/>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391DF3">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391DF3">
      <w:pPr>
        <w:pStyle w:val="Akapitzlist"/>
        <w:numPr>
          <w:ilvl w:val="0"/>
          <w:numId w:val="13"/>
        </w:numPr>
        <w:suppressAutoHyphens/>
        <w:autoSpaceDE w:val="0"/>
        <w:autoSpaceDN w:val="0"/>
        <w:adjustRightInd w:val="0"/>
        <w:spacing w:before="0" w:line="240" w:lineRule="auto"/>
        <w:ind w:left="284" w:hanging="284"/>
        <w:contextualSpacing/>
        <w:jc w:val="both"/>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391DF3">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391DF3">
      <w:pPr>
        <w:spacing w:after="0" w:line="240" w:lineRule="auto"/>
        <w:jc w:val="both"/>
        <w:rPr>
          <w:rFonts w:cstheme="minorHAnsi"/>
          <w:sz w:val="24"/>
          <w:szCs w:val="24"/>
        </w:rPr>
      </w:pPr>
      <w:r w:rsidRPr="00B82B56">
        <w:rPr>
          <w:rFonts w:cstheme="minorHAnsi"/>
          <w:sz w:val="24"/>
          <w:szCs w:val="24"/>
        </w:rPr>
        <w:lastRenderedPageBreak/>
        <w:t xml:space="preserve">Powyższe wykluczenia dotyczą zarówno Wnioskodawców / Beneficjentów, jak również Partnerów projektu.  </w:t>
      </w:r>
    </w:p>
    <w:p w14:paraId="2F09B87E" w14:textId="77777777" w:rsidR="009938A4" w:rsidRPr="00B82B56" w:rsidRDefault="001F3778" w:rsidP="00391DF3">
      <w:pPr>
        <w:pStyle w:val="Nagwek1"/>
        <w:spacing w:line="240" w:lineRule="auto"/>
        <w:jc w:val="both"/>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3"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3"/>
      <w:r w:rsidR="009938A4" w:rsidRPr="00B82B56">
        <w:rPr>
          <w:rFonts w:asciiTheme="minorHAnsi" w:eastAsiaTheme="minorHAnsi" w:hAnsiTheme="minorHAnsi" w:cstheme="minorHAnsi"/>
          <w:kern w:val="0"/>
          <w:sz w:val="24"/>
          <w:szCs w:val="24"/>
          <w:lang w:eastAsia="en-US"/>
        </w:rPr>
        <w:t xml:space="preserve">: </w:t>
      </w:r>
    </w:p>
    <w:p w14:paraId="1DE5A544" w14:textId="181B06F9" w:rsidR="00D06571" w:rsidRPr="00B82B56" w:rsidRDefault="00D06571" w:rsidP="00391DF3">
      <w:pPr>
        <w:spacing w:after="0" w:line="240" w:lineRule="auto"/>
        <w:jc w:val="both"/>
        <w:rPr>
          <w:rFonts w:cstheme="minorHAnsi"/>
          <w:sz w:val="24"/>
          <w:szCs w:val="24"/>
        </w:rPr>
      </w:pPr>
      <w:r w:rsidRPr="00B82B56">
        <w:rPr>
          <w:rFonts w:cstheme="minorHAnsi"/>
          <w:sz w:val="24"/>
          <w:szCs w:val="24"/>
        </w:rPr>
        <w:t xml:space="preserve">Alokacja przeznaczona na konkurs </w:t>
      </w:r>
      <w:bookmarkStart w:id="4" w:name="_Hlk57721291"/>
      <w:r w:rsidR="00F25D9E" w:rsidRPr="00F25D9E">
        <w:rPr>
          <w:rFonts w:cstheme="minorHAnsi"/>
          <w:sz w:val="24"/>
          <w:szCs w:val="24"/>
        </w:rPr>
        <w:t xml:space="preserve">w ramach Działania 3.3.1 w osi 3 Gospodarka niskoemisyjna </w:t>
      </w:r>
      <w:r w:rsidRPr="00B82B56">
        <w:rPr>
          <w:rFonts w:cstheme="minorHAnsi"/>
          <w:sz w:val="24"/>
          <w:szCs w:val="24"/>
        </w:rPr>
        <w:t xml:space="preserve">wynosi </w:t>
      </w:r>
      <w:bookmarkStart w:id="5" w:name="_Hlk19775385"/>
      <w:r w:rsidR="00E204DA">
        <w:rPr>
          <w:rFonts w:cstheme="minorHAnsi"/>
          <w:b/>
          <w:sz w:val="24"/>
          <w:szCs w:val="24"/>
        </w:rPr>
        <w:t>33 255 232</w:t>
      </w:r>
      <w:r w:rsidRPr="00B82B56">
        <w:rPr>
          <w:rStyle w:val="Pogrubienie"/>
          <w:rFonts w:cstheme="minorHAnsi"/>
          <w:bCs w:val="0"/>
          <w:sz w:val="24"/>
          <w:szCs w:val="24"/>
        </w:rPr>
        <w:t xml:space="preserve"> </w:t>
      </w:r>
      <w:r w:rsidRPr="00B82B56">
        <w:rPr>
          <w:rStyle w:val="Pogrubienie"/>
          <w:rFonts w:cstheme="minorHAnsi"/>
          <w:sz w:val="24"/>
          <w:szCs w:val="24"/>
        </w:rPr>
        <w:t>EUR</w:t>
      </w:r>
      <w:bookmarkEnd w:id="5"/>
      <w:r w:rsidRPr="00B82B56">
        <w:rPr>
          <w:rStyle w:val="Pogrubienie"/>
          <w:rFonts w:cstheme="minorHAnsi"/>
          <w:b w:val="0"/>
          <w:bCs w:val="0"/>
          <w:sz w:val="24"/>
          <w:szCs w:val="24"/>
        </w:rPr>
        <w:t xml:space="preserve">, </w:t>
      </w:r>
      <w:r w:rsidRPr="00B82B56">
        <w:rPr>
          <w:rFonts w:cstheme="minorHAnsi"/>
          <w:b/>
          <w:bCs/>
          <w:sz w:val="24"/>
          <w:szCs w:val="24"/>
        </w:rPr>
        <w:t xml:space="preserve">tj. </w:t>
      </w:r>
      <w:r w:rsidR="00E204DA">
        <w:rPr>
          <w:rFonts w:cstheme="minorHAnsi"/>
          <w:b/>
          <w:bCs/>
          <w:sz w:val="24"/>
          <w:szCs w:val="24"/>
        </w:rPr>
        <w:t xml:space="preserve">153 612 567 </w:t>
      </w:r>
      <w:r w:rsidRPr="00B82B56">
        <w:rPr>
          <w:rFonts w:cstheme="minorHAnsi"/>
          <w:b/>
          <w:bCs/>
          <w:sz w:val="24"/>
          <w:szCs w:val="24"/>
        </w:rPr>
        <w:t xml:space="preserve">PLN </w:t>
      </w:r>
      <w:r w:rsidRPr="00B82B56">
        <w:rPr>
          <w:rFonts w:cstheme="minorHAnsi"/>
          <w:sz w:val="24"/>
          <w:szCs w:val="24"/>
        </w:rPr>
        <w:t xml:space="preserve">(zgodnie z obowiązującym </w:t>
      </w:r>
      <w:r w:rsidR="00E204DA">
        <w:rPr>
          <w:rFonts w:cstheme="minorHAnsi"/>
          <w:sz w:val="24"/>
          <w:szCs w:val="24"/>
        </w:rPr>
        <w:t xml:space="preserve">w listopadzie </w:t>
      </w:r>
      <w:r w:rsidR="00E8161C">
        <w:rPr>
          <w:rFonts w:cstheme="minorHAnsi"/>
          <w:sz w:val="24"/>
          <w:szCs w:val="24"/>
        </w:rPr>
        <w:t xml:space="preserve">2021 </w:t>
      </w:r>
      <w:r w:rsidRPr="00B82B56">
        <w:rPr>
          <w:rFonts w:cstheme="minorHAnsi"/>
          <w:sz w:val="24"/>
          <w:szCs w:val="24"/>
        </w:rPr>
        <w:t xml:space="preserve">r. kursem, tj. </w:t>
      </w:r>
      <w:bookmarkStart w:id="6" w:name="_Hlk57712076"/>
      <w:r w:rsidRPr="00B82B56">
        <w:rPr>
          <w:rFonts w:cstheme="minorHAnsi"/>
          <w:b/>
          <w:bCs/>
          <w:sz w:val="24"/>
          <w:szCs w:val="24"/>
        </w:rPr>
        <w:t xml:space="preserve">1 EUR = </w:t>
      </w:r>
      <w:r w:rsidR="00E204DA">
        <w:rPr>
          <w:rFonts w:cstheme="minorHAnsi"/>
          <w:b/>
          <w:bCs/>
          <w:sz w:val="24"/>
          <w:szCs w:val="24"/>
        </w:rPr>
        <w:t xml:space="preserve">4, 6192 </w:t>
      </w:r>
      <w:r w:rsidRPr="00B82B56">
        <w:rPr>
          <w:rFonts w:cstheme="minorHAnsi"/>
          <w:b/>
          <w:bCs/>
          <w:sz w:val="24"/>
          <w:szCs w:val="24"/>
        </w:rPr>
        <w:t>PLN</w:t>
      </w:r>
      <w:bookmarkEnd w:id="6"/>
      <w:r w:rsidRPr="00B82B56">
        <w:rPr>
          <w:rFonts w:cstheme="minorHAnsi"/>
          <w:sz w:val="24"/>
          <w:szCs w:val="24"/>
        </w:rPr>
        <w:t>), z tym że:</w:t>
      </w:r>
    </w:p>
    <w:p w14:paraId="0E01D808" w14:textId="35E28775" w:rsidR="00D06571" w:rsidRPr="00B82B56" w:rsidRDefault="00D06571" w:rsidP="00391DF3">
      <w:pPr>
        <w:pStyle w:val="Akapitzlist"/>
        <w:numPr>
          <w:ilvl w:val="0"/>
          <w:numId w:val="15"/>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00E8161C">
        <w:rPr>
          <w:rFonts w:asciiTheme="minorHAnsi" w:hAnsiTheme="minorHAnsi" w:cstheme="minorHAnsi"/>
          <w:b/>
          <w:bCs/>
          <w:sz w:val="24"/>
          <w:szCs w:val="24"/>
        </w:rPr>
        <w:t>24 081 615</w:t>
      </w:r>
      <w:r w:rsidRPr="00B82B56">
        <w:rPr>
          <w:rFonts w:asciiTheme="minorHAnsi" w:hAnsiTheme="minorHAnsi" w:cstheme="minorHAnsi"/>
          <w:b/>
          <w:bCs/>
          <w:sz w:val="24"/>
          <w:szCs w:val="24"/>
        </w:rPr>
        <w:t xml:space="preserve">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r w:rsidR="00B047EB">
        <w:rPr>
          <w:rFonts w:asciiTheme="minorHAnsi" w:hAnsiTheme="minorHAnsi" w:cstheme="minorHAnsi"/>
          <w:b/>
          <w:bCs/>
          <w:sz w:val="24"/>
          <w:szCs w:val="24"/>
        </w:rPr>
        <w:t xml:space="preserve">111 237 796 </w:t>
      </w:r>
      <w:r w:rsidRPr="00B82B56">
        <w:rPr>
          <w:rFonts w:asciiTheme="minorHAnsi" w:hAnsiTheme="minorHAnsi" w:cstheme="minorHAnsi"/>
          <w:b/>
          <w:bCs/>
          <w:sz w:val="24"/>
          <w:szCs w:val="24"/>
        </w:rPr>
        <w:t xml:space="preserve">PLN, </w:t>
      </w:r>
      <w:r w:rsidRPr="00B82B56">
        <w:rPr>
          <w:rFonts w:asciiTheme="minorHAnsi" w:hAnsiTheme="minorHAnsi" w:cstheme="minorHAnsi"/>
          <w:sz w:val="24"/>
          <w:szCs w:val="24"/>
        </w:rPr>
        <w:t xml:space="preserve">w tym zabezpiecza się na procedurę odwoławczą </w:t>
      </w:r>
      <w:r w:rsidR="00B047EB">
        <w:rPr>
          <w:rFonts w:asciiTheme="minorHAnsi" w:hAnsiTheme="minorHAnsi" w:cstheme="minorHAnsi"/>
          <w:sz w:val="24"/>
          <w:szCs w:val="24"/>
        </w:rPr>
        <w:t xml:space="preserve">7 000 000 </w:t>
      </w:r>
      <w:r w:rsidR="00E8161C">
        <w:rPr>
          <w:rFonts w:asciiTheme="minorHAnsi" w:hAnsiTheme="minorHAnsi" w:cstheme="minorHAnsi"/>
          <w:sz w:val="24"/>
          <w:szCs w:val="24"/>
        </w:rPr>
        <w:t>PLN</w:t>
      </w:r>
      <w:r w:rsidRPr="00B82B56">
        <w:rPr>
          <w:rFonts w:asciiTheme="minorHAnsi" w:hAnsiTheme="minorHAnsi" w:cstheme="minorHAnsi"/>
          <w:sz w:val="24"/>
          <w:szCs w:val="24"/>
        </w:rPr>
        <w:t>.</w:t>
      </w:r>
    </w:p>
    <w:p w14:paraId="77C95277" w14:textId="5FE73AD9" w:rsidR="00D06571" w:rsidRPr="00B82B56" w:rsidRDefault="00D06571" w:rsidP="00391DF3">
      <w:pPr>
        <w:pStyle w:val="Akapitzlist"/>
        <w:numPr>
          <w:ilvl w:val="0"/>
          <w:numId w:val="15"/>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t>alokacja przeznaczona na rundę II wynosi</w:t>
      </w:r>
      <w:r w:rsidR="00B047EB">
        <w:rPr>
          <w:rFonts w:asciiTheme="minorHAnsi" w:hAnsiTheme="minorHAnsi" w:cstheme="minorHAnsi"/>
          <w:b/>
          <w:bCs/>
          <w:sz w:val="24"/>
          <w:szCs w:val="24"/>
        </w:rPr>
        <w:t xml:space="preserve"> 9 173 617</w:t>
      </w:r>
      <w:r w:rsidRPr="00B82B56">
        <w:rPr>
          <w:rFonts w:asciiTheme="minorHAnsi" w:hAnsiTheme="minorHAnsi" w:cstheme="minorHAnsi"/>
          <w:b/>
          <w:bCs/>
          <w:sz w:val="24"/>
          <w:szCs w:val="24"/>
        </w:rPr>
        <w:t xml:space="preserve">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w:t>
      </w:r>
      <w:r w:rsidR="00B047EB">
        <w:rPr>
          <w:rFonts w:asciiTheme="minorHAnsi" w:hAnsiTheme="minorHAnsi" w:cstheme="minorHAnsi"/>
          <w:b/>
          <w:bCs/>
          <w:sz w:val="24"/>
          <w:szCs w:val="24"/>
        </w:rPr>
        <w:t xml:space="preserve">42 374 771 </w:t>
      </w:r>
      <w:r w:rsidRPr="00B82B56">
        <w:rPr>
          <w:rFonts w:asciiTheme="minorHAnsi" w:hAnsiTheme="minorHAnsi" w:cstheme="minorHAnsi"/>
          <w:b/>
          <w:bCs/>
          <w:sz w:val="24"/>
          <w:szCs w:val="24"/>
        </w:rPr>
        <w:t xml:space="preserve">PLN, </w:t>
      </w:r>
      <w:r w:rsidRPr="00B82B56">
        <w:rPr>
          <w:rFonts w:asciiTheme="minorHAnsi" w:hAnsiTheme="minorHAnsi" w:cstheme="minorHAnsi"/>
          <w:sz w:val="24"/>
          <w:szCs w:val="24"/>
        </w:rPr>
        <w:t>w tym zabezpiecza się na procedurę odwoławczą</w:t>
      </w:r>
      <w:r w:rsidR="00954A8E">
        <w:rPr>
          <w:rFonts w:asciiTheme="minorHAnsi" w:hAnsiTheme="minorHAnsi" w:cstheme="minorHAnsi"/>
          <w:sz w:val="24"/>
          <w:szCs w:val="24"/>
        </w:rPr>
        <w:t xml:space="preserve"> </w:t>
      </w:r>
      <w:r w:rsidR="00B047EB">
        <w:rPr>
          <w:rFonts w:asciiTheme="minorHAnsi" w:hAnsiTheme="minorHAnsi" w:cstheme="minorHAnsi"/>
          <w:sz w:val="24"/>
          <w:szCs w:val="24"/>
        </w:rPr>
        <w:t>6</w:t>
      </w:r>
      <w:r w:rsidR="00E8161C">
        <w:rPr>
          <w:rFonts w:asciiTheme="minorHAnsi" w:hAnsiTheme="minorHAnsi" w:cstheme="minorHAnsi"/>
          <w:sz w:val="24"/>
          <w:szCs w:val="24"/>
        </w:rPr>
        <w:t> 425</w:t>
      </w:r>
      <w:r w:rsidR="00E04B99">
        <w:rPr>
          <w:rFonts w:asciiTheme="minorHAnsi" w:hAnsiTheme="minorHAnsi" w:cstheme="minorHAnsi"/>
          <w:sz w:val="24"/>
          <w:szCs w:val="24"/>
        </w:rPr>
        <w:t> </w:t>
      </w:r>
      <w:r w:rsidR="00E8161C">
        <w:rPr>
          <w:rFonts w:asciiTheme="minorHAnsi" w:hAnsiTheme="minorHAnsi" w:cstheme="minorHAnsi"/>
          <w:sz w:val="24"/>
          <w:szCs w:val="24"/>
        </w:rPr>
        <w:t>850</w:t>
      </w:r>
      <w:r w:rsidR="00E04B99">
        <w:rPr>
          <w:rFonts w:asciiTheme="minorHAnsi" w:hAnsiTheme="minorHAnsi" w:cstheme="minorHAnsi"/>
          <w:sz w:val="24"/>
          <w:szCs w:val="24"/>
        </w:rPr>
        <w:t xml:space="preserve"> PLN</w:t>
      </w:r>
      <w:r w:rsidRPr="00B82B56">
        <w:rPr>
          <w:rFonts w:asciiTheme="minorHAnsi" w:hAnsiTheme="minorHAnsi" w:cstheme="minorHAnsi"/>
          <w:sz w:val="24"/>
          <w:szCs w:val="24"/>
        </w:rPr>
        <w:t>.</w:t>
      </w:r>
    </w:p>
    <w:bookmarkEnd w:id="4"/>
    <w:p w14:paraId="016D9BD7" w14:textId="77777777" w:rsidR="00D06571" w:rsidRPr="00B82B56" w:rsidRDefault="00D06571" w:rsidP="00391DF3">
      <w:pPr>
        <w:spacing w:after="0" w:line="240" w:lineRule="auto"/>
        <w:jc w:val="both"/>
        <w:rPr>
          <w:rFonts w:cstheme="minorHAnsi"/>
          <w:sz w:val="24"/>
          <w:szCs w:val="24"/>
          <w:highlight w:val="yellow"/>
        </w:rPr>
      </w:pPr>
    </w:p>
    <w:p w14:paraId="65003D47" w14:textId="77777777" w:rsidR="00D06571" w:rsidRPr="00B82B56" w:rsidRDefault="00D06571" w:rsidP="00391DF3">
      <w:pPr>
        <w:spacing w:after="0" w:line="240" w:lineRule="auto"/>
        <w:jc w:val="both"/>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37279572" w:rsidR="00D06571" w:rsidRPr="00B82B56" w:rsidRDefault="00D06571" w:rsidP="00391DF3">
      <w:pPr>
        <w:pStyle w:val="Default"/>
        <w:jc w:val="both"/>
        <w:rPr>
          <w:rFonts w:asciiTheme="minorHAnsi" w:hAnsiTheme="minorHAnsi" w:cstheme="minorHAnsi"/>
          <w:color w:val="auto"/>
        </w:rPr>
      </w:pPr>
      <w:r w:rsidRPr="00B82B56">
        <w:rPr>
          <w:rFonts w:asciiTheme="minorHAnsi" w:hAnsiTheme="minorHAnsi" w:cstheme="minorHAnsi"/>
          <w:color w:val="auto"/>
        </w:rPr>
        <w:t xml:space="preserve">W sytuacji, gdy w konkursie / rundzie nie ma negatywnie ocenionych projektów na żadnym etapie oceny oraz dostępna alokacja </w:t>
      </w:r>
      <w:r w:rsidR="004A3E40" w:rsidRPr="009F2356">
        <w:rPr>
          <w:rFonts w:asciiTheme="minorHAnsi" w:hAnsiTheme="minorHAnsi" w:cstheme="minorHAnsi"/>
        </w:rPr>
        <w:t>w ramach</w:t>
      </w:r>
      <w:r w:rsidR="004A3E40">
        <w:rPr>
          <w:rFonts w:asciiTheme="minorHAnsi" w:hAnsiTheme="minorHAnsi" w:cstheme="minorHAnsi"/>
        </w:rPr>
        <w:t xml:space="preserve"> </w:t>
      </w:r>
      <w:r w:rsidR="004A3E40" w:rsidRPr="00F47B74">
        <w:rPr>
          <w:rFonts w:asciiTheme="minorHAnsi" w:hAnsiTheme="minorHAnsi" w:cstheme="minorHAnsi"/>
        </w:rPr>
        <w:t>Działani</w:t>
      </w:r>
      <w:r w:rsidR="004A3E40">
        <w:rPr>
          <w:rFonts w:asciiTheme="minorHAnsi" w:hAnsiTheme="minorHAnsi" w:cstheme="minorHAnsi"/>
        </w:rPr>
        <w:t>a</w:t>
      </w:r>
      <w:r w:rsidR="004A3E40" w:rsidRPr="00F47B74">
        <w:rPr>
          <w:rFonts w:asciiTheme="minorHAnsi" w:hAnsiTheme="minorHAnsi" w:cstheme="minorHAnsi"/>
        </w:rPr>
        <w:t xml:space="preserve"> 3.3.1</w:t>
      </w:r>
      <w:r w:rsidR="004A3E40">
        <w:rPr>
          <w:rFonts w:asciiTheme="minorHAnsi" w:hAnsiTheme="minorHAnsi" w:cstheme="minorHAnsi"/>
        </w:rPr>
        <w:t xml:space="preserve"> w osi 3 Gospodarka niskoemisyjna</w:t>
      </w:r>
      <w:r w:rsidR="004A3E40" w:rsidRPr="00B82B56">
        <w:rPr>
          <w:rFonts w:asciiTheme="minorHAnsi" w:hAnsiTheme="minorHAnsi" w:cstheme="minorHAnsi"/>
          <w:color w:val="auto"/>
        </w:rPr>
        <w:t xml:space="preserve"> </w:t>
      </w:r>
      <w:r w:rsidRPr="00B82B56">
        <w:rPr>
          <w:rFonts w:asciiTheme="minorHAnsi" w:hAnsiTheme="minorHAnsi" w:cstheme="minorHAnsi"/>
          <w:color w:val="auto"/>
        </w:rPr>
        <w:t>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391DF3">
      <w:pPr>
        <w:spacing w:after="0" w:line="240" w:lineRule="auto"/>
        <w:jc w:val="both"/>
        <w:rPr>
          <w:rFonts w:cstheme="minorHAnsi"/>
          <w:sz w:val="24"/>
          <w:szCs w:val="24"/>
        </w:rPr>
      </w:pPr>
    </w:p>
    <w:p w14:paraId="3A34DC06" w14:textId="53141BBB" w:rsidR="00D06571" w:rsidRPr="00B82B56" w:rsidRDefault="00D06571" w:rsidP="00391DF3">
      <w:pPr>
        <w:spacing w:after="0" w:line="240" w:lineRule="auto"/>
        <w:jc w:val="both"/>
        <w:rPr>
          <w:rFonts w:cstheme="minorHAnsi"/>
          <w:sz w:val="24"/>
          <w:szCs w:val="24"/>
        </w:rPr>
      </w:pPr>
      <w:bookmarkStart w:id="7" w:name="_Hlk32925936"/>
      <w:r w:rsidRPr="00B82B56">
        <w:rPr>
          <w:rFonts w:cstheme="minorHAnsi"/>
          <w:sz w:val="24"/>
          <w:szCs w:val="24"/>
        </w:rPr>
        <w:t xml:space="preserve">Ze względu na kurs euro, kwota dostępnej </w:t>
      </w:r>
      <w:r w:rsidR="004A3E40" w:rsidRPr="004A3E40">
        <w:rPr>
          <w:rFonts w:cstheme="minorHAnsi"/>
          <w:sz w:val="24"/>
          <w:szCs w:val="24"/>
        </w:rPr>
        <w:t xml:space="preserve">w ramach Działania 3.3.1 w osi 3 Gospodarka niskoemisyjna </w:t>
      </w:r>
      <w:r w:rsidRPr="00B82B56">
        <w:rPr>
          <w:rFonts w:cstheme="minorHAnsi"/>
          <w:sz w:val="24"/>
          <w:szCs w:val="24"/>
        </w:rPr>
        <w:t>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391DF3">
      <w:pPr>
        <w:autoSpaceDE w:val="0"/>
        <w:autoSpaceDN w:val="0"/>
        <w:adjustRightInd w:val="0"/>
        <w:spacing w:after="0" w:line="240" w:lineRule="auto"/>
        <w:jc w:val="both"/>
        <w:rPr>
          <w:rFonts w:cstheme="minorHAnsi"/>
          <w:sz w:val="24"/>
          <w:szCs w:val="24"/>
        </w:rPr>
      </w:pPr>
    </w:p>
    <w:p w14:paraId="56DDD479" w14:textId="02EE263D" w:rsidR="00D06571" w:rsidRPr="00B82B56" w:rsidRDefault="00D06571" w:rsidP="00391DF3">
      <w:pPr>
        <w:pStyle w:val="Default"/>
        <w:jc w:val="both"/>
        <w:rPr>
          <w:rFonts w:asciiTheme="minorHAnsi" w:hAnsiTheme="minorHAnsi" w:cstheme="minorHAnsi"/>
          <w:color w:val="auto"/>
        </w:rPr>
      </w:pPr>
      <w:r w:rsidRPr="00B82B56">
        <w:rPr>
          <w:rFonts w:asciiTheme="minorHAnsi" w:hAnsiTheme="minorHAnsi" w:cstheme="minorHAnsi"/>
          <w:color w:val="auto"/>
        </w:rPr>
        <w:t xml:space="preserve">Kwota alokacji </w:t>
      </w:r>
      <w:r w:rsidR="004A3E40" w:rsidRPr="004A3E40">
        <w:rPr>
          <w:rFonts w:asciiTheme="minorHAnsi" w:hAnsiTheme="minorHAnsi" w:cstheme="minorHAnsi"/>
          <w:color w:val="auto"/>
        </w:rPr>
        <w:t xml:space="preserve">w ramach Działania 3.3.1 w osi 3 Gospodarka niskoemisyjna </w:t>
      </w:r>
      <w:r w:rsidRPr="00B82B56">
        <w:rPr>
          <w:rFonts w:asciiTheme="minorHAnsi" w:hAnsiTheme="minorHAnsi" w:cstheme="minorHAnsi"/>
          <w:color w:val="auto"/>
        </w:rPr>
        <w:t>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391DF3">
      <w:pPr>
        <w:spacing w:after="0" w:line="240" w:lineRule="auto"/>
        <w:jc w:val="both"/>
        <w:rPr>
          <w:rFonts w:cstheme="minorHAnsi"/>
          <w:sz w:val="24"/>
          <w:szCs w:val="24"/>
        </w:rPr>
      </w:pPr>
    </w:p>
    <w:p w14:paraId="332794C0" w14:textId="68DAB24D" w:rsidR="00D06571" w:rsidRPr="00B82B56" w:rsidRDefault="00D06571" w:rsidP="00391DF3">
      <w:pPr>
        <w:spacing w:after="0" w:line="240" w:lineRule="auto"/>
        <w:jc w:val="both"/>
        <w:rPr>
          <w:rFonts w:cstheme="minorHAnsi"/>
          <w:sz w:val="24"/>
          <w:szCs w:val="24"/>
        </w:rPr>
      </w:pPr>
      <w:r w:rsidRPr="00B82B56">
        <w:rPr>
          <w:rFonts w:cstheme="minorHAnsi"/>
          <w:sz w:val="24"/>
          <w:szCs w:val="24"/>
        </w:rPr>
        <w:t xml:space="preserve">IOK może zwiększyć kwotę przeznaczoną </w:t>
      </w:r>
      <w:r w:rsidR="004A3E40" w:rsidRPr="004A3E40">
        <w:rPr>
          <w:rFonts w:cstheme="minorHAnsi"/>
          <w:sz w:val="24"/>
          <w:szCs w:val="24"/>
        </w:rPr>
        <w:t xml:space="preserve">w ramach Działania 3.3.1 w osi 3 Gospodarka niskoemisyjna </w:t>
      </w:r>
      <w:r w:rsidRPr="00B82B56">
        <w:rPr>
          <w:rFonts w:cstheme="minorHAnsi"/>
          <w:sz w:val="24"/>
          <w:szCs w:val="24"/>
        </w:rPr>
        <w:t>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391DF3">
      <w:pPr>
        <w:spacing w:after="0" w:line="240" w:lineRule="auto"/>
        <w:jc w:val="both"/>
        <w:rPr>
          <w:rFonts w:cstheme="minorHAnsi"/>
          <w:sz w:val="24"/>
          <w:szCs w:val="24"/>
        </w:rPr>
      </w:pPr>
    </w:p>
    <w:p w14:paraId="72D7C4AF" w14:textId="77777777" w:rsidR="00D06571" w:rsidRPr="00B82B56" w:rsidRDefault="00D06571" w:rsidP="00391DF3">
      <w:pPr>
        <w:pStyle w:val="Tekstkomentarza"/>
        <w:jc w:val="both"/>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391DF3">
      <w:pPr>
        <w:spacing w:after="0" w:line="240" w:lineRule="auto"/>
        <w:jc w:val="both"/>
        <w:rPr>
          <w:rFonts w:cstheme="minorHAnsi"/>
          <w:sz w:val="24"/>
          <w:szCs w:val="24"/>
        </w:rPr>
      </w:pPr>
    </w:p>
    <w:p w14:paraId="7B625B0A" w14:textId="2950F25B" w:rsidR="00D06571" w:rsidRDefault="00D06571" w:rsidP="00391DF3">
      <w:pPr>
        <w:spacing w:after="0" w:line="240" w:lineRule="auto"/>
        <w:jc w:val="both"/>
        <w:rPr>
          <w:rFonts w:cstheme="minorHAnsi"/>
          <w:sz w:val="24"/>
          <w:szCs w:val="24"/>
        </w:rPr>
      </w:pPr>
      <w:r w:rsidRPr="00B82B56">
        <w:rPr>
          <w:rFonts w:cstheme="minorHAnsi"/>
          <w:sz w:val="24"/>
          <w:szCs w:val="24"/>
        </w:rPr>
        <w:t>Przesunięcie alokacji pomiędzy rundami dopuszczalne jest tylko wtedy, jeśli wskutek rozstrzygnięcia rundy powstały oszczędności (po zabezpieczanie środków na procedurę odwoławczą).</w:t>
      </w:r>
    </w:p>
    <w:p w14:paraId="216E52CD" w14:textId="77777777" w:rsidR="00756000" w:rsidRDefault="00756000" w:rsidP="00391DF3">
      <w:pPr>
        <w:spacing w:after="0" w:line="240" w:lineRule="auto"/>
        <w:jc w:val="both"/>
        <w:rPr>
          <w:rFonts w:cstheme="minorHAnsi"/>
          <w:sz w:val="24"/>
          <w:szCs w:val="24"/>
        </w:rPr>
      </w:pPr>
    </w:p>
    <w:p w14:paraId="3F2A246A" w14:textId="75067190" w:rsidR="00756000" w:rsidRPr="00756000" w:rsidRDefault="00756000" w:rsidP="00756000">
      <w:pPr>
        <w:spacing w:after="0" w:line="240" w:lineRule="auto"/>
        <w:jc w:val="both"/>
        <w:rPr>
          <w:rFonts w:cstheme="minorHAnsi"/>
          <w:color w:val="000000" w:themeColor="text1"/>
          <w:sz w:val="24"/>
          <w:szCs w:val="28"/>
        </w:rPr>
      </w:pPr>
      <w:r w:rsidRPr="00756000">
        <w:rPr>
          <w:rFonts w:cstheme="minorHAnsi"/>
          <w:color w:val="000000" w:themeColor="text1"/>
          <w:sz w:val="24"/>
          <w:szCs w:val="28"/>
        </w:rPr>
        <w:t xml:space="preserve">W związku ze zmianami w Rozporządzeniu ogólnym wprowadzonymi przez Rozporządzenie REACT – EU, </w:t>
      </w:r>
      <w:r w:rsidR="004A3E40">
        <w:rPr>
          <w:rFonts w:cstheme="minorHAnsi"/>
          <w:color w:val="000000" w:themeColor="text1"/>
          <w:sz w:val="24"/>
          <w:szCs w:val="28"/>
        </w:rPr>
        <w:t xml:space="preserve">dopuszczona została </w:t>
      </w:r>
      <w:r w:rsidRPr="00756000">
        <w:rPr>
          <w:rFonts w:cstheme="minorHAnsi"/>
          <w:color w:val="000000" w:themeColor="text1"/>
          <w:sz w:val="24"/>
          <w:szCs w:val="28"/>
        </w:rPr>
        <w:t>możliwość:</w:t>
      </w:r>
    </w:p>
    <w:p w14:paraId="4EC3C9FA" w14:textId="133F9ED2" w:rsidR="00756000" w:rsidRPr="00756000" w:rsidRDefault="00756000" w:rsidP="00756000">
      <w:pPr>
        <w:pStyle w:val="Akapitzlist"/>
        <w:numPr>
          <w:ilvl w:val="0"/>
          <w:numId w:val="22"/>
        </w:numPr>
        <w:spacing w:before="0" w:line="240" w:lineRule="auto"/>
        <w:contextualSpacing/>
        <w:jc w:val="both"/>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lastRenderedPageBreak/>
        <w:t xml:space="preserve">przenoszenia do dofinansowania ze środków REACT – EU projektów wybranych do realizacji / realizowanych w ramach </w:t>
      </w:r>
      <w:r w:rsidR="00AB649E">
        <w:rPr>
          <w:rFonts w:asciiTheme="minorHAnsi" w:hAnsiTheme="minorHAnsi" w:cstheme="minorHAnsi"/>
          <w:color w:val="000000" w:themeColor="text1"/>
          <w:sz w:val="24"/>
          <w:szCs w:val="28"/>
        </w:rPr>
        <w:t xml:space="preserve">osi priorytetowej 3 </w:t>
      </w:r>
      <w:r w:rsidRPr="00756000">
        <w:rPr>
          <w:rFonts w:asciiTheme="minorHAnsi" w:hAnsiTheme="minorHAnsi" w:cstheme="minorHAnsi"/>
          <w:color w:val="000000" w:themeColor="text1"/>
          <w:sz w:val="24"/>
          <w:szCs w:val="28"/>
        </w:rPr>
        <w:t xml:space="preserve">lub </w:t>
      </w:r>
    </w:p>
    <w:p w14:paraId="482862FF" w14:textId="0ABC9B5C" w:rsidR="00756000" w:rsidRPr="00756000" w:rsidRDefault="00756000" w:rsidP="00756000">
      <w:pPr>
        <w:pStyle w:val="Akapitzlist"/>
        <w:numPr>
          <w:ilvl w:val="0"/>
          <w:numId w:val="22"/>
        </w:numPr>
        <w:spacing w:before="0" w:line="240" w:lineRule="auto"/>
        <w:contextualSpacing/>
        <w:jc w:val="both"/>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 xml:space="preserve">wyboru projektów z wykorzystaniem środków REACT - EU, które spełniły kryteria wyboru projektów i uzyskały wymaganą liczbę punktów w ramach </w:t>
      </w:r>
      <w:r w:rsidR="00AB649E">
        <w:rPr>
          <w:rFonts w:asciiTheme="minorHAnsi" w:hAnsiTheme="minorHAnsi" w:cstheme="minorHAnsi"/>
          <w:color w:val="000000" w:themeColor="text1"/>
          <w:sz w:val="24"/>
          <w:szCs w:val="28"/>
        </w:rPr>
        <w:t>osi priorytetowej 3</w:t>
      </w:r>
      <w:r w:rsidRPr="00756000">
        <w:rPr>
          <w:rFonts w:asciiTheme="minorHAnsi" w:hAnsiTheme="minorHAnsi" w:cstheme="minorHAnsi"/>
          <w:color w:val="000000" w:themeColor="text1"/>
          <w:sz w:val="24"/>
          <w:szCs w:val="28"/>
        </w:rPr>
        <w:t>, jednakże ze względu na ograniczoną alokację, nie zostały wybrane do dofinansowania lub</w:t>
      </w:r>
    </w:p>
    <w:p w14:paraId="506AAF0C" w14:textId="00A0CD53" w:rsidR="00756000" w:rsidRPr="00756000" w:rsidRDefault="00756000" w:rsidP="00756000">
      <w:pPr>
        <w:pStyle w:val="Akapitzlist"/>
        <w:numPr>
          <w:ilvl w:val="0"/>
          <w:numId w:val="22"/>
        </w:numPr>
        <w:spacing w:before="0" w:line="240" w:lineRule="auto"/>
        <w:contextualSpacing/>
        <w:jc w:val="both"/>
        <w:rPr>
          <w:rFonts w:asciiTheme="minorHAnsi" w:hAnsiTheme="minorHAnsi" w:cstheme="minorHAnsi"/>
          <w:color w:val="000000" w:themeColor="text1"/>
          <w:sz w:val="24"/>
          <w:szCs w:val="28"/>
        </w:rPr>
      </w:pPr>
      <w:r w:rsidRPr="00756000">
        <w:rPr>
          <w:rFonts w:asciiTheme="minorHAnsi" w:hAnsiTheme="minorHAnsi" w:cstheme="minorHAnsi"/>
          <w:color w:val="000000" w:themeColor="text1"/>
          <w:sz w:val="24"/>
          <w:szCs w:val="28"/>
        </w:rPr>
        <w:t xml:space="preserve">wyboru do dofinansowania projektów ze środków REACT - EU, które spełniły kryteria wyboru projektów w ramach </w:t>
      </w:r>
      <w:r w:rsidR="00AB649E">
        <w:rPr>
          <w:rFonts w:asciiTheme="minorHAnsi" w:hAnsiTheme="minorHAnsi" w:cstheme="minorHAnsi"/>
          <w:color w:val="000000" w:themeColor="text1"/>
          <w:sz w:val="24"/>
          <w:szCs w:val="28"/>
        </w:rPr>
        <w:t>osi priorytetowej 3</w:t>
      </w:r>
      <w:r w:rsidRPr="00756000">
        <w:rPr>
          <w:rFonts w:asciiTheme="minorHAnsi" w:hAnsiTheme="minorHAnsi" w:cstheme="minorHAnsi"/>
          <w:color w:val="000000" w:themeColor="text1"/>
          <w:sz w:val="24"/>
          <w:szCs w:val="28"/>
        </w:rPr>
        <w:t>.</w:t>
      </w:r>
    </w:p>
    <w:bookmarkEnd w:id="7"/>
    <w:p w14:paraId="2EA7C8D8" w14:textId="77777777" w:rsidR="00266C86" w:rsidRDefault="00266C86" w:rsidP="00266C86">
      <w:pPr>
        <w:spacing w:after="0" w:line="240" w:lineRule="auto"/>
        <w:jc w:val="both"/>
        <w:rPr>
          <w:rFonts w:cstheme="minorHAnsi"/>
          <w:sz w:val="24"/>
          <w:szCs w:val="24"/>
        </w:rPr>
      </w:pPr>
    </w:p>
    <w:p w14:paraId="75C9F845" w14:textId="7A306BE2" w:rsidR="00266C86" w:rsidRPr="00266C86" w:rsidRDefault="00266C86" w:rsidP="00266C86">
      <w:pPr>
        <w:spacing w:after="0" w:line="240" w:lineRule="auto"/>
        <w:jc w:val="both"/>
        <w:rPr>
          <w:rFonts w:cstheme="minorHAnsi"/>
          <w:b/>
          <w:bCs/>
          <w:sz w:val="24"/>
          <w:szCs w:val="24"/>
        </w:rPr>
      </w:pPr>
      <w:r w:rsidRPr="00266C86">
        <w:rPr>
          <w:rFonts w:cstheme="minorHAnsi"/>
          <w:b/>
          <w:bCs/>
          <w:sz w:val="24"/>
          <w:szCs w:val="24"/>
        </w:rPr>
        <w:t xml:space="preserve">W konsekwencji powyższego, w ramach niniejszego konkursu projekty spełniające kryteria wyboru przyjęte dla niniejszego konkursu, które nie zostaną wybrane do dofinansowania z powodu wyczerpania alokacji w Działaniu 3.3.1 w osi 3 Gospodarka niskoemisyjna, będą mogły być finansowane i rozliczane ze środków osi priorytetowej 12 REACT – EU – do wyczerpania jej alokacji, pod warunkiem wprowadzenia w RPO WD, SZOOP oraz Kontrakcie Terytorialnym dla Województwa Dolnośląskiego, zmian mających na celu wdrożenie inicjatywy REACT – EU. </w:t>
      </w:r>
    </w:p>
    <w:p w14:paraId="6046672D" w14:textId="77777777" w:rsidR="00266C86" w:rsidRPr="00266C86" w:rsidRDefault="00266C86" w:rsidP="00266C86">
      <w:pPr>
        <w:spacing w:after="0" w:line="240" w:lineRule="auto"/>
        <w:jc w:val="both"/>
        <w:rPr>
          <w:rFonts w:cstheme="minorHAnsi"/>
          <w:b/>
          <w:bCs/>
          <w:sz w:val="24"/>
          <w:szCs w:val="24"/>
        </w:rPr>
      </w:pPr>
    </w:p>
    <w:p w14:paraId="07F109C9" w14:textId="77777777" w:rsidR="00266C86" w:rsidRPr="00266C86" w:rsidRDefault="00266C86" w:rsidP="00266C86">
      <w:pPr>
        <w:spacing w:after="0" w:line="240" w:lineRule="auto"/>
        <w:jc w:val="both"/>
        <w:rPr>
          <w:rFonts w:cstheme="minorHAnsi"/>
          <w:b/>
          <w:bCs/>
          <w:sz w:val="24"/>
          <w:szCs w:val="24"/>
        </w:rPr>
      </w:pPr>
      <w:r w:rsidRPr="00266C86">
        <w:rPr>
          <w:rFonts w:cstheme="minorHAnsi"/>
          <w:b/>
          <w:bCs/>
          <w:sz w:val="24"/>
          <w:szCs w:val="24"/>
        </w:rPr>
        <w:t>Alokacja przeznaczona obecnie na ten typ projektów REACT – EU wynosi 9 201 167 EUR. Będzie ona przypisana do dedykowanej osi priorytetowej 12 REACT - EU, w której przewiduje się finansowanie i rozliczanie projektów spełniających kryteria w ramach niniejszego konkursu.</w:t>
      </w:r>
    </w:p>
    <w:p w14:paraId="45110EBB" w14:textId="77777777" w:rsidR="00266C86" w:rsidRPr="00266C86" w:rsidRDefault="00266C86" w:rsidP="00266C86">
      <w:pPr>
        <w:spacing w:after="0" w:line="240" w:lineRule="auto"/>
        <w:jc w:val="both"/>
        <w:rPr>
          <w:rFonts w:cstheme="minorHAnsi"/>
          <w:b/>
          <w:bCs/>
          <w:sz w:val="24"/>
          <w:szCs w:val="24"/>
        </w:rPr>
      </w:pPr>
    </w:p>
    <w:p w14:paraId="565BFC2F" w14:textId="2C15635C" w:rsidR="00CF075C" w:rsidRPr="00266C86" w:rsidRDefault="00266C86" w:rsidP="00266C86">
      <w:pPr>
        <w:spacing w:after="0" w:line="240" w:lineRule="auto"/>
        <w:jc w:val="both"/>
        <w:rPr>
          <w:rFonts w:cstheme="minorHAnsi"/>
          <w:b/>
          <w:bCs/>
          <w:sz w:val="24"/>
          <w:szCs w:val="24"/>
        </w:rPr>
      </w:pPr>
      <w:r w:rsidRPr="00266C86">
        <w:rPr>
          <w:rFonts w:cstheme="minorHAnsi"/>
          <w:b/>
          <w:bCs/>
          <w:sz w:val="24"/>
          <w:szCs w:val="24"/>
        </w:rPr>
        <w:t>Środki REACT – EU nie powodują zmiany alokacji w Działaniu 3.3.1 w osi 3 Gospodarka niskoemisyjna. Są odrębnym źródłem finansowania projektów. Tym samym nie mają znaczenia względem toczących się postępowań odwoławczych.</w:t>
      </w:r>
    </w:p>
    <w:p w14:paraId="4B919551" w14:textId="77777777" w:rsidR="00266C86" w:rsidRPr="00B82B56" w:rsidRDefault="00266C86" w:rsidP="00266C86">
      <w:pPr>
        <w:spacing w:after="0" w:line="240" w:lineRule="auto"/>
        <w:jc w:val="both"/>
        <w:rPr>
          <w:rFonts w:cstheme="minorHAnsi"/>
          <w:sz w:val="24"/>
          <w:szCs w:val="24"/>
        </w:rPr>
      </w:pPr>
    </w:p>
    <w:p w14:paraId="3E606AB3" w14:textId="77777777" w:rsidR="007C6E4D" w:rsidRPr="00B82B56" w:rsidRDefault="007C6E4D" w:rsidP="00391DF3">
      <w:pPr>
        <w:pStyle w:val="Default"/>
        <w:jc w:val="both"/>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8" w:name="_Toc4137252"/>
      <w:r w:rsidRPr="00B82B56">
        <w:rPr>
          <w:rFonts w:asciiTheme="minorHAnsi" w:hAnsiTheme="minorHAnsi" w:cstheme="minorHAnsi"/>
          <w:b/>
          <w:color w:val="auto"/>
        </w:rPr>
        <w:t>Minimalna wartość wnioskowanego dofinansowania</w:t>
      </w:r>
      <w:bookmarkEnd w:id="8"/>
      <w:r w:rsidRPr="00B82B56">
        <w:rPr>
          <w:rFonts w:asciiTheme="minorHAnsi" w:hAnsiTheme="minorHAnsi" w:cstheme="minorHAnsi"/>
          <w:b/>
          <w:bCs/>
          <w:color w:val="auto"/>
        </w:rPr>
        <w:t xml:space="preserve">: </w:t>
      </w:r>
    </w:p>
    <w:p w14:paraId="56AF7B89" w14:textId="77777777" w:rsidR="0093677E" w:rsidRPr="00B82B56" w:rsidRDefault="0093677E" w:rsidP="00391DF3">
      <w:pPr>
        <w:spacing w:after="0" w:line="240" w:lineRule="auto"/>
        <w:jc w:val="both"/>
        <w:rPr>
          <w:rFonts w:cstheme="minorHAnsi"/>
          <w:sz w:val="24"/>
          <w:szCs w:val="28"/>
        </w:rPr>
      </w:pPr>
      <w:bookmarkStart w:id="9" w:name="_Hlk26800715"/>
      <w:bookmarkStart w:id="10"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391DF3">
      <w:pPr>
        <w:suppressAutoHyphens/>
        <w:spacing w:after="120" w:line="240" w:lineRule="auto"/>
        <w:jc w:val="both"/>
        <w:rPr>
          <w:rFonts w:eastAsia="Droid Sans Fallback" w:cstheme="minorHAnsi"/>
          <w:sz w:val="24"/>
          <w:szCs w:val="28"/>
        </w:rPr>
      </w:pPr>
    </w:p>
    <w:p w14:paraId="4C63AC4D" w14:textId="77777777" w:rsidR="0093677E" w:rsidRPr="00B82B56" w:rsidRDefault="0093677E" w:rsidP="00391DF3">
      <w:pPr>
        <w:spacing w:line="240" w:lineRule="auto"/>
        <w:jc w:val="both"/>
        <w:rPr>
          <w:sz w:val="24"/>
          <w:szCs w:val="24"/>
        </w:rPr>
      </w:pPr>
      <w:r w:rsidRPr="00B82B56">
        <w:rPr>
          <w:sz w:val="24"/>
          <w:szCs w:val="24"/>
        </w:rPr>
        <w:t>Minimalna wartość wydatków kwalifikowalnych w projekcie: 500 000 PLN (również dla projektów partnerskich).</w:t>
      </w:r>
    </w:p>
    <w:bookmarkEnd w:id="9"/>
    <w:p w14:paraId="277ECE60" w14:textId="77777777" w:rsidR="007C6E4D" w:rsidRPr="00B82B56" w:rsidRDefault="007C6E4D" w:rsidP="00391DF3">
      <w:pPr>
        <w:pStyle w:val="Nagwek1"/>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10"/>
      <w:r w:rsidRPr="00B82B56">
        <w:rPr>
          <w:rFonts w:asciiTheme="minorHAnsi" w:hAnsiTheme="minorHAnsi" w:cstheme="minorHAnsi"/>
          <w:sz w:val="24"/>
          <w:szCs w:val="24"/>
        </w:rPr>
        <w:t>:</w:t>
      </w:r>
    </w:p>
    <w:p w14:paraId="11897C3D" w14:textId="1556B220" w:rsidR="00CF6DAF" w:rsidRPr="00B82B56" w:rsidRDefault="0054726D" w:rsidP="003A5C65">
      <w:pPr>
        <w:suppressAutoHyphens/>
        <w:spacing w:line="240" w:lineRule="auto"/>
        <w:jc w:val="both"/>
        <w:rPr>
          <w:rFonts w:cstheme="minorHAnsi"/>
          <w:sz w:val="24"/>
          <w:szCs w:val="28"/>
        </w:rPr>
      </w:pPr>
      <w:bookmarkStart w:id="11"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11"/>
    </w:p>
    <w:p w14:paraId="7DD09881" w14:textId="77777777" w:rsidR="009938A4" w:rsidRPr="00B82B56" w:rsidRDefault="001F3778" w:rsidP="00391DF3">
      <w:pPr>
        <w:pStyle w:val="Default"/>
        <w:jc w:val="both"/>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391DF3">
      <w:pPr>
        <w:pStyle w:val="Nagwek1"/>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lastRenderedPageBreak/>
        <w:t>Maksymalny poziom dofinansowania UE na poziomie projektu wynosi:</w:t>
      </w:r>
    </w:p>
    <w:p w14:paraId="6CA7CEE7" w14:textId="77777777" w:rsidR="002A2FAD" w:rsidRPr="00B82B56" w:rsidRDefault="002A2FAD" w:rsidP="00391DF3">
      <w:pPr>
        <w:pStyle w:val="Nagwek1"/>
        <w:numPr>
          <w:ilvl w:val="0"/>
          <w:numId w:val="16"/>
        </w:numPr>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391DF3">
      <w:pPr>
        <w:pStyle w:val="Nagwek1"/>
        <w:numPr>
          <w:ilvl w:val="0"/>
          <w:numId w:val="16"/>
        </w:numPr>
        <w:spacing w:before="0"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391DF3">
      <w:pPr>
        <w:pStyle w:val="Nagwek1"/>
        <w:numPr>
          <w:ilvl w:val="1"/>
          <w:numId w:val="16"/>
        </w:numPr>
        <w:spacing w:before="0"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391DF3">
      <w:pPr>
        <w:pStyle w:val="Nagwek1"/>
        <w:numPr>
          <w:ilvl w:val="1"/>
          <w:numId w:val="16"/>
        </w:numPr>
        <w:spacing w:before="0"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391DF3">
      <w:pPr>
        <w:pStyle w:val="Nagwek1"/>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391DF3">
      <w:pPr>
        <w:pStyle w:val="Nagwek1"/>
        <w:spacing w:line="240" w:lineRule="auto"/>
        <w:jc w:val="both"/>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391DF3">
      <w:pPr>
        <w:pStyle w:val="Nagwek1"/>
        <w:spacing w:line="240" w:lineRule="auto"/>
        <w:jc w:val="both"/>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12" w:name="_Toc4137258"/>
      <w:r w:rsidRPr="00B82B56">
        <w:rPr>
          <w:rFonts w:asciiTheme="minorHAnsi" w:hAnsiTheme="minorHAnsi" w:cstheme="minorHAnsi"/>
          <w:sz w:val="24"/>
          <w:szCs w:val="24"/>
        </w:rPr>
        <w:t>Minimalny wkład własny jako % wydatków kwalifikowalnych</w:t>
      </w:r>
      <w:bookmarkEnd w:id="12"/>
    </w:p>
    <w:p w14:paraId="65AC6237" w14:textId="77777777" w:rsidR="00E14EAD" w:rsidRPr="00B82B56" w:rsidRDefault="00E14EAD" w:rsidP="00391DF3">
      <w:pPr>
        <w:pStyle w:val="Default"/>
        <w:jc w:val="both"/>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391DF3">
      <w:pPr>
        <w:pStyle w:val="Default"/>
        <w:numPr>
          <w:ilvl w:val="0"/>
          <w:numId w:val="17"/>
        </w:numPr>
        <w:jc w:val="both"/>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391DF3">
      <w:pPr>
        <w:pStyle w:val="Default"/>
        <w:numPr>
          <w:ilvl w:val="0"/>
          <w:numId w:val="17"/>
        </w:numPr>
        <w:jc w:val="both"/>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391DF3">
      <w:pPr>
        <w:pStyle w:val="Default"/>
        <w:jc w:val="both"/>
        <w:rPr>
          <w:rFonts w:asciiTheme="minorHAnsi" w:hAnsiTheme="minorHAnsi" w:cstheme="minorHAnsi"/>
          <w:b/>
          <w:bCs/>
          <w:color w:val="auto"/>
        </w:rPr>
      </w:pPr>
    </w:p>
    <w:p w14:paraId="777F4701" w14:textId="77777777" w:rsidR="00FC4FAD" w:rsidRPr="00B82B56" w:rsidRDefault="00FC4FAD" w:rsidP="00391DF3">
      <w:pPr>
        <w:pStyle w:val="Default"/>
        <w:jc w:val="both"/>
        <w:rPr>
          <w:rFonts w:asciiTheme="minorHAnsi" w:hAnsiTheme="minorHAnsi" w:cstheme="minorHAnsi"/>
          <w:b/>
          <w:bCs/>
          <w:color w:val="auto"/>
        </w:rPr>
      </w:pPr>
    </w:p>
    <w:p w14:paraId="1460070D" w14:textId="134920E2" w:rsidR="009938A4" w:rsidRPr="00B82B56" w:rsidRDefault="00E24F33" w:rsidP="00391DF3">
      <w:pPr>
        <w:pStyle w:val="Default"/>
        <w:jc w:val="both"/>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391DF3">
      <w:pPr>
        <w:spacing w:after="120" w:line="240" w:lineRule="auto"/>
        <w:jc w:val="both"/>
        <w:rPr>
          <w:rFonts w:cstheme="minorHAnsi"/>
          <w:sz w:val="24"/>
          <w:szCs w:val="24"/>
        </w:rPr>
      </w:pPr>
      <w:bookmarkStart w:id="13" w:name="_Hlk32926192"/>
    </w:p>
    <w:bookmarkEnd w:id="13"/>
    <w:p w14:paraId="0F7B97F8" w14:textId="77777777" w:rsidR="003A5C65" w:rsidRPr="00B82B56" w:rsidRDefault="003A5C65" w:rsidP="003A5C65">
      <w:pPr>
        <w:spacing w:after="120" w:line="240" w:lineRule="auto"/>
        <w:jc w:val="both"/>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3A5C65">
      <w:pPr>
        <w:pStyle w:val="Akapitzlist"/>
        <w:numPr>
          <w:ilvl w:val="0"/>
          <w:numId w:val="18"/>
        </w:numPr>
        <w:spacing w:before="0" w:line="240" w:lineRule="auto"/>
        <w:contextualSpacing/>
        <w:jc w:val="both"/>
        <w:rPr>
          <w:rFonts w:asciiTheme="minorHAnsi" w:hAnsiTheme="minorHAnsi" w:cstheme="minorHAnsi"/>
          <w:b/>
          <w:sz w:val="24"/>
          <w:szCs w:val="24"/>
        </w:rPr>
      </w:pPr>
      <w:bookmarkStart w:id="14"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3A5C65">
      <w:pPr>
        <w:pStyle w:val="Akapitzlist"/>
        <w:numPr>
          <w:ilvl w:val="0"/>
          <w:numId w:val="18"/>
        </w:numPr>
        <w:spacing w:before="0" w:line="240" w:lineRule="auto"/>
        <w:contextualSpacing/>
        <w:jc w:val="both"/>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14"/>
    <w:p w14:paraId="1A284E48" w14:textId="77777777" w:rsidR="003A5C65" w:rsidRPr="00B82B56" w:rsidRDefault="003A5C65" w:rsidP="003A5C65">
      <w:pPr>
        <w:spacing w:after="0" w:line="240" w:lineRule="auto"/>
        <w:jc w:val="both"/>
        <w:rPr>
          <w:rFonts w:cstheme="minorHAnsi"/>
          <w:sz w:val="24"/>
          <w:szCs w:val="24"/>
        </w:rPr>
      </w:pPr>
    </w:p>
    <w:p w14:paraId="174FCF24" w14:textId="77777777" w:rsidR="003A5C65" w:rsidRPr="00B82B56" w:rsidRDefault="003A5C65" w:rsidP="003A5C65">
      <w:pPr>
        <w:spacing w:after="0" w:line="240" w:lineRule="auto"/>
        <w:jc w:val="both"/>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t>
      </w:r>
      <w:r w:rsidRPr="00B82B56">
        <w:rPr>
          <w:rFonts w:cstheme="minorHAnsi"/>
          <w:sz w:val="24"/>
          <w:szCs w:val="24"/>
        </w:rPr>
        <w:lastRenderedPageBreak/>
        <w:t xml:space="preserve">Województwa Dolnośląskiego 2014-2020. System umożliwia tworzenie, edycję oraz wydruk PDF wniosków o dofinansowanie, a także zapewnia możliwość ich złożenia do właściwej instytucji.  </w:t>
      </w:r>
    </w:p>
    <w:p w14:paraId="4A1D7FA1" w14:textId="2302A2DD" w:rsidR="003A5C65" w:rsidRPr="00B82B56" w:rsidRDefault="003A5C65" w:rsidP="003A5C65">
      <w:pPr>
        <w:spacing w:before="240" w:after="0" w:line="240" w:lineRule="auto"/>
        <w:jc w:val="both"/>
        <w:rPr>
          <w:rFonts w:cstheme="minorHAnsi"/>
          <w:sz w:val="24"/>
          <w:szCs w:val="24"/>
        </w:rPr>
      </w:pPr>
      <w:bookmarkStart w:id="15" w:name="_Hlk37222696"/>
      <w:r w:rsidRPr="00B82B56">
        <w:rPr>
          <w:rFonts w:cstheme="minorHAnsi"/>
          <w:sz w:val="24"/>
          <w:szCs w:val="24"/>
        </w:rPr>
        <w:t xml:space="preserve">Ponadto </w:t>
      </w:r>
      <w:r w:rsidR="001C7658">
        <w:rPr>
          <w:rFonts w:cstheme="minorHAnsi"/>
          <w:sz w:val="24"/>
          <w:szCs w:val="24"/>
        </w:rPr>
        <w:t xml:space="preserve">w przypadku I rundy </w:t>
      </w:r>
      <w:r w:rsidRPr="00B82B56">
        <w:rPr>
          <w:rFonts w:cstheme="minorHAnsi"/>
          <w:sz w:val="24"/>
          <w:szCs w:val="24"/>
        </w:rPr>
        <w:t>wersja papierowa wniosku musi być nadana:</w:t>
      </w:r>
    </w:p>
    <w:p w14:paraId="68B621AC" w14:textId="3240EEFB" w:rsidR="003A5C65" w:rsidRPr="00B82B56" w:rsidRDefault="003A5C65" w:rsidP="003A5C65">
      <w:pPr>
        <w:pStyle w:val="Akapitzlist"/>
        <w:numPr>
          <w:ilvl w:val="0"/>
          <w:numId w:val="15"/>
        </w:numPr>
        <w:spacing w:before="240" w:line="240" w:lineRule="auto"/>
        <w:contextualSpacing/>
        <w:jc w:val="both"/>
        <w:rPr>
          <w:rFonts w:asciiTheme="minorHAnsi" w:hAnsiTheme="minorHAnsi" w:cstheme="minorHAnsi"/>
          <w:sz w:val="24"/>
          <w:szCs w:val="24"/>
          <w:lang w:eastAsia="en-US"/>
        </w:rPr>
      </w:pPr>
      <w:r w:rsidRPr="00B82B56">
        <w:rPr>
          <w:rFonts w:asciiTheme="minorHAnsi" w:hAnsiTheme="minorHAnsi" w:cstheme="minorHAnsi"/>
          <w:b/>
          <w:sz w:val="24"/>
          <w:szCs w:val="24"/>
        </w:rPr>
        <w:t xml:space="preserve">w terminie do dnia 1 marca 2021 r. </w:t>
      </w:r>
    </w:p>
    <w:p w14:paraId="0218957D"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ul. Mazowiecka 17</w:t>
      </w:r>
    </w:p>
    <w:p w14:paraId="1F77C4AC"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50-412 Wrocław</w:t>
      </w:r>
    </w:p>
    <w:p w14:paraId="50C0CF74" w14:textId="77777777" w:rsidR="003A5C65" w:rsidRPr="00B82B56" w:rsidRDefault="003A5C65" w:rsidP="003A5C65">
      <w:pPr>
        <w:spacing w:before="240" w:after="0" w:line="240" w:lineRule="auto"/>
        <w:jc w:val="both"/>
        <w:rPr>
          <w:rFonts w:cstheme="minorHAnsi"/>
          <w:sz w:val="24"/>
          <w:szCs w:val="24"/>
        </w:rPr>
      </w:pPr>
      <w:r w:rsidRPr="00B82B56">
        <w:rPr>
          <w:rFonts w:cs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0FE36E3C" w14:textId="77777777" w:rsidR="003A5C65" w:rsidRPr="00B82B56" w:rsidRDefault="003A5C65" w:rsidP="003A5C65">
      <w:pPr>
        <w:spacing w:before="240" w:after="0" w:line="240" w:lineRule="auto"/>
        <w:jc w:val="both"/>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3A5C65">
      <w:pPr>
        <w:spacing w:after="0" w:line="240" w:lineRule="auto"/>
        <w:jc w:val="both"/>
        <w:rPr>
          <w:rFonts w:cstheme="minorHAnsi"/>
          <w:sz w:val="24"/>
          <w:szCs w:val="24"/>
        </w:rPr>
      </w:pPr>
    </w:p>
    <w:p w14:paraId="1DDADC0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tytuł projektu</w:t>
      </w:r>
    </w:p>
    <w:p w14:paraId="60CF2D15"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3A5C65">
      <w:pPr>
        <w:spacing w:after="0" w:line="240" w:lineRule="auto"/>
        <w:jc w:val="both"/>
        <w:rPr>
          <w:rFonts w:cstheme="minorHAnsi"/>
          <w:sz w:val="24"/>
          <w:szCs w:val="24"/>
        </w:rPr>
      </w:pPr>
    </w:p>
    <w:p w14:paraId="7E2467D9"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3A5C65">
      <w:pPr>
        <w:spacing w:after="0" w:line="240" w:lineRule="auto"/>
        <w:jc w:val="both"/>
        <w:rPr>
          <w:rFonts w:cstheme="minorHAnsi"/>
          <w:sz w:val="24"/>
          <w:szCs w:val="24"/>
        </w:rPr>
      </w:pPr>
    </w:p>
    <w:p w14:paraId="7C99E19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5EE76994" w14:textId="67393E16" w:rsidR="00004579" w:rsidRPr="00986AA2" w:rsidRDefault="00004579" w:rsidP="0051781B">
      <w:pPr>
        <w:spacing w:before="240" w:after="0" w:line="240" w:lineRule="auto"/>
        <w:jc w:val="both"/>
        <w:rPr>
          <w:rFonts w:cstheme="minorHAnsi"/>
          <w:bCs/>
          <w:sz w:val="24"/>
          <w:szCs w:val="24"/>
        </w:rPr>
      </w:pPr>
      <w:r w:rsidRPr="00986AA2">
        <w:rPr>
          <w:rFonts w:cstheme="minorHAnsi"/>
          <w:b/>
          <w:sz w:val="24"/>
          <w:szCs w:val="24"/>
        </w:rPr>
        <w:lastRenderedPageBreak/>
        <w:t xml:space="preserve">W przypadku II rundy  </w:t>
      </w:r>
      <w:r w:rsidRPr="00986AA2">
        <w:rPr>
          <w:rFonts w:cstheme="minorHAnsi"/>
          <w:sz w:val="24"/>
          <w:szCs w:val="24"/>
        </w:rPr>
        <w:t>Wnioskodawca ma obowiązek złożyć</w:t>
      </w:r>
      <w:r w:rsidRPr="00986AA2">
        <w:rPr>
          <w:rFonts w:cstheme="minorHAnsi"/>
          <w:b/>
          <w:sz w:val="24"/>
          <w:szCs w:val="24"/>
        </w:rPr>
        <w:t xml:space="preserve"> </w:t>
      </w:r>
      <w:r w:rsidRPr="00986AA2">
        <w:rPr>
          <w:rFonts w:cstheme="minorHAnsi"/>
          <w:bCs/>
          <w:sz w:val="24"/>
          <w:szCs w:val="24"/>
        </w:rPr>
        <w:t xml:space="preserve">wniosek wyłącznie za pośrednictwem aplikacji Generator Wniosków o dofinansowanie EFRR (dalej Generator Wniosków), dostępnej na stronie: https://snow-umwd.dolnyslask.pl/ </w:t>
      </w:r>
      <w:r w:rsidRPr="00986AA2">
        <w:rPr>
          <w:rFonts w:cstheme="minorHAnsi"/>
          <w:b/>
          <w:sz w:val="24"/>
          <w:szCs w:val="24"/>
        </w:rPr>
        <w:t>w terminie do dnia 10 maja 2021 r</w:t>
      </w:r>
      <w:r w:rsidRPr="00986AA2">
        <w:rPr>
          <w:rFonts w:cstheme="minorHAnsi"/>
          <w:bCs/>
          <w:sz w:val="24"/>
          <w:szCs w:val="24"/>
        </w:rPr>
        <w:t xml:space="preserve">.  Wnioskodawca nie składa wersji papierowej wniosku o dofinansowanie na etapie aplikowania i oceny. Złożona do IOK wersja papierowa wniosku o dofinansowanie nie będzie podlegać ocenie. </w:t>
      </w:r>
      <w:r w:rsidR="002A644F">
        <w:rPr>
          <w:rFonts w:cstheme="minorHAnsi"/>
          <w:bCs/>
          <w:sz w:val="24"/>
          <w:szCs w:val="24"/>
        </w:rPr>
        <w:br/>
      </w:r>
      <w:r w:rsidRPr="00986AA2">
        <w:rPr>
          <w:rFonts w:cstheme="minorHAnsi"/>
          <w:bCs/>
          <w:sz w:val="24"/>
          <w:szCs w:val="24"/>
        </w:rPr>
        <w:t xml:space="preserve">W przedmiotowym przypadku złożenie wniosku o dofinansowanie w Generatorze Wniosków </w:t>
      </w:r>
      <w:r w:rsidR="002A644F">
        <w:rPr>
          <w:rFonts w:cstheme="minorHAnsi"/>
          <w:bCs/>
          <w:sz w:val="24"/>
          <w:szCs w:val="24"/>
        </w:rPr>
        <w:br/>
      </w:r>
      <w:r w:rsidRPr="00986AA2">
        <w:rPr>
          <w:rFonts w:cstheme="minorHAnsi"/>
          <w:bCs/>
          <w:sz w:val="24"/>
          <w:szCs w:val="24"/>
        </w:rPr>
        <w:t>o dofinansowanie EFRR oznacza potwierdzenie zgodności wskazanej w nim treści, w szczególności oświadczeń zawartych w dokumencie (i załącznikach, które stanowią jego integralną część) ze stanem faktycznym.</w:t>
      </w:r>
    </w:p>
    <w:p w14:paraId="6ECA3C56" w14:textId="1A0FB6B3" w:rsidR="00004579" w:rsidRPr="00986AA2" w:rsidRDefault="00004579" w:rsidP="0051781B">
      <w:pPr>
        <w:spacing w:before="240" w:after="0" w:line="240" w:lineRule="auto"/>
        <w:jc w:val="both"/>
        <w:rPr>
          <w:rFonts w:cstheme="minorHAnsi"/>
          <w:bCs/>
          <w:sz w:val="24"/>
          <w:szCs w:val="28"/>
        </w:rPr>
      </w:pPr>
      <w:r w:rsidRPr="00986AA2">
        <w:rPr>
          <w:rFonts w:cstheme="minorHAnsi"/>
          <w:bCs/>
          <w:sz w:val="24"/>
          <w:szCs w:val="28"/>
        </w:rPr>
        <w:t xml:space="preserve">W przypadku II rundy za datę wpływu wniosku o dofinansowanie do IOK uznaje się datę skutecznego złożenia (wysłania) wniosku za pośrednictwem aplikacji Generator Wniosków </w:t>
      </w:r>
      <w:r w:rsidR="002A644F">
        <w:rPr>
          <w:rFonts w:cstheme="minorHAnsi"/>
          <w:bCs/>
          <w:sz w:val="24"/>
          <w:szCs w:val="28"/>
        </w:rPr>
        <w:br/>
      </w:r>
      <w:r w:rsidRPr="00986AA2">
        <w:rPr>
          <w:rFonts w:cstheme="minorHAnsi"/>
          <w:bCs/>
          <w:sz w:val="24"/>
          <w:szCs w:val="28"/>
        </w:rPr>
        <w:t>o dofinansowanie EFRR.</w:t>
      </w:r>
    </w:p>
    <w:p w14:paraId="5F79ACD2" w14:textId="67E0A94C" w:rsidR="00004579" w:rsidRPr="00986AA2" w:rsidRDefault="00004579" w:rsidP="0051781B">
      <w:pPr>
        <w:spacing w:before="240" w:after="0" w:line="240" w:lineRule="auto"/>
        <w:jc w:val="both"/>
        <w:rPr>
          <w:rFonts w:cs="Times New Roman"/>
          <w:bCs/>
          <w:sz w:val="24"/>
          <w:szCs w:val="28"/>
        </w:rPr>
      </w:pPr>
      <w:r w:rsidRPr="00986AA2">
        <w:rPr>
          <w:rFonts w:cstheme="minorHAnsi"/>
          <w:bCs/>
          <w:sz w:val="24"/>
          <w:szCs w:val="28"/>
        </w:rPr>
        <w:t xml:space="preserve">W przypadku złożenia (wysłania) wniosku o dofinansowanie projektu w aplikacji Generator Wniosków o dofinansowanie EFRR po terminie wskazanym w Regulaminie i w ogłoszeniu </w:t>
      </w:r>
      <w:r w:rsidR="002A644F">
        <w:rPr>
          <w:rFonts w:cstheme="minorHAnsi"/>
          <w:bCs/>
          <w:sz w:val="24"/>
          <w:szCs w:val="28"/>
        </w:rPr>
        <w:br/>
      </w:r>
      <w:r w:rsidRPr="00986AA2">
        <w:rPr>
          <w:rFonts w:cstheme="minorHAnsi"/>
          <w:bCs/>
          <w:sz w:val="24"/>
          <w:szCs w:val="28"/>
        </w:rPr>
        <w:t>o konkursie, wniosek pozostawia się bez rozpatrzenia.</w:t>
      </w:r>
    </w:p>
    <w:p w14:paraId="59E7DE9C" w14:textId="77777777" w:rsidR="00004579" w:rsidRPr="00986AA2" w:rsidRDefault="00004579" w:rsidP="0051781B">
      <w:pPr>
        <w:spacing w:after="0" w:line="240" w:lineRule="auto"/>
        <w:jc w:val="both"/>
        <w:rPr>
          <w:rFonts w:cs="Times New Roman"/>
          <w:sz w:val="24"/>
          <w:szCs w:val="28"/>
        </w:rPr>
      </w:pPr>
    </w:p>
    <w:p w14:paraId="2F53FD36" w14:textId="77777777" w:rsidR="00004579" w:rsidRPr="00986AA2" w:rsidRDefault="00004579" w:rsidP="0051781B">
      <w:pPr>
        <w:spacing w:after="0" w:line="240" w:lineRule="auto"/>
        <w:ind w:left="68" w:hanging="11"/>
        <w:jc w:val="both"/>
        <w:rPr>
          <w:rFonts w:cstheme="minorHAnsi"/>
          <w:bCs/>
          <w:sz w:val="24"/>
          <w:szCs w:val="28"/>
        </w:rPr>
      </w:pPr>
      <w:r w:rsidRPr="00986AA2">
        <w:rPr>
          <w:rFonts w:cstheme="minorHAnsi"/>
          <w:bCs/>
          <w:sz w:val="24"/>
          <w:szCs w:val="28"/>
        </w:rPr>
        <w:t>W przypadku problemów technicznych z systemem informatycznym SNOW należy niezwłocznie zgłosić problem na adres email: gwnd@dolnyslask.pl.</w:t>
      </w:r>
    </w:p>
    <w:p w14:paraId="3670FBA2" w14:textId="77777777" w:rsidR="003A5C65" w:rsidRPr="00B82B56" w:rsidRDefault="003A5C65" w:rsidP="003A5C65">
      <w:pPr>
        <w:spacing w:after="0" w:line="240" w:lineRule="auto"/>
        <w:jc w:val="both"/>
        <w:rPr>
          <w:rFonts w:cstheme="minorHAnsi"/>
          <w:sz w:val="24"/>
          <w:szCs w:val="24"/>
        </w:rPr>
      </w:pPr>
    </w:p>
    <w:p w14:paraId="2772474D" w14:textId="65741B38" w:rsidR="003A5C65" w:rsidRPr="00B82B56" w:rsidRDefault="003A5C65" w:rsidP="003A5C65">
      <w:pPr>
        <w:spacing w:after="0" w:line="240" w:lineRule="auto"/>
        <w:jc w:val="both"/>
        <w:rPr>
          <w:rFonts w:cstheme="minorHAnsi"/>
          <w:sz w:val="24"/>
          <w:szCs w:val="24"/>
        </w:rPr>
      </w:pPr>
      <w:r w:rsidRPr="00B82B56">
        <w:rPr>
          <w:rFonts w:cstheme="minorHAnsi"/>
          <w:sz w:val="24"/>
          <w:szCs w:val="24"/>
        </w:rPr>
        <w:t>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51781B">
        <w:rPr>
          <w:rFonts w:cstheme="minorHAnsi"/>
          <w:sz w:val="24"/>
          <w:szCs w:val="24"/>
        </w:rPr>
        <w:t xml:space="preserve"> (jeśli wymagane)</w:t>
      </w:r>
      <w:r w:rsidRPr="00B82B56">
        <w:rPr>
          <w:rFonts w:cstheme="minorHAnsi"/>
          <w:sz w:val="24"/>
          <w:szCs w:val="24"/>
        </w:rPr>
        <w:t xml:space="preserve">. </w:t>
      </w:r>
    </w:p>
    <w:p w14:paraId="66261975" w14:textId="77777777" w:rsidR="003A5C65" w:rsidRPr="00B82B56" w:rsidRDefault="003A5C65" w:rsidP="003A5C65">
      <w:pPr>
        <w:spacing w:after="0" w:line="240" w:lineRule="auto"/>
        <w:ind w:left="360"/>
        <w:jc w:val="both"/>
        <w:rPr>
          <w:rFonts w:cstheme="minorHAnsi"/>
          <w:sz w:val="24"/>
          <w:szCs w:val="24"/>
        </w:rPr>
      </w:pPr>
    </w:p>
    <w:p w14:paraId="5EAB7817"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3A5C65">
      <w:pPr>
        <w:spacing w:after="0" w:line="240" w:lineRule="auto"/>
        <w:jc w:val="both"/>
        <w:rPr>
          <w:rFonts w:cstheme="minorHAnsi"/>
          <w:sz w:val="24"/>
          <w:szCs w:val="24"/>
        </w:rPr>
      </w:pPr>
    </w:p>
    <w:p w14:paraId="52F95BE0"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3A5C65">
      <w:pPr>
        <w:spacing w:after="0" w:line="240" w:lineRule="auto"/>
        <w:jc w:val="both"/>
        <w:rPr>
          <w:rFonts w:cstheme="minorHAnsi"/>
          <w:sz w:val="24"/>
          <w:szCs w:val="24"/>
        </w:rPr>
      </w:pPr>
    </w:p>
    <w:p w14:paraId="00A06F1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3A5C65">
      <w:pPr>
        <w:spacing w:after="0" w:line="240" w:lineRule="auto"/>
        <w:jc w:val="both"/>
        <w:rPr>
          <w:rFonts w:cstheme="minorHAnsi"/>
          <w:sz w:val="24"/>
          <w:szCs w:val="24"/>
        </w:rPr>
      </w:pPr>
    </w:p>
    <w:p w14:paraId="2E5D0197" w14:textId="77777777" w:rsidR="003A5C65" w:rsidRPr="00B82B56" w:rsidRDefault="003A5C65" w:rsidP="003A5C65">
      <w:pPr>
        <w:spacing w:before="240" w:after="0" w:line="240" w:lineRule="auto"/>
        <w:jc w:val="both"/>
        <w:rPr>
          <w:rFonts w:eastAsia="Times New Roman" w:cstheme="minorHAnsi"/>
          <w:sz w:val="24"/>
          <w:szCs w:val="24"/>
        </w:rPr>
      </w:pPr>
      <w:r w:rsidRPr="00B82B56">
        <w:rPr>
          <w:rFonts w:eastAsia="Times New Roman" w:cstheme="minorHAnsi"/>
          <w:sz w:val="24"/>
          <w:szCs w:val="24"/>
        </w:rPr>
        <w:lastRenderedPageBreak/>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3A5C65">
      <w:pPr>
        <w:spacing w:after="0" w:line="240" w:lineRule="auto"/>
        <w:jc w:val="both"/>
        <w:rPr>
          <w:rFonts w:cstheme="minorHAnsi"/>
          <w:sz w:val="24"/>
          <w:szCs w:val="24"/>
          <w:highlight w:val="red"/>
        </w:rPr>
      </w:pPr>
    </w:p>
    <w:p w14:paraId="07EB8BCE"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3A5C65">
      <w:pPr>
        <w:spacing w:after="0" w:line="240" w:lineRule="auto"/>
        <w:jc w:val="both"/>
        <w:rPr>
          <w:rFonts w:cstheme="minorHAnsi"/>
          <w:sz w:val="24"/>
          <w:szCs w:val="24"/>
          <w:highlight w:val="red"/>
        </w:rPr>
      </w:pPr>
    </w:p>
    <w:p w14:paraId="44D1941B"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3A5C65">
      <w:pPr>
        <w:spacing w:after="0" w:line="240" w:lineRule="auto"/>
        <w:jc w:val="both"/>
        <w:rPr>
          <w:rFonts w:cstheme="minorHAnsi"/>
          <w:sz w:val="24"/>
          <w:szCs w:val="24"/>
        </w:rPr>
      </w:pPr>
    </w:p>
    <w:p w14:paraId="32FA3F1C" w14:textId="1DC18BB7" w:rsidR="00B20447" w:rsidRPr="00A74053" w:rsidRDefault="00B20447" w:rsidP="00B20447">
      <w:pPr>
        <w:pStyle w:val="Default"/>
        <w:jc w:val="both"/>
        <w:rPr>
          <w:rFonts w:asciiTheme="minorHAnsi" w:hAnsiTheme="minorHAnsi" w:cstheme="minorHAnsi"/>
          <w:color w:val="auto"/>
        </w:rPr>
      </w:pPr>
      <w:r>
        <w:rPr>
          <w:rFonts w:cstheme="minorHAnsi"/>
          <w:b/>
        </w:rPr>
        <w:t>Od dnia przyjęcia niniejszej wersji</w:t>
      </w:r>
      <w:r w:rsidR="003A5C65" w:rsidRPr="00B82B56">
        <w:rPr>
          <w:rFonts w:cstheme="minorHAnsi"/>
          <w:b/>
        </w:rPr>
        <w:t xml:space="preserve"> Regulaminu</w:t>
      </w:r>
      <w:r>
        <w:rPr>
          <w:rFonts w:cstheme="minorHAnsi"/>
          <w:b/>
        </w:rPr>
        <w:t xml:space="preserve"> konkursu składanie</w:t>
      </w:r>
      <w:r w:rsidR="003A5C65" w:rsidRPr="00B82B56">
        <w:rPr>
          <w:rFonts w:cstheme="minorHAnsi"/>
          <w:b/>
        </w:rPr>
        <w:t xml:space="preserve"> każdej poprawionej wersji wniosku o dofinansowanie</w:t>
      </w:r>
      <w:r w:rsidRPr="00B20447">
        <w:rPr>
          <w:rFonts w:cstheme="minorHAnsi"/>
          <w:b/>
        </w:rPr>
        <w:t xml:space="preserve"> </w:t>
      </w:r>
      <w:r>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p>
    <w:p w14:paraId="4553E8F1" w14:textId="77777777" w:rsidR="00B20447" w:rsidRPr="00A74053" w:rsidRDefault="00B20447" w:rsidP="00B20447">
      <w:pPr>
        <w:spacing w:after="0" w:line="240" w:lineRule="auto"/>
        <w:rPr>
          <w:rFonts w:cstheme="minorHAnsi"/>
          <w:szCs w:val="24"/>
        </w:rPr>
      </w:pPr>
    </w:p>
    <w:p w14:paraId="3F1C423D" w14:textId="30CBB242" w:rsidR="00B20447" w:rsidRDefault="00B20447" w:rsidP="00B20447">
      <w:pPr>
        <w:spacing w:after="0" w:line="240" w:lineRule="auto"/>
        <w:jc w:val="both"/>
        <w:rPr>
          <w:rFonts w:cstheme="minorHAnsi"/>
          <w:sz w:val="24"/>
          <w:szCs w:val="28"/>
        </w:rPr>
      </w:pPr>
      <w:r w:rsidRPr="00B20447">
        <w:rPr>
          <w:rFonts w:cstheme="minorHAnsi"/>
          <w:b/>
          <w:sz w:val="24"/>
          <w:szCs w:val="28"/>
        </w:rPr>
        <w:t xml:space="preserve">Zarówno w przypadku I jak i II rundy za datę wpływu poprawionej wersji wniosku </w:t>
      </w:r>
      <w:r w:rsidR="002A644F">
        <w:rPr>
          <w:rFonts w:cstheme="minorHAnsi"/>
          <w:b/>
          <w:sz w:val="24"/>
          <w:szCs w:val="28"/>
        </w:rPr>
        <w:br/>
      </w:r>
      <w:r w:rsidRPr="00B20447">
        <w:rPr>
          <w:rFonts w:cstheme="minorHAnsi"/>
          <w:b/>
          <w:sz w:val="24"/>
          <w:szCs w:val="28"/>
        </w:rPr>
        <w:t xml:space="preserve">o dofinansowanie do IOK uznaje się datę skutecznego złożenia (wysłania) wniosku </w:t>
      </w:r>
      <w:r w:rsidRPr="00B20447">
        <w:rPr>
          <w:rFonts w:cstheme="minorHAnsi"/>
          <w:sz w:val="24"/>
          <w:szCs w:val="28"/>
        </w:rPr>
        <w:t xml:space="preserve">za pośrednictwem aplikacji </w:t>
      </w:r>
      <w:r w:rsidRPr="00B20447">
        <w:rPr>
          <w:rFonts w:cstheme="minorHAnsi"/>
          <w:b/>
          <w:bCs/>
          <w:sz w:val="24"/>
          <w:szCs w:val="28"/>
        </w:rPr>
        <w:t>Generator Wniosków</w:t>
      </w:r>
      <w:r w:rsidRPr="00B20447">
        <w:rPr>
          <w:rFonts w:cstheme="minorHAnsi"/>
          <w:sz w:val="24"/>
          <w:szCs w:val="28"/>
        </w:rPr>
        <w:t>.</w:t>
      </w:r>
    </w:p>
    <w:p w14:paraId="31FB0FCA" w14:textId="77777777" w:rsidR="00C1314F" w:rsidRPr="00B20447" w:rsidRDefault="00C1314F" w:rsidP="00B20447">
      <w:pPr>
        <w:spacing w:after="0" w:line="240" w:lineRule="auto"/>
        <w:jc w:val="both"/>
        <w:rPr>
          <w:rFonts w:cstheme="minorHAnsi"/>
          <w:b/>
          <w:sz w:val="24"/>
          <w:szCs w:val="28"/>
        </w:rPr>
      </w:pPr>
    </w:p>
    <w:p w14:paraId="3A25EC16" w14:textId="11826C2A" w:rsidR="00B20447" w:rsidRDefault="00B20447" w:rsidP="00B20447">
      <w:pPr>
        <w:spacing w:after="0" w:line="240" w:lineRule="auto"/>
        <w:jc w:val="both"/>
        <w:rPr>
          <w:rFonts w:cstheme="minorHAnsi"/>
          <w:sz w:val="24"/>
          <w:szCs w:val="28"/>
        </w:rPr>
      </w:pPr>
      <w:r w:rsidRPr="00B20447">
        <w:rPr>
          <w:rFonts w:cstheme="minorHAnsi"/>
          <w:sz w:val="24"/>
          <w:szCs w:val="28"/>
        </w:rPr>
        <w:t xml:space="preserve">W przypadku złożenia (wysłania) poprawionej wersji wniosku o dofinansowanie projektu </w:t>
      </w:r>
      <w:r w:rsidR="002A644F">
        <w:rPr>
          <w:rFonts w:cstheme="minorHAnsi"/>
          <w:sz w:val="24"/>
          <w:szCs w:val="28"/>
        </w:rPr>
        <w:br/>
      </w:r>
      <w:r w:rsidRPr="00B20447">
        <w:rPr>
          <w:rFonts w:cstheme="minorHAnsi"/>
          <w:sz w:val="24"/>
          <w:szCs w:val="28"/>
        </w:rPr>
        <w:t>w aplikacji Generator Wniosków o dofinansowanie EFRR po terminie wskazanym przez IOK, wniosek pozostawia się bez rozpatrzenia.</w:t>
      </w:r>
    </w:p>
    <w:p w14:paraId="4E438246" w14:textId="77777777" w:rsidR="00C1314F" w:rsidRPr="00B20447" w:rsidRDefault="00C1314F" w:rsidP="00B20447">
      <w:pPr>
        <w:spacing w:after="0" w:line="240" w:lineRule="auto"/>
        <w:jc w:val="both"/>
        <w:rPr>
          <w:rFonts w:cstheme="minorHAnsi"/>
          <w:sz w:val="24"/>
          <w:szCs w:val="28"/>
        </w:rPr>
      </w:pPr>
    </w:p>
    <w:p w14:paraId="1F186E00" w14:textId="537C4719" w:rsidR="003A5C65" w:rsidRPr="00B82B56" w:rsidRDefault="00C1314F" w:rsidP="003A5C65">
      <w:pPr>
        <w:spacing w:after="0" w:line="240" w:lineRule="auto"/>
        <w:jc w:val="both"/>
        <w:rPr>
          <w:rFonts w:cstheme="minorHAnsi"/>
          <w:sz w:val="24"/>
          <w:szCs w:val="24"/>
        </w:rPr>
      </w:pPr>
      <w:r w:rsidRPr="00C1314F">
        <w:rPr>
          <w:rFonts w:cstheme="minorHAnsi"/>
          <w:sz w:val="24"/>
          <w:szCs w:val="24"/>
        </w:rPr>
        <w:t xml:space="preserve">Złożenie poprawionej wersji wniosku o dofinansowanie w Generatorze Wniosków </w:t>
      </w:r>
      <w:r w:rsidR="002A644F">
        <w:rPr>
          <w:rFonts w:cstheme="minorHAnsi"/>
          <w:sz w:val="24"/>
          <w:szCs w:val="24"/>
        </w:rPr>
        <w:br/>
      </w:r>
      <w:r w:rsidRPr="00C1314F">
        <w:rPr>
          <w:rFonts w:cstheme="minorHAnsi"/>
          <w:sz w:val="24"/>
          <w:szCs w:val="24"/>
        </w:rPr>
        <w:t>o dofinansowanie EFRR oznacza potwierdzenie zgodności wskazanej w nim treści, w szczególności oświadczeń zawartych w dokumencie (i załącznikach, które stanowią jego integralną część) ze stanem faktycznym.</w:t>
      </w:r>
    </w:p>
    <w:p w14:paraId="0740ADAD" w14:textId="77777777" w:rsidR="003A5C65" w:rsidRPr="00B82B56" w:rsidRDefault="003A5C65" w:rsidP="003A5C65">
      <w:pPr>
        <w:spacing w:after="0" w:line="240" w:lineRule="auto"/>
        <w:jc w:val="both"/>
        <w:rPr>
          <w:rFonts w:cstheme="minorHAnsi"/>
          <w:sz w:val="24"/>
          <w:szCs w:val="24"/>
        </w:rPr>
      </w:pPr>
    </w:p>
    <w:p w14:paraId="575377C0"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3A5C65">
      <w:pPr>
        <w:spacing w:after="0" w:line="240" w:lineRule="auto"/>
        <w:jc w:val="both"/>
        <w:rPr>
          <w:rFonts w:cstheme="minorHAnsi"/>
          <w:sz w:val="24"/>
          <w:szCs w:val="24"/>
          <w:highlight w:val="lightGray"/>
        </w:rPr>
      </w:pPr>
    </w:p>
    <w:p w14:paraId="1F176657" w14:textId="77777777" w:rsidR="003A5C65" w:rsidRPr="00B82B56" w:rsidRDefault="003A5C65" w:rsidP="003A5C65">
      <w:pPr>
        <w:spacing w:after="0" w:line="240" w:lineRule="auto"/>
        <w:jc w:val="both"/>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3A5C65">
      <w:pPr>
        <w:pStyle w:val="Akapitzlist"/>
        <w:numPr>
          <w:ilvl w:val="0"/>
          <w:numId w:val="12"/>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3A5C65">
      <w:pPr>
        <w:pStyle w:val="Akapitzlist"/>
        <w:numPr>
          <w:ilvl w:val="0"/>
          <w:numId w:val="12"/>
        </w:numPr>
        <w:spacing w:before="0" w:line="240" w:lineRule="auto"/>
        <w:contextualSpacing/>
        <w:jc w:val="both"/>
        <w:rPr>
          <w:rFonts w:asciiTheme="minorHAnsi" w:hAnsiTheme="minorHAnsi" w:cstheme="minorHAnsi"/>
          <w:sz w:val="24"/>
          <w:szCs w:val="24"/>
        </w:rPr>
      </w:pPr>
      <w:r w:rsidRPr="00B82B56">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bookmarkEnd w:id="15"/>
    <w:p w14:paraId="3501E5FD" w14:textId="77777777" w:rsidR="00705179" w:rsidRPr="00B82B56" w:rsidRDefault="00705179" w:rsidP="00391DF3">
      <w:pPr>
        <w:spacing w:after="0" w:line="240" w:lineRule="auto"/>
        <w:rPr>
          <w:rFonts w:eastAsia="Calibri" w:cs="Times New Roman"/>
          <w:b/>
          <w:sz w:val="24"/>
          <w:szCs w:val="24"/>
        </w:rPr>
      </w:pPr>
    </w:p>
    <w:p w14:paraId="4809C1CF" w14:textId="781521B7" w:rsidR="00705179" w:rsidRPr="00B82B56" w:rsidRDefault="00705179" w:rsidP="00391DF3">
      <w:pPr>
        <w:spacing w:after="0" w:line="240" w:lineRule="auto"/>
        <w:jc w:val="both"/>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391DF3">
      <w:pPr>
        <w:tabs>
          <w:tab w:val="left" w:pos="2835"/>
        </w:tabs>
        <w:spacing w:line="240" w:lineRule="auto"/>
        <w:jc w:val="both"/>
        <w:rPr>
          <w:rFonts w:cstheme="minorHAnsi"/>
          <w:b/>
          <w:bCs/>
          <w:sz w:val="24"/>
          <w:szCs w:val="24"/>
        </w:rPr>
      </w:pPr>
    </w:p>
    <w:p w14:paraId="5542E716" w14:textId="77777777" w:rsidR="009938A4" w:rsidRPr="00B82B56" w:rsidRDefault="00DE0D45" w:rsidP="00391DF3">
      <w:pPr>
        <w:tabs>
          <w:tab w:val="left" w:pos="2835"/>
        </w:tabs>
        <w:spacing w:line="240" w:lineRule="auto"/>
        <w:jc w:val="both"/>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391DF3">
      <w:pPr>
        <w:spacing w:after="0" w:line="240" w:lineRule="auto"/>
        <w:jc w:val="both"/>
        <w:rPr>
          <w:rFonts w:eastAsia="Calibri" w:cs="Calibri"/>
          <w:sz w:val="24"/>
          <w:szCs w:val="24"/>
          <w:lang w:eastAsia="pl-PL"/>
        </w:rPr>
      </w:pPr>
      <w:r w:rsidRPr="00B82B56">
        <w:rPr>
          <w:rFonts w:cstheme="minorHAnsi"/>
          <w:sz w:val="24"/>
          <w:szCs w:val="24"/>
        </w:rPr>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391DF3">
      <w:pPr>
        <w:tabs>
          <w:tab w:val="left" w:pos="2835"/>
        </w:tabs>
        <w:spacing w:line="240" w:lineRule="auto"/>
        <w:jc w:val="both"/>
        <w:rPr>
          <w:rFonts w:cstheme="minorHAnsi"/>
          <w:b/>
          <w:sz w:val="24"/>
          <w:szCs w:val="24"/>
          <w:u w:val="single"/>
        </w:rPr>
      </w:pPr>
    </w:p>
    <w:p w14:paraId="4220EDDD" w14:textId="77777777" w:rsidR="009938A4" w:rsidRPr="00B82B56" w:rsidRDefault="009938A4" w:rsidP="00391DF3">
      <w:pPr>
        <w:tabs>
          <w:tab w:val="left" w:pos="2835"/>
        </w:tabs>
        <w:spacing w:line="240" w:lineRule="auto"/>
        <w:jc w:val="both"/>
        <w:rPr>
          <w:rFonts w:cstheme="minorHAnsi"/>
          <w:b/>
          <w:sz w:val="24"/>
          <w:szCs w:val="24"/>
          <w:u w:val="single"/>
        </w:rPr>
      </w:pPr>
    </w:p>
    <w:p w14:paraId="0451FE89" w14:textId="77777777" w:rsidR="009938A4" w:rsidRPr="00B82B56" w:rsidRDefault="009938A4" w:rsidP="00391DF3">
      <w:pPr>
        <w:tabs>
          <w:tab w:val="left" w:pos="2835"/>
        </w:tabs>
        <w:spacing w:line="240" w:lineRule="auto"/>
        <w:jc w:val="both"/>
        <w:rPr>
          <w:rFonts w:cstheme="minorHAnsi"/>
          <w:b/>
          <w:sz w:val="24"/>
          <w:szCs w:val="24"/>
          <w:u w:val="single"/>
        </w:rPr>
      </w:pPr>
    </w:p>
    <w:p w14:paraId="589E8E5B" w14:textId="77777777" w:rsidR="009938A4" w:rsidRPr="00B82B56" w:rsidRDefault="009938A4" w:rsidP="00391DF3">
      <w:pPr>
        <w:tabs>
          <w:tab w:val="left" w:pos="2835"/>
        </w:tabs>
        <w:spacing w:line="240" w:lineRule="auto"/>
        <w:jc w:val="both"/>
        <w:rPr>
          <w:rFonts w:cstheme="minorHAnsi"/>
          <w:b/>
          <w:sz w:val="24"/>
          <w:szCs w:val="24"/>
          <w:u w:val="single"/>
        </w:rPr>
      </w:pPr>
    </w:p>
    <w:p w14:paraId="55C828ED" w14:textId="77777777" w:rsidR="009938A4" w:rsidRPr="00B82B56" w:rsidRDefault="009938A4" w:rsidP="00391DF3">
      <w:pPr>
        <w:tabs>
          <w:tab w:val="left" w:pos="2835"/>
        </w:tabs>
        <w:spacing w:line="240" w:lineRule="auto"/>
        <w:jc w:val="both"/>
        <w:rPr>
          <w:rFonts w:cstheme="minorHAnsi"/>
          <w:b/>
          <w:sz w:val="24"/>
          <w:szCs w:val="24"/>
          <w:u w:val="single"/>
        </w:rPr>
      </w:pPr>
    </w:p>
    <w:p w14:paraId="7AD6ED34" w14:textId="77777777" w:rsidR="00E770C3" w:rsidRPr="00B82B56" w:rsidRDefault="00E770C3" w:rsidP="00391DF3">
      <w:pPr>
        <w:tabs>
          <w:tab w:val="left" w:pos="1965"/>
        </w:tabs>
        <w:spacing w:line="240" w:lineRule="auto"/>
        <w:jc w:val="both"/>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3C48" w14:textId="77777777" w:rsidR="000B7F80" w:rsidRDefault="000B7F80" w:rsidP="00E873C4">
      <w:pPr>
        <w:spacing w:after="0" w:line="240" w:lineRule="auto"/>
      </w:pPr>
      <w:r>
        <w:separator/>
      </w:r>
    </w:p>
  </w:endnote>
  <w:endnote w:type="continuationSeparator" w:id="0">
    <w:p w14:paraId="736067B9" w14:textId="77777777" w:rsidR="000B7F80" w:rsidRDefault="000B7F8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charset w:val="00"/>
    <w:family w:val="auto"/>
    <w:pitch w:val="variable"/>
    <w:sig w:usb0="800002EF" w:usb1="1000E0FB" w:usb2="00000000" w:usb3="00000000" w:csb0="000000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B222" w14:textId="77777777" w:rsidR="000B7F80" w:rsidRDefault="000B7F80" w:rsidP="00E873C4">
      <w:pPr>
        <w:spacing w:after="0" w:line="240" w:lineRule="auto"/>
      </w:pPr>
      <w:r>
        <w:separator/>
      </w:r>
    </w:p>
  </w:footnote>
  <w:footnote w:type="continuationSeparator" w:id="0">
    <w:p w14:paraId="38796268" w14:textId="77777777" w:rsidR="000B7F80" w:rsidRDefault="000B7F80"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0"/>
  </w:num>
  <w:num w:numId="5">
    <w:abstractNumId w:val="16"/>
  </w:num>
  <w:num w:numId="6">
    <w:abstractNumId w:val="3"/>
  </w:num>
  <w:num w:numId="7">
    <w:abstractNumId w:val="13"/>
  </w:num>
  <w:num w:numId="8">
    <w:abstractNumId w:val="20"/>
  </w:num>
  <w:num w:numId="9">
    <w:abstractNumId w:val="10"/>
  </w:num>
  <w:num w:numId="10">
    <w:abstractNumId w:val="19"/>
  </w:num>
  <w:num w:numId="11">
    <w:abstractNumId w:val="8"/>
  </w:num>
  <w:num w:numId="12">
    <w:abstractNumId w:val="4"/>
  </w:num>
  <w:num w:numId="13">
    <w:abstractNumId w:val="5"/>
  </w:num>
  <w:num w:numId="14">
    <w:abstractNumId w:val="21"/>
  </w:num>
  <w:num w:numId="15">
    <w:abstractNumId w:val="12"/>
  </w:num>
  <w:num w:numId="16">
    <w:abstractNumId w:val="9"/>
  </w:num>
  <w:num w:numId="17">
    <w:abstractNumId w:val="1"/>
  </w:num>
  <w:num w:numId="18">
    <w:abstractNumId w:val="11"/>
  </w:num>
  <w:num w:numId="19">
    <w:abstractNumId w:val="7"/>
  </w:num>
  <w:num w:numId="20">
    <w:abstractNumId w:val="18"/>
  </w:num>
  <w:num w:numId="21">
    <w:abstractNumId w:val="15"/>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579"/>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85C19"/>
    <w:rsid w:val="000A2DAC"/>
    <w:rsid w:val="000A59C8"/>
    <w:rsid w:val="000A5A8B"/>
    <w:rsid w:val="000B2479"/>
    <w:rsid w:val="000B7F80"/>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C7658"/>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66C86"/>
    <w:rsid w:val="002771D8"/>
    <w:rsid w:val="002777A2"/>
    <w:rsid w:val="0028267C"/>
    <w:rsid w:val="00282A69"/>
    <w:rsid w:val="00284BCE"/>
    <w:rsid w:val="002872B3"/>
    <w:rsid w:val="00292030"/>
    <w:rsid w:val="002A02F4"/>
    <w:rsid w:val="002A2FAD"/>
    <w:rsid w:val="002A3C72"/>
    <w:rsid w:val="002A644F"/>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16AB8"/>
    <w:rsid w:val="00320901"/>
    <w:rsid w:val="0032333D"/>
    <w:rsid w:val="00331136"/>
    <w:rsid w:val="003317C6"/>
    <w:rsid w:val="00331C42"/>
    <w:rsid w:val="0034165B"/>
    <w:rsid w:val="00341F0C"/>
    <w:rsid w:val="00343298"/>
    <w:rsid w:val="00344EF4"/>
    <w:rsid w:val="003451EF"/>
    <w:rsid w:val="003560EF"/>
    <w:rsid w:val="003569D4"/>
    <w:rsid w:val="0036009F"/>
    <w:rsid w:val="00364F8A"/>
    <w:rsid w:val="0037264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A3E40"/>
    <w:rsid w:val="004B0B50"/>
    <w:rsid w:val="004B2196"/>
    <w:rsid w:val="004B2AC2"/>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B51"/>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766AC"/>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56FA"/>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00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38F5"/>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57E43"/>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4A8E"/>
    <w:rsid w:val="009553C5"/>
    <w:rsid w:val="00956C47"/>
    <w:rsid w:val="00961B8B"/>
    <w:rsid w:val="0096215B"/>
    <w:rsid w:val="0096429D"/>
    <w:rsid w:val="00964F81"/>
    <w:rsid w:val="00972D12"/>
    <w:rsid w:val="009750E7"/>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18"/>
    <w:rsid w:val="00AB4FBA"/>
    <w:rsid w:val="00AB5956"/>
    <w:rsid w:val="00AB649E"/>
    <w:rsid w:val="00AC2E88"/>
    <w:rsid w:val="00AC3A62"/>
    <w:rsid w:val="00AC43B1"/>
    <w:rsid w:val="00AD3892"/>
    <w:rsid w:val="00AD417D"/>
    <w:rsid w:val="00AD4A9A"/>
    <w:rsid w:val="00AD4F70"/>
    <w:rsid w:val="00AD6E10"/>
    <w:rsid w:val="00AE05B6"/>
    <w:rsid w:val="00AE0D81"/>
    <w:rsid w:val="00AE18F4"/>
    <w:rsid w:val="00AE3B42"/>
    <w:rsid w:val="00AF086D"/>
    <w:rsid w:val="00AF490F"/>
    <w:rsid w:val="00AF520B"/>
    <w:rsid w:val="00AF6CE9"/>
    <w:rsid w:val="00B047EB"/>
    <w:rsid w:val="00B05ACC"/>
    <w:rsid w:val="00B141D3"/>
    <w:rsid w:val="00B168A1"/>
    <w:rsid w:val="00B16A8E"/>
    <w:rsid w:val="00B203D0"/>
    <w:rsid w:val="00B20447"/>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314F"/>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67CE3"/>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075C"/>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6B3"/>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4B99"/>
    <w:rsid w:val="00E05575"/>
    <w:rsid w:val="00E05670"/>
    <w:rsid w:val="00E10234"/>
    <w:rsid w:val="00E10298"/>
    <w:rsid w:val="00E14EAD"/>
    <w:rsid w:val="00E168BF"/>
    <w:rsid w:val="00E204DA"/>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161C"/>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5D9E"/>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3262-64E4-4C19-A225-71FE560D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6144</Words>
  <Characters>36866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cp:revision>
  <cp:lastPrinted>2020-09-08T09:50:00Z</cp:lastPrinted>
  <dcterms:created xsi:type="dcterms:W3CDTF">2021-11-09T12:53:00Z</dcterms:created>
  <dcterms:modified xsi:type="dcterms:W3CDTF">2021-11-09T12:54:00Z</dcterms:modified>
</cp:coreProperties>
</file>