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10963A9E" w14:textId="77777777" w:rsidR="00AC0B74" w:rsidRPr="00AC0B74" w:rsidRDefault="00AC0B74" w:rsidP="00AC0B74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AC0B74">
        <w:rPr>
          <w:rFonts w:asciiTheme="minorHAnsi" w:hAnsiTheme="minorHAnsi" w:cs="Arial"/>
          <w:b/>
          <w:bCs/>
          <w:sz w:val="22"/>
          <w:szCs w:val="22"/>
        </w:rPr>
        <w:t>Załącznik nr 7</w:t>
      </w:r>
      <w:r w:rsidRPr="00AC0B74">
        <w:rPr>
          <w:rFonts w:asciiTheme="minorHAnsi" w:hAnsiTheme="minorHAnsi" w:cs="Arial"/>
          <w:bCs/>
          <w:sz w:val="22"/>
          <w:szCs w:val="22"/>
        </w:rPr>
        <w:t xml:space="preserve"> DO DECYZJI O DOFINANSOWANIE PROJEKTU W RAMACH </w:t>
      </w:r>
    </w:p>
    <w:p w14:paraId="6E538BD3" w14:textId="77777777" w:rsidR="00AC0B74" w:rsidRPr="00AC0B74" w:rsidRDefault="00AC0B74" w:rsidP="00AC0B74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AC0B74">
        <w:rPr>
          <w:rFonts w:asciiTheme="minorHAnsi" w:hAnsiTheme="minorHAnsi" w:cs="Arial"/>
          <w:bCs/>
          <w:sz w:val="22"/>
          <w:szCs w:val="22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164C6618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835138">
        <w:rPr>
          <w:rFonts w:asciiTheme="minorHAnsi" w:hAnsiTheme="minorHAnsi"/>
          <w:sz w:val="20"/>
          <w:szCs w:val="21"/>
        </w:rPr>
        <w:t>………</w:t>
      </w:r>
    </w:p>
    <w:p w14:paraId="2C9D1CD1" w14:textId="1A278F1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835138">
        <w:rPr>
          <w:rFonts w:asciiTheme="minorHAnsi" w:hAnsiTheme="minorHAnsi"/>
          <w:sz w:val="20"/>
          <w:szCs w:val="21"/>
        </w:rPr>
        <w:t>………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F295C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105F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105F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105F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105F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105F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105F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105FE4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46028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6028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46028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6028E">
        <w:rPr>
          <w:rFonts w:asciiTheme="minorHAnsi" w:hAnsiTheme="minorHAnsi"/>
          <w:i/>
          <w:sz w:val="16"/>
          <w:szCs w:val="20"/>
        </w:rPr>
        <w:t>po</w:t>
      </w:r>
      <w:r w:rsidR="00277B5E" w:rsidRPr="0046028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6028E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105FE4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20714FE4" w:rsidR="00716865" w:rsidRDefault="00105FE4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105FE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30055384" w:rsidR="00716865" w:rsidRPr="00636D98" w:rsidRDefault="00105FE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105FE4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105FE4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105FE4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6954B61F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F80D3F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F80D3F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2BFE4081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D53CD2">
        <w:rPr>
          <w:rFonts w:asciiTheme="minorHAnsi" w:hAnsiTheme="minorHAnsi"/>
          <w:sz w:val="20"/>
          <w:szCs w:val="20"/>
        </w:rPr>
        <w:t>,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zarówno w fazie realizacyjnej jak i operacyjnej</w:t>
      </w:r>
      <w:r w:rsidR="00D53CD2">
        <w:rPr>
          <w:rFonts w:asciiTheme="minorHAnsi" w:hAnsiTheme="minorHAnsi"/>
          <w:sz w:val="20"/>
          <w:szCs w:val="20"/>
        </w:rPr>
        <w:t>,</w:t>
      </w:r>
      <w:r w:rsidR="00241D7B" w:rsidRPr="00241D7B">
        <w:rPr>
          <w:rFonts w:asciiTheme="minorHAnsi" w:hAnsiTheme="minorHAnsi"/>
          <w:sz w:val="20"/>
          <w:szCs w:val="20"/>
        </w:rPr>
        <w:t xml:space="preserve">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3B22915C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F80D3F" w:rsidRPr="00F80D3F">
        <w:rPr>
          <w:rFonts w:asciiTheme="minorHAnsi" w:hAnsiTheme="minorHAnsi"/>
          <w:b/>
          <w:sz w:val="20"/>
          <w:szCs w:val="20"/>
        </w:rPr>
        <w:t xml:space="preserve"> Instytucji Zarządzającej RPO WD 2014-2020 </w:t>
      </w:r>
      <w:r w:rsidR="00C92CE5" w:rsidRPr="00681C4A">
        <w:rPr>
          <w:rFonts w:asciiTheme="minorHAnsi" w:hAnsiTheme="minorHAnsi"/>
          <w:b/>
          <w:sz w:val="20"/>
          <w:szCs w:val="20"/>
        </w:rPr>
        <w:t>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907D82">
        <w:rPr>
          <w:rFonts w:asciiTheme="minorHAnsi" w:hAnsiTheme="minorHAnsi"/>
          <w:b/>
          <w:sz w:val="20"/>
          <w:szCs w:val="20"/>
        </w:rPr>
        <w:t>bądź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 wykorzystującemu do działalności opodatkowanej produkty będące efektem realizacji</w:t>
      </w:r>
      <w:r w:rsidR="007766F1">
        <w:rPr>
          <w:rFonts w:asciiTheme="minorHAnsi" w:hAnsiTheme="minorHAnsi"/>
          <w:b/>
          <w:sz w:val="20"/>
          <w:szCs w:val="20"/>
        </w:rPr>
        <w:t xml:space="preserve"> projektu</w:t>
      </w:r>
      <w:r w:rsidR="00C92CE5" w:rsidRPr="004E5C83">
        <w:rPr>
          <w:rFonts w:asciiTheme="minorHAnsi" w:hAnsiTheme="minorHAnsi"/>
          <w:b/>
          <w:sz w:val="20"/>
          <w:szCs w:val="20"/>
        </w:rPr>
        <w:t>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1CC74D70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</w:t>
            </w:r>
            <w:r w:rsidR="00022A93">
              <w:rPr>
                <w:rFonts w:asciiTheme="minorHAnsi" w:hAnsiTheme="minorHAnsi"/>
                <w:i/>
                <w:sz w:val="14"/>
                <w:szCs w:val="14"/>
              </w:rPr>
              <w:t>Partnera</w:t>
            </w:r>
            <w:r w:rsidR="00022A9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3398" w14:textId="77777777" w:rsidR="001678AD" w:rsidRDefault="001678AD">
      <w:r>
        <w:separator/>
      </w:r>
    </w:p>
  </w:endnote>
  <w:endnote w:type="continuationSeparator" w:id="0">
    <w:p w14:paraId="5F20A98F" w14:textId="77777777" w:rsidR="001678AD" w:rsidRDefault="001678AD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</w:t>
      </w:r>
      <w:r w:rsidRPr="00B21565">
        <w:rPr>
          <w:rFonts w:asciiTheme="minorHAnsi" w:hAnsiTheme="minorHAnsi"/>
          <w:sz w:val="16"/>
          <w:szCs w:val="16"/>
        </w:rPr>
        <w:t>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907D82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907D82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45DF" w14:textId="77777777" w:rsidR="001678AD" w:rsidRDefault="001678AD">
      <w:pPr>
        <w:pStyle w:val="Stopka"/>
      </w:pPr>
    </w:p>
  </w:footnote>
  <w:footnote w:type="continuationSeparator" w:id="0">
    <w:p w14:paraId="7A9671A2" w14:textId="77777777" w:rsidR="001678AD" w:rsidRDefault="001678AD">
      <w:r>
        <w:continuationSeparator/>
      </w:r>
    </w:p>
  </w:footnote>
  <w:footnote w:type="continuationNotice" w:id="1">
    <w:p w14:paraId="221F5E48" w14:textId="77777777" w:rsidR="001678AD" w:rsidRDefault="00167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5FE4"/>
    <w:rsid w:val="00107D89"/>
    <w:rsid w:val="001366B3"/>
    <w:rsid w:val="00164EE6"/>
    <w:rsid w:val="001678AD"/>
    <w:rsid w:val="00170AC5"/>
    <w:rsid w:val="00172FCE"/>
    <w:rsid w:val="00173A8A"/>
    <w:rsid w:val="00183149"/>
    <w:rsid w:val="0019745E"/>
    <w:rsid w:val="001B01DD"/>
    <w:rsid w:val="001C58E5"/>
    <w:rsid w:val="001C7A7C"/>
    <w:rsid w:val="001D3771"/>
    <w:rsid w:val="001D4B82"/>
    <w:rsid w:val="001D6016"/>
    <w:rsid w:val="001D7424"/>
    <w:rsid w:val="001E532A"/>
    <w:rsid w:val="00202420"/>
    <w:rsid w:val="00216F42"/>
    <w:rsid w:val="0022297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6028E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63DF1"/>
    <w:rsid w:val="0077326E"/>
    <w:rsid w:val="007766F1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35138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07D82"/>
    <w:rsid w:val="00910BA5"/>
    <w:rsid w:val="00921205"/>
    <w:rsid w:val="00924764"/>
    <w:rsid w:val="00926CE7"/>
    <w:rsid w:val="00930669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0B74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B5776"/>
    <w:rsid w:val="00CC0619"/>
    <w:rsid w:val="00CC6C05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37A12"/>
    <w:rsid w:val="00D53CD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67E59"/>
    <w:rsid w:val="00F80D3F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889339"/>
  <w15:docId w15:val="{501EEBE3-4139-49C9-A912-869B03A4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5992-1AA4-40EB-8F67-230089CC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7823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2</cp:revision>
  <cp:lastPrinted>2017-10-27T09:36:00Z</cp:lastPrinted>
  <dcterms:created xsi:type="dcterms:W3CDTF">2019-09-11T07:48:00Z</dcterms:created>
  <dcterms:modified xsi:type="dcterms:W3CDTF">2019-09-11T07:48:00Z</dcterms:modified>
</cp:coreProperties>
</file>