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0077CD" w14:textId="24D4C8F6" w:rsidR="00371A00" w:rsidRPr="00047A5C" w:rsidRDefault="00114EA3" w:rsidP="00047A5C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3D1E70">
        <w:rPr>
          <w:rFonts w:asciiTheme="minorHAnsi" w:eastAsia="Times New Roman" w:hAnsiTheme="minorHAnsi" w:cs="Times New Roman"/>
          <w:sz w:val="18"/>
          <w:szCs w:val="18"/>
        </w:rPr>
        <w:t>Załącznik nr 3 do Regulaminu konkurs</w:t>
      </w:r>
      <w:r w:rsidR="00047A5C">
        <w:rPr>
          <w:rFonts w:asciiTheme="minorHAnsi" w:eastAsia="Times New Roman" w:hAnsiTheme="minorHAnsi" w:cs="Times New Roman"/>
          <w:sz w:val="18"/>
          <w:szCs w:val="18"/>
        </w:rPr>
        <w:t>u</w:t>
      </w:r>
      <w:r w:rsidR="00BD6425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047A5C">
        <w:rPr>
          <w:rFonts w:asciiTheme="minorHAnsi" w:eastAsia="Times New Roman" w:hAnsiTheme="minorHAnsi" w:cs="Times New Roman"/>
          <w:sz w:val="18"/>
          <w:szCs w:val="18"/>
        </w:rPr>
        <w:t>n</w:t>
      </w:r>
      <w:r w:rsidR="00371A00" w:rsidRPr="003D1E70">
        <w:rPr>
          <w:rFonts w:asciiTheme="minorHAnsi" w:hAnsiTheme="minorHAnsi"/>
          <w:sz w:val="18"/>
          <w:szCs w:val="18"/>
        </w:rPr>
        <w:t xml:space="preserve">r </w:t>
      </w:r>
      <w:r w:rsidR="000D3AE2" w:rsidRPr="003D1E70">
        <w:rPr>
          <w:sz w:val="18"/>
          <w:szCs w:val="18"/>
        </w:rPr>
        <w:t>RPDS.0</w:t>
      </w:r>
      <w:r w:rsidR="00047A5C">
        <w:rPr>
          <w:sz w:val="18"/>
          <w:szCs w:val="18"/>
        </w:rPr>
        <w:t>3</w:t>
      </w:r>
      <w:r w:rsidR="000D3AE2" w:rsidRPr="003D1E70">
        <w:rPr>
          <w:sz w:val="18"/>
          <w:szCs w:val="18"/>
        </w:rPr>
        <w:t>.0</w:t>
      </w:r>
      <w:r w:rsidR="00047A5C">
        <w:rPr>
          <w:sz w:val="18"/>
          <w:szCs w:val="18"/>
        </w:rPr>
        <w:t>3</w:t>
      </w:r>
      <w:r w:rsidR="000D3AE2" w:rsidRPr="003D1E70">
        <w:rPr>
          <w:sz w:val="18"/>
          <w:szCs w:val="18"/>
        </w:rPr>
        <w:t>.0</w:t>
      </w:r>
      <w:r w:rsidR="00047A5C">
        <w:rPr>
          <w:sz w:val="18"/>
          <w:szCs w:val="18"/>
        </w:rPr>
        <w:t>1</w:t>
      </w:r>
      <w:r w:rsidR="000D3AE2" w:rsidRPr="003D1E70">
        <w:rPr>
          <w:sz w:val="18"/>
          <w:szCs w:val="18"/>
        </w:rPr>
        <w:t>-IZ.00-02-</w:t>
      </w:r>
      <w:r w:rsidR="00047A5C">
        <w:rPr>
          <w:sz w:val="18"/>
          <w:szCs w:val="18"/>
        </w:rPr>
        <w:t>414</w:t>
      </w:r>
      <w:r w:rsidR="000D3AE2" w:rsidRPr="003D1E70">
        <w:rPr>
          <w:sz w:val="18"/>
          <w:szCs w:val="18"/>
        </w:rPr>
        <w:t>/</w:t>
      </w:r>
      <w:r w:rsidR="00047A5C">
        <w:rPr>
          <w:sz w:val="18"/>
          <w:szCs w:val="18"/>
        </w:rPr>
        <w:t>20</w:t>
      </w:r>
    </w:p>
    <w:p w14:paraId="5166C102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E075300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0B7A3B83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A081FB6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4B55493" w14:textId="77777777"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5BB924DE" w14:textId="77777777" w:rsidTr="001249C4">
        <w:tc>
          <w:tcPr>
            <w:tcW w:w="2132" w:type="dxa"/>
            <w:vAlign w:val="center"/>
          </w:tcPr>
          <w:p w14:paraId="6B49B53A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05BA6B75" w14:textId="77777777"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72193544" w14:textId="77777777" w:rsidTr="001249C4">
        <w:tc>
          <w:tcPr>
            <w:tcW w:w="2132" w:type="dxa"/>
            <w:vAlign w:val="center"/>
          </w:tcPr>
          <w:p w14:paraId="68C84FC8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67A9A483" w14:textId="77777777"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14:paraId="4C1D5F53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524E6CBC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DDEC31A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05EF8F05" w14:textId="77777777"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14:paraId="2113C481" w14:textId="77777777" w:rsidTr="006751BC">
        <w:tc>
          <w:tcPr>
            <w:tcW w:w="2132" w:type="dxa"/>
            <w:vAlign w:val="center"/>
          </w:tcPr>
          <w:p w14:paraId="25AE51C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B84CF5C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A8782DB" w14:textId="77777777" w:rsidTr="006751BC">
        <w:tc>
          <w:tcPr>
            <w:tcW w:w="2132" w:type="dxa"/>
            <w:vAlign w:val="center"/>
          </w:tcPr>
          <w:p w14:paraId="0E6658AA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0764366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4772802F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BB3CDF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2BF09435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0EAC5721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3BAA6EB8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4974E7B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049D22DB" w14:textId="77777777" w:rsidTr="001249C4">
        <w:tc>
          <w:tcPr>
            <w:tcW w:w="5959" w:type="dxa"/>
            <w:vAlign w:val="center"/>
          </w:tcPr>
          <w:p w14:paraId="14665EDD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36520BD8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3080CB" w14:textId="77777777" w:rsidTr="001249C4">
        <w:tc>
          <w:tcPr>
            <w:tcW w:w="5959" w:type="dxa"/>
            <w:vAlign w:val="center"/>
          </w:tcPr>
          <w:p w14:paraId="1B4EE6AE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3CF460C0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0DC99376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092AD3B0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7EC52390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B07B4CB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1AFAFE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FB264D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7CF9307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D1230AB" w14:textId="77777777" w:rsidTr="00251685">
        <w:tc>
          <w:tcPr>
            <w:tcW w:w="651" w:type="dxa"/>
            <w:vAlign w:val="center"/>
          </w:tcPr>
          <w:p w14:paraId="6BF23F8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477BED64" w14:textId="77777777"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784EFCF3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94AFE80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10C8E09A" w14:textId="77777777" w:rsidTr="00251685">
        <w:tc>
          <w:tcPr>
            <w:tcW w:w="651" w:type="dxa"/>
            <w:vAlign w:val="center"/>
          </w:tcPr>
          <w:p w14:paraId="5DE1E47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3E077D7B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4065AB01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75E1E9B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055D2195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60DDF5FE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3E32F933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448EF0E5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321AB44" w14:textId="77777777" w:rsidTr="00251685">
        <w:tc>
          <w:tcPr>
            <w:tcW w:w="714" w:type="dxa"/>
            <w:shd w:val="clear" w:color="auto" w:fill="D9D9D9"/>
            <w:vAlign w:val="center"/>
          </w:tcPr>
          <w:p w14:paraId="3ABC5317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5CC6149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BD15B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2CF80D44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06FE3457" w14:textId="77777777" w:rsidTr="00251685">
        <w:tc>
          <w:tcPr>
            <w:tcW w:w="714" w:type="dxa"/>
            <w:vAlign w:val="center"/>
          </w:tcPr>
          <w:p w14:paraId="7DB42711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034BAF71" w14:textId="77777777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099623B2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5FE42C7F" w14:textId="77777777"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14:paraId="4F8BE3E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4B24B4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12AAFC4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3DA5DAF4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1ECD99EF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59A5440E" w14:textId="77777777" w:rsidTr="00251685">
        <w:tc>
          <w:tcPr>
            <w:tcW w:w="714" w:type="dxa"/>
            <w:shd w:val="clear" w:color="auto" w:fill="D9D9D9"/>
            <w:vAlign w:val="center"/>
          </w:tcPr>
          <w:p w14:paraId="509730C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336282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AFBB1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A9F19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3B0E25CA" w14:textId="77777777" w:rsidTr="00251685">
        <w:tc>
          <w:tcPr>
            <w:tcW w:w="714" w:type="dxa"/>
            <w:vAlign w:val="center"/>
          </w:tcPr>
          <w:p w14:paraId="3430BB02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4C83011C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58CE70A7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02C49C93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14:paraId="4BB76814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620955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25D817E9" w14:textId="77777777" w:rsidTr="00251685">
        <w:tc>
          <w:tcPr>
            <w:tcW w:w="714" w:type="dxa"/>
            <w:vAlign w:val="center"/>
          </w:tcPr>
          <w:p w14:paraId="28CC818A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14:paraId="489245BA" w14:textId="77777777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14:paraId="2E89CC0F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7662CF8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0CBD965A" w14:textId="77777777" w:rsidTr="00251685">
        <w:tc>
          <w:tcPr>
            <w:tcW w:w="714" w:type="dxa"/>
            <w:vAlign w:val="center"/>
          </w:tcPr>
          <w:p w14:paraId="6E1A1C2F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14:paraId="7AB82F68" w14:textId="77777777"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14:paraId="06FF9E33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764AFE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6E52494E" w14:textId="77777777" w:rsidTr="00251685">
        <w:tc>
          <w:tcPr>
            <w:tcW w:w="714" w:type="dxa"/>
            <w:vAlign w:val="center"/>
          </w:tcPr>
          <w:p w14:paraId="603DB536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14:paraId="3A5DD380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14:paraId="3C87AB2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BBD758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F4554AA" w14:textId="77777777" w:rsidTr="00251685">
        <w:tc>
          <w:tcPr>
            <w:tcW w:w="714" w:type="dxa"/>
            <w:vAlign w:val="center"/>
          </w:tcPr>
          <w:p w14:paraId="65D314F1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DD7590F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14:paraId="798089C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332CF3E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FFD31C4" w14:textId="77777777" w:rsidTr="00251685">
        <w:tc>
          <w:tcPr>
            <w:tcW w:w="714" w:type="dxa"/>
            <w:vAlign w:val="center"/>
          </w:tcPr>
          <w:p w14:paraId="01CDE11E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14:paraId="5241E9D4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14:paraId="45B4511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198DA58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2E3522F" w14:textId="77777777" w:rsidTr="00251685">
        <w:tc>
          <w:tcPr>
            <w:tcW w:w="714" w:type="dxa"/>
            <w:vAlign w:val="center"/>
          </w:tcPr>
          <w:p w14:paraId="3F6B1733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14:paraId="0A65E80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14:paraId="0284237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51B04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752FFF32" w14:textId="77777777" w:rsidTr="00251685">
        <w:tc>
          <w:tcPr>
            <w:tcW w:w="714" w:type="dxa"/>
            <w:vAlign w:val="center"/>
          </w:tcPr>
          <w:p w14:paraId="55D491C4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14:paraId="56E8EAFD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14:paraId="408BBD2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BE3974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32AF4834" w14:textId="77777777" w:rsidTr="00251685">
        <w:tc>
          <w:tcPr>
            <w:tcW w:w="714" w:type="dxa"/>
            <w:vAlign w:val="center"/>
          </w:tcPr>
          <w:p w14:paraId="4D5E1108" w14:textId="77777777"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14:paraId="2CC04117" w14:textId="77777777"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14:paraId="668DD962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AD9701F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8E3C457" w14:textId="77777777" w:rsidTr="00251685">
        <w:tc>
          <w:tcPr>
            <w:tcW w:w="714" w:type="dxa"/>
            <w:vAlign w:val="center"/>
          </w:tcPr>
          <w:p w14:paraId="0971BEF2" w14:textId="77777777"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14:paraId="6BB70B66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683D3ED0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09FAE06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34F0253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7BD12A49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22503B44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DC368FA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AFE663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0CA3FC8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1BE239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6AC25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053F22E5" w14:textId="77777777" w:rsidTr="00251685">
        <w:tc>
          <w:tcPr>
            <w:tcW w:w="651" w:type="dxa"/>
            <w:vAlign w:val="center"/>
          </w:tcPr>
          <w:p w14:paraId="0C9F20D4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4FBB2EF8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5B05C4A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755E502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622A6243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0F089197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6C5FAE3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3281B8D3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436B6AD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20AC704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1A6EAC4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359C3E5C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461122BE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0D27C24C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22D36CFE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4092045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3F407898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49559F2C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4C83259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275F273A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870A4E8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7CDEB31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472FAAC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A0780A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1D48B8F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068A982A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DFC25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0E062F88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9EBAAFA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10AFFD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20CD600E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E5A260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0370FE0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17BC5093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1EABD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85C3F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2F55150C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2E6BE075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B8EC629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153477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E8AA188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6763B240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76BA24E7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E26A216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0B24FCB0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23CE" w14:textId="77777777" w:rsidR="00B238C9" w:rsidRDefault="00B238C9" w:rsidP="006D1F58">
      <w:r>
        <w:separator/>
      </w:r>
    </w:p>
  </w:endnote>
  <w:endnote w:type="continuationSeparator" w:id="0">
    <w:p w14:paraId="373FC1BE" w14:textId="77777777" w:rsidR="00B238C9" w:rsidRDefault="00B238C9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D25A" w14:textId="77777777" w:rsidR="00B238C9" w:rsidRDefault="00B238C9" w:rsidP="006D1F58">
      <w:r>
        <w:separator/>
      </w:r>
    </w:p>
  </w:footnote>
  <w:footnote w:type="continuationSeparator" w:id="0">
    <w:p w14:paraId="4157CF6D" w14:textId="77777777" w:rsidR="00B238C9" w:rsidRDefault="00B238C9" w:rsidP="006D1F58">
      <w:r>
        <w:continuationSeparator/>
      </w:r>
    </w:p>
  </w:footnote>
  <w:footnote w:id="1">
    <w:p w14:paraId="2EEEB671" w14:textId="2C290D55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F01798">
        <w:t xml:space="preserve">może być </w:t>
      </w:r>
      <w:r>
        <w:t>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959A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B5947" wp14:editId="557CC718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72"/>
    <w:rsid w:val="00047A5C"/>
    <w:rsid w:val="00091581"/>
    <w:rsid w:val="000B6B92"/>
    <w:rsid w:val="000D3AE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D1E7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7A3DE8"/>
    <w:rsid w:val="00801292"/>
    <w:rsid w:val="00832BC5"/>
    <w:rsid w:val="008653E4"/>
    <w:rsid w:val="00896978"/>
    <w:rsid w:val="008B38B8"/>
    <w:rsid w:val="008D3903"/>
    <w:rsid w:val="008D7A9C"/>
    <w:rsid w:val="008E060A"/>
    <w:rsid w:val="009256DE"/>
    <w:rsid w:val="009420BB"/>
    <w:rsid w:val="00945179"/>
    <w:rsid w:val="009F209E"/>
    <w:rsid w:val="00A04B17"/>
    <w:rsid w:val="00A172FC"/>
    <w:rsid w:val="00A3645B"/>
    <w:rsid w:val="00A46DA2"/>
    <w:rsid w:val="00AC30DD"/>
    <w:rsid w:val="00AD1490"/>
    <w:rsid w:val="00AE6B71"/>
    <w:rsid w:val="00AF6F54"/>
    <w:rsid w:val="00B238C9"/>
    <w:rsid w:val="00B37B63"/>
    <w:rsid w:val="00B616CA"/>
    <w:rsid w:val="00BA25BC"/>
    <w:rsid w:val="00BC1CE4"/>
    <w:rsid w:val="00BD6425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01798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9E420"/>
  <w15:docId w15:val="{80F993A4-8978-492B-8526-6F08BF0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9F4-383F-43CF-9D0C-47769ED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Filip Baranowski</cp:lastModifiedBy>
  <cp:revision>4</cp:revision>
  <cp:lastPrinted>2018-07-16T08:38:00Z</cp:lastPrinted>
  <dcterms:created xsi:type="dcterms:W3CDTF">2020-11-30T13:11:00Z</dcterms:created>
  <dcterms:modified xsi:type="dcterms:W3CDTF">2020-12-02T12:52:00Z</dcterms:modified>
</cp:coreProperties>
</file>