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5924B0">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5924B0">
      <w:pPr>
        <w:spacing w:line="240" w:lineRule="auto"/>
        <w:rPr>
          <w:rFonts w:cstheme="minorHAnsi"/>
          <w:b/>
          <w:sz w:val="24"/>
          <w:szCs w:val="24"/>
        </w:rPr>
      </w:pPr>
    </w:p>
    <w:p w14:paraId="47A68890" w14:textId="77777777" w:rsidR="00705179" w:rsidRDefault="00705179" w:rsidP="005924B0">
      <w:pPr>
        <w:autoSpaceDE w:val="0"/>
        <w:spacing w:line="240" w:lineRule="auto"/>
        <w:contextualSpacing/>
        <w:rPr>
          <w:rFonts w:cstheme="minorHAnsi"/>
          <w:b/>
          <w:sz w:val="28"/>
          <w:szCs w:val="28"/>
        </w:rPr>
      </w:pPr>
    </w:p>
    <w:p w14:paraId="36577346" w14:textId="36C8926F" w:rsidR="0087487C" w:rsidRDefault="00104A3E" w:rsidP="005924B0">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5924B0">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5924B0">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5924B0">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5924B0">
      <w:pPr>
        <w:spacing w:before="240" w:after="0" w:line="240" w:lineRule="auto"/>
        <w:rPr>
          <w:rFonts w:cstheme="minorHAnsi"/>
          <w:b/>
          <w:sz w:val="24"/>
          <w:szCs w:val="24"/>
        </w:rPr>
      </w:pPr>
    </w:p>
    <w:p w14:paraId="76FBAB66" w14:textId="2FEB4F15" w:rsidR="0087487C" w:rsidRDefault="0087487C" w:rsidP="005924B0">
      <w:pPr>
        <w:spacing w:before="240" w:after="0" w:line="240" w:lineRule="auto"/>
        <w:rPr>
          <w:rFonts w:cstheme="minorHAnsi"/>
          <w:b/>
          <w:sz w:val="24"/>
          <w:szCs w:val="24"/>
        </w:rPr>
      </w:pPr>
    </w:p>
    <w:p w14:paraId="7145A92D" w14:textId="77777777" w:rsidR="0087487C" w:rsidRDefault="0087487C" w:rsidP="005924B0">
      <w:pPr>
        <w:spacing w:before="240" w:after="0" w:line="240" w:lineRule="auto"/>
        <w:rPr>
          <w:rFonts w:cstheme="minorHAnsi"/>
          <w:b/>
          <w:sz w:val="24"/>
          <w:szCs w:val="24"/>
        </w:rPr>
      </w:pPr>
    </w:p>
    <w:p w14:paraId="4DFC2BA1" w14:textId="77777777" w:rsidR="001703AB" w:rsidRPr="00A9610B" w:rsidRDefault="001703AB" w:rsidP="005924B0">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1" w:name="_Hlk50469307"/>
      <w:r w:rsidRPr="00A9610B">
        <w:rPr>
          <w:rFonts w:cs="Arial"/>
          <w:b/>
          <w:color w:val="000000" w:themeColor="text1"/>
          <w:sz w:val="32"/>
          <w:szCs w:val="32"/>
        </w:rPr>
        <w:t>Gospodarka niskoemisyjna</w:t>
      </w:r>
    </w:p>
    <w:p w14:paraId="5E22A504" w14:textId="77777777" w:rsidR="001703AB" w:rsidRPr="003D632A" w:rsidRDefault="001703AB" w:rsidP="005924B0">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1"/>
    <w:p w14:paraId="72216903" w14:textId="3E3632A9" w:rsidR="001703AB" w:rsidRPr="003D632A" w:rsidRDefault="001703AB" w:rsidP="005924B0">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5924B0">
      <w:pPr>
        <w:pStyle w:val="Nagwek"/>
        <w:rPr>
          <w:rFonts w:cstheme="minorHAnsi"/>
          <w:b/>
          <w:szCs w:val="24"/>
        </w:rPr>
      </w:pPr>
    </w:p>
    <w:p w14:paraId="5FD5BD40" w14:textId="77777777" w:rsidR="0087487C" w:rsidRDefault="0087487C" w:rsidP="005924B0">
      <w:pPr>
        <w:pStyle w:val="Nagwek"/>
        <w:rPr>
          <w:rFonts w:cstheme="minorHAnsi"/>
          <w:b/>
          <w:szCs w:val="24"/>
        </w:rPr>
      </w:pPr>
    </w:p>
    <w:p w14:paraId="25CA1EF6" w14:textId="77777777" w:rsidR="0087487C" w:rsidRDefault="0087487C" w:rsidP="005924B0">
      <w:pPr>
        <w:pStyle w:val="Nagwek"/>
        <w:rPr>
          <w:rFonts w:cstheme="minorHAnsi"/>
          <w:b/>
          <w:szCs w:val="24"/>
        </w:rPr>
      </w:pPr>
    </w:p>
    <w:p w14:paraId="49B725E4" w14:textId="2300A20C" w:rsidR="00381EA1" w:rsidRDefault="001703AB" w:rsidP="005924B0">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5924B0">
      <w:pPr>
        <w:spacing w:after="0" w:line="240" w:lineRule="auto"/>
        <w:rPr>
          <w:rFonts w:cs="Arial"/>
          <w:b/>
          <w:sz w:val="24"/>
          <w:szCs w:val="24"/>
        </w:rPr>
      </w:pPr>
    </w:p>
    <w:p w14:paraId="4CAEE3BE" w14:textId="77777777" w:rsidR="00410269" w:rsidRPr="001703AB" w:rsidRDefault="00410269" w:rsidP="005924B0">
      <w:pPr>
        <w:spacing w:after="0" w:line="240" w:lineRule="auto"/>
        <w:rPr>
          <w:rFonts w:cstheme="minorHAnsi"/>
          <w:b/>
          <w:sz w:val="24"/>
          <w:szCs w:val="24"/>
        </w:rPr>
      </w:pPr>
    </w:p>
    <w:p w14:paraId="12358900" w14:textId="4E645EB0" w:rsidR="00381EA1" w:rsidRPr="001703AB" w:rsidRDefault="001703AB" w:rsidP="005924B0">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5924B0">
      <w:pPr>
        <w:spacing w:after="0" w:line="240" w:lineRule="auto"/>
        <w:rPr>
          <w:rFonts w:cstheme="minorHAnsi"/>
          <w:sz w:val="24"/>
          <w:szCs w:val="24"/>
        </w:rPr>
      </w:pPr>
    </w:p>
    <w:p w14:paraId="75815E7C" w14:textId="6CC7FA56" w:rsidR="0087487C" w:rsidRDefault="0087487C" w:rsidP="005924B0">
      <w:pPr>
        <w:spacing w:after="0" w:line="240" w:lineRule="auto"/>
        <w:rPr>
          <w:rFonts w:cstheme="minorHAnsi"/>
          <w:sz w:val="24"/>
          <w:szCs w:val="24"/>
        </w:rPr>
      </w:pPr>
    </w:p>
    <w:p w14:paraId="4EDB9F6A" w14:textId="5A7F8E2E" w:rsidR="000108F4" w:rsidRDefault="000108F4" w:rsidP="005924B0">
      <w:pPr>
        <w:spacing w:after="0" w:line="240" w:lineRule="auto"/>
        <w:rPr>
          <w:rFonts w:cstheme="minorHAnsi"/>
          <w:sz w:val="24"/>
          <w:szCs w:val="24"/>
        </w:rPr>
      </w:pPr>
    </w:p>
    <w:p w14:paraId="6A7E7165" w14:textId="0FD1251B" w:rsidR="000108F4" w:rsidRDefault="000108F4" w:rsidP="005924B0">
      <w:pPr>
        <w:spacing w:after="0" w:line="240" w:lineRule="auto"/>
        <w:rPr>
          <w:rFonts w:cstheme="minorHAnsi"/>
          <w:sz w:val="24"/>
          <w:szCs w:val="24"/>
        </w:rPr>
      </w:pPr>
    </w:p>
    <w:p w14:paraId="6589487C" w14:textId="5EAEA86B" w:rsidR="000108F4" w:rsidRDefault="000108F4" w:rsidP="005924B0">
      <w:pPr>
        <w:spacing w:after="0" w:line="240" w:lineRule="auto"/>
        <w:rPr>
          <w:rFonts w:cstheme="minorHAnsi"/>
          <w:sz w:val="24"/>
          <w:szCs w:val="24"/>
        </w:rPr>
      </w:pPr>
    </w:p>
    <w:p w14:paraId="6D7FF5DF" w14:textId="61086685" w:rsidR="000108F4" w:rsidRDefault="000108F4" w:rsidP="005924B0">
      <w:pPr>
        <w:spacing w:after="0" w:line="240" w:lineRule="auto"/>
        <w:rPr>
          <w:rFonts w:cstheme="minorHAnsi"/>
          <w:sz w:val="24"/>
          <w:szCs w:val="24"/>
        </w:rPr>
      </w:pPr>
    </w:p>
    <w:p w14:paraId="1A51D58F" w14:textId="507A8F3D" w:rsidR="000108F4" w:rsidRDefault="000108F4" w:rsidP="005924B0">
      <w:pPr>
        <w:spacing w:after="0" w:line="240" w:lineRule="auto"/>
        <w:rPr>
          <w:rFonts w:cstheme="minorHAnsi"/>
          <w:sz w:val="24"/>
          <w:szCs w:val="24"/>
        </w:rPr>
      </w:pPr>
    </w:p>
    <w:p w14:paraId="08D5EB29" w14:textId="11AB28C3" w:rsidR="000108F4" w:rsidRDefault="000108F4" w:rsidP="005924B0">
      <w:pPr>
        <w:spacing w:after="0" w:line="240" w:lineRule="auto"/>
        <w:rPr>
          <w:rFonts w:cstheme="minorHAnsi"/>
          <w:sz w:val="24"/>
          <w:szCs w:val="24"/>
        </w:rPr>
      </w:pPr>
    </w:p>
    <w:p w14:paraId="6E478266" w14:textId="77777777" w:rsidR="000108F4" w:rsidRDefault="000108F4" w:rsidP="005924B0">
      <w:pPr>
        <w:spacing w:after="0" w:line="240" w:lineRule="auto"/>
        <w:rPr>
          <w:rFonts w:cstheme="minorHAnsi"/>
          <w:sz w:val="24"/>
          <w:szCs w:val="24"/>
        </w:rPr>
      </w:pPr>
    </w:p>
    <w:p w14:paraId="2AD5916E" w14:textId="69E2FFEE" w:rsidR="001703AB" w:rsidRDefault="00594CA5" w:rsidP="005924B0">
      <w:pPr>
        <w:spacing w:after="0" w:line="240" w:lineRule="auto"/>
        <w:rPr>
          <w:rFonts w:cstheme="minorHAnsi"/>
          <w:sz w:val="24"/>
          <w:szCs w:val="24"/>
        </w:rPr>
      </w:pPr>
      <w:r w:rsidRPr="00633E1B">
        <w:rPr>
          <w:rFonts w:cstheme="minorHAnsi"/>
          <w:sz w:val="24"/>
          <w:szCs w:val="24"/>
        </w:rPr>
        <w:t xml:space="preserve">Wrocław, </w:t>
      </w:r>
      <w:r w:rsidR="000108F4">
        <w:rPr>
          <w:rFonts w:cstheme="minorHAnsi"/>
          <w:sz w:val="24"/>
          <w:szCs w:val="24"/>
        </w:rPr>
        <w:t>grudz</w:t>
      </w:r>
      <w:r w:rsidR="0087487C">
        <w:rPr>
          <w:rFonts w:cstheme="minorHAnsi"/>
          <w:sz w:val="24"/>
          <w:szCs w:val="24"/>
        </w:rPr>
        <w:t>ień</w:t>
      </w:r>
      <w:r w:rsidR="001666BC">
        <w:rPr>
          <w:rFonts w:cstheme="minorHAnsi"/>
          <w:sz w:val="24"/>
          <w:szCs w:val="24"/>
        </w:rPr>
        <w:t xml:space="preserve">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14:paraId="27CAC0C5" w14:textId="77777777" w:rsidR="001703AB" w:rsidRDefault="001703AB" w:rsidP="005924B0">
      <w:pPr>
        <w:spacing w:line="240" w:lineRule="auto"/>
        <w:rPr>
          <w:rFonts w:cstheme="minorHAnsi"/>
          <w:sz w:val="24"/>
          <w:szCs w:val="24"/>
        </w:rPr>
      </w:pPr>
      <w:r>
        <w:rPr>
          <w:rFonts w:cstheme="minorHAnsi"/>
          <w:sz w:val="24"/>
          <w:szCs w:val="24"/>
        </w:rPr>
        <w:br w:type="page"/>
      </w:r>
    </w:p>
    <w:p w14:paraId="02310A57" w14:textId="77777777" w:rsidR="001666BC" w:rsidRDefault="001666BC" w:rsidP="005924B0">
      <w:pPr>
        <w:spacing w:after="0" w:line="240" w:lineRule="auto"/>
        <w:rPr>
          <w:rFonts w:cstheme="minorHAnsi"/>
          <w:sz w:val="24"/>
          <w:szCs w:val="24"/>
        </w:rPr>
      </w:pPr>
    </w:p>
    <w:p w14:paraId="414A3981" w14:textId="77777777" w:rsidR="009938A4" w:rsidRPr="00633E1B" w:rsidRDefault="001F3778" w:rsidP="005924B0">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5924B0">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5924B0">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0"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1"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5924B0">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5924B0">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5924B0">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5924B0">
      <w:pPr>
        <w:tabs>
          <w:tab w:val="left" w:pos="2835"/>
        </w:tabs>
        <w:spacing w:line="24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5924B0">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5924B0">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5924B0">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5924B0">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5924B0">
      <w:pPr>
        <w:spacing w:after="0" w:line="240" w:lineRule="auto"/>
        <w:rPr>
          <w:rFonts w:cstheme="minorHAnsi"/>
          <w:sz w:val="24"/>
          <w:szCs w:val="24"/>
        </w:rPr>
      </w:pPr>
    </w:p>
    <w:p w14:paraId="42D2763A" w14:textId="77777777" w:rsidR="00B527B4" w:rsidRPr="00B527B4" w:rsidRDefault="00B527B4" w:rsidP="005924B0">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5924B0">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65287C85" w:rsidR="00381EA1" w:rsidRPr="00B527B4" w:rsidRDefault="00B527B4" w:rsidP="005924B0">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  58-500 Jelenia Góra.</w:t>
      </w:r>
    </w:p>
    <w:p w14:paraId="0A845F4F" w14:textId="77777777" w:rsidR="00FC4FAD" w:rsidRDefault="00FC4FAD" w:rsidP="005924B0">
      <w:pPr>
        <w:tabs>
          <w:tab w:val="left" w:pos="2835"/>
        </w:tabs>
        <w:spacing w:line="240" w:lineRule="auto"/>
        <w:rPr>
          <w:rFonts w:cstheme="minorHAnsi"/>
          <w:b/>
          <w:bCs/>
          <w:sz w:val="24"/>
          <w:szCs w:val="24"/>
        </w:rPr>
      </w:pPr>
    </w:p>
    <w:p w14:paraId="0E8439B5" w14:textId="57239127" w:rsidR="009938A4" w:rsidRPr="00633E1B" w:rsidRDefault="001F3778" w:rsidP="005924B0">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4694E505" w:rsidR="001703AB" w:rsidRPr="001703AB" w:rsidRDefault="001703AB" w:rsidP="005924B0">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  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6F25AC9F" w14:textId="77777777" w:rsidR="00B527B4" w:rsidRPr="00B527B4" w:rsidRDefault="00B527B4" w:rsidP="005924B0">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  wskazane w art. 2 ustawy z dnia 14 grudnia 2016 r. Prawo oświatowe.</w:t>
      </w:r>
    </w:p>
    <w:p w14:paraId="135C3C7C" w14:textId="77777777" w:rsidR="00B527B4" w:rsidRPr="00B527B4" w:rsidRDefault="00B527B4" w:rsidP="005924B0">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5924B0">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5924B0">
      <w:pPr>
        <w:autoSpaceDE w:val="0"/>
        <w:autoSpaceDN w:val="0"/>
        <w:adjustRightInd w:val="0"/>
        <w:spacing w:before="240" w:after="0" w:line="240" w:lineRule="auto"/>
        <w:rPr>
          <w:rFonts w:cstheme="minorHAnsi"/>
          <w:sz w:val="24"/>
          <w:szCs w:val="28"/>
        </w:rPr>
      </w:pPr>
    </w:p>
    <w:p w14:paraId="7C2E1B0B" w14:textId="77777777" w:rsidR="001703AB" w:rsidRPr="00374DCB" w:rsidRDefault="001703AB" w:rsidP="005924B0">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p>
    <w:p w14:paraId="0FD07FFE" w14:textId="77777777"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okna (np. rolety, żaluzje) – tzw. komponent termomodernizacyjny;</w:t>
      </w:r>
    </w:p>
    <w:p w14:paraId="4CCAE4A7" w14:textId="77777777"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w:t>
      </w:r>
      <w:r w:rsidRPr="00374DCB">
        <w:rPr>
          <w:rFonts w:asciiTheme="minorHAnsi" w:hAnsiTheme="minorHAnsi" w:cstheme="minorHAnsi"/>
          <w:sz w:val="24"/>
          <w:szCs w:val="24"/>
        </w:rPr>
        <w:lastRenderedPageBreak/>
        <w:t>źródła ciepła i ewentualna modernizacja systemu ogrzewania powinna być realizowana poza projektem). Dotychczasowe źródło ciepła może być również zastąpione źródłem (-</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77777777"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374DCB" w:rsidRDefault="001703AB" w:rsidP="005924B0">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Nowoinstalowane</w:t>
      </w:r>
      <w:proofErr w:type="spellEnd"/>
      <w:r w:rsidRPr="00374DCB">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Default="003A13EB" w:rsidP="005924B0">
      <w:pPr>
        <w:autoSpaceDE w:val="0"/>
        <w:autoSpaceDN w:val="0"/>
        <w:adjustRightInd w:val="0"/>
        <w:spacing w:line="240" w:lineRule="auto"/>
        <w:rPr>
          <w:rFonts w:cstheme="minorHAnsi"/>
          <w:sz w:val="24"/>
          <w:szCs w:val="24"/>
        </w:rPr>
      </w:pPr>
    </w:p>
    <w:p w14:paraId="2E19310D" w14:textId="5401EFA5"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Pr="001703AB">
        <w:rPr>
          <w:rFonts w:cstheme="minorHAnsi"/>
          <w:sz w:val="24"/>
          <w:szCs w:val="24"/>
        </w:rPr>
        <w:lastRenderedPageBreak/>
        <w:t>(także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W przypadku budynków o podwójnej funkcji, np. współdzielonych przez szkołę i urząd, kwalifikowalne są wydatki przypadające wyłącznie na część szkolną (należy wyliczyć je proporcją w związku z zajmowaną powierzchnią użytkową. Wyjątek stanowią wydatki na promocję projektu, do których nie stosuje się podziału proporcją).</w:t>
      </w:r>
    </w:p>
    <w:p w14:paraId="073928F8" w14:textId="3542F4FC" w:rsidR="009B6486" w:rsidRPr="009B6486" w:rsidRDefault="001703AB" w:rsidP="005924B0">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Nie jest możliwa termomodernizacja budynków zdewastowanych i/lub znajdujących się w stanie technicznym, który uniemożliwia sporządzenie audytu energetycznego zgodnie z metodologią wskazaną w:</w:t>
      </w:r>
    </w:p>
    <w:p w14:paraId="36E55F47" w14:textId="0A38FCB1" w:rsidR="009B6486" w:rsidRPr="009B6486" w:rsidRDefault="009B6486" w:rsidP="005924B0">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5924B0">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5924B0">
      <w:pPr>
        <w:autoSpaceDE w:val="0"/>
        <w:autoSpaceDN w:val="0"/>
        <w:adjustRightInd w:val="0"/>
        <w:spacing w:line="240" w:lineRule="auto"/>
        <w:rPr>
          <w:rFonts w:cstheme="minorHAnsi"/>
          <w:sz w:val="24"/>
          <w:szCs w:val="24"/>
        </w:rPr>
      </w:pPr>
    </w:p>
    <w:p w14:paraId="133B3204"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77777777" w:rsidR="001703AB" w:rsidRPr="001703AB" w:rsidRDefault="001703AB" w:rsidP="005924B0">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  środki  wsparcia.</w:t>
      </w:r>
    </w:p>
    <w:p w14:paraId="108FC44F"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BEC17C9"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Wszystkie przedsięwzięcia muszą uwzględniać konieczność dostosowania infrastruktury </w:t>
      </w:r>
      <w:r w:rsidR="004B6B85">
        <w:rPr>
          <w:rFonts w:cstheme="minorHAnsi"/>
          <w:sz w:val="24"/>
          <w:szCs w:val="24"/>
        </w:rPr>
        <w:br/>
      </w:r>
      <w:r w:rsidRPr="001703AB">
        <w:rPr>
          <w:rFonts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4B6B85">
        <w:rPr>
          <w:rFonts w:cstheme="minorHAnsi"/>
          <w:sz w:val="24"/>
          <w:szCs w:val="24"/>
        </w:rPr>
        <w:br/>
      </w:r>
      <w:r w:rsidRPr="001703AB">
        <w:rPr>
          <w:rFonts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2EAD3908"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4B6B85">
        <w:rPr>
          <w:rFonts w:cstheme="minorHAnsi"/>
          <w:sz w:val="24"/>
          <w:szCs w:val="24"/>
        </w:rPr>
        <w:br/>
      </w:r>
      <w:r w:rsidRPr="001703AB">
        <w:rPr>
          <w:rFonts w:cstheme="minorHAnsi"/>
          <w:sz w:val="24"/>
          <w:szCs w:val="24"/>
        </w:rPr>
        <w:t xml:space="preserve">z niepełnosprawnościami strona internetowa. Nie zwalnia to jednak Wnioskodawcy </w:t>
      </w:r>
      <w:r w:rsidR="004B6B85">
        <w:rPr>
          <w:rFonts w:cstheme="minorHAnsi"/>
          <w:sz w:val="24"/>
          <w:szCs w:val="24"/>
        </w:rPr>
        <w:br/>
      </w:r>
      <w:r w:rsidRPr="001703AB">
        <w:rPr>
          <w:rFonts w:cstheme="minorHAnsi"/>
          <w:sz w:val="24"/>
          <w:szCs w:val="24"/>
        </w:rPr>
        <w:t xml:space="preserve">z konieczności dostosowania infrastruktury i wyposażenia do potrzeb osób </w:t>
      </w:r>
      <w:r w:rsidR="004B6B85">
        <w:rPr>
          <w:rFonts w:cstheme="minorHAnsi"/>
          <w:sz w:val="24"/>
          <w:szCs w:val="24"/>
        </w:rPr>
        <w:br/>
      </w:r>
      <w:r w:rsidRPr="001703AB">
        <w:rPr>
          <w:rFonts w:cstheme="minorHAnsi"/>
          <w:sz w:val="24"/>
          <w:szCs w:val="24"/>
        </w:rPr>
        <w:t xml:space="preserve">z niepełnosprawnościami. </w:t>
      </w:r>
    </w:p>
    <w:p w14:paraId="4815EFF0" w14:textId="4671AA38"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Wypełniając wniosek o dofinansowanie, należy zapoznać się z zapisami „Wytycznych w zakresie realizacji zasady równości szans i niedyskryminacji, w tym dostępności dla osób </w:t>
      </w:r>
      <w:r w:rsidR="004B6B85">
        <w:rPr>
          <w:rFonts w:cstheme="minorHAnsi"/>
          <w:sz w:val="24"/>
          <w:szCs w:val="24"/>
        </w:rPr>
        <w:br/>
      </w:r>
      <w:r w:rsidRPr="001703AB">
        <w:rPr>
          <w:rFonts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2752CD2C"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w:t>
      </w:r>
      <w:r w:rsidR="004B6B85">
        <w:rPr>
          <w:rFonts w:cstheme="minorHAnsi"/>
          <w:sz w:val="24"/>
          <w:szCs w:val="24"/>
        </w:rPr>
        <w:br/>
      </w:r>
      <w:r w:rsidRPr="001703AB">
        <w:rPr>
          <w:rFonts w:cstheme="minorHAnsi"/>
          <w:sz w:val="24"/>
          <w:szCs w:val="24"/>
        </w:rPr>
        <w:t xml:space="preserve">2 do „Wytycznych w zakresie równości szans i niedyskryminacji, w tym dostępności dla osób </w:t>
      </w:r>
      <w:r w:rsidR="004B6B85">
        <w:rPr>
          <w:rFonts w:cstheme="minorHAnsi"/>
          <w:sz w:val="24"/>
          <w:szCs w:val="24"/>
        </w:rPr>
        <w:br/>
      </w:r>
      <w:r w:rsidRPr="001703AB">
        <w:rPr>
          <w:rFonts w:cstheme="minorHAnsi"/>
          <w:sz w:val="24"/>
          <w:szCs w:val="24"/>
        </w:rPr>
        <w:t>z niepełnosprawnościami oraz zasady równości szans kobiet i mężczyzn w ramach funduszy unijnych na lata 2014-2020”.</w:t>
      </w:r>
    </w:p>
    <w:p w14:paraId="54E62473" w14:textId="77777777" w:rsidR="001703AB" w:rsidRPr="001703AB" w:rsidRDefault="001703AB" w:rsidP="005924B0">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5924B0">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5924B0">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2" w:name="_Toc18957531"/>
      <w:r w:rsidR="001D710F" w:rsidRPr="00633E1B">
        <w:rPr>
          <w:rFonts w:cstheme="minorHAnsi"/>
          <w:b/>
          <w:sz w:val="24"/>
          <w:szCs w:val="24"/>
        </w:rPr>
        <w:t>Typy Wnioskodawców/Beneficjentów oraz Partnerów</w:t>
      </w:r>
      <w:bookmarkEnd w:id="2"/>
      <w:r w:rsidR="009938A4" w:rsidRPr="00633E1B">
        <w:rPr>
          <w:rFonts w:cstheme="minorHAnsi"/>
          <w:b/>
          <w:bCs/>
          <w:sz w:val="24"/>
          <w:szCs w:val="24"/>
        </w:rPr>
        <w:t xml:space="preserve">: </w:t>
      </w:r>
    </w:p>
    <w:p w14:paraId="098917F0" w14:textId="77777777" w:rsidR="001431DC" w:rsidRPr="001431DC" w:rsidRDefault="001431DC" w:rsidP="005924B0">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3"/>
    </w:p>
    <w:p w14:paraId="6B67FF11" w14:textId="77777777" w:rsidR="001431DC" w:rsidRPr="001431DC" w:rsidRDefault="001431DC" w:rsidP="005924B0">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5924B0">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5924B0">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lastRenderedPageBreak/>
        <w:t xml:space="preserve">podmioty publiczne, których właścicielem jest JST lub dla których podmiotem założycielskim jest JST; </w:t>
      </w:r>
    </w:p>
    <w:p w14:paraId="348A55D2" w14:textId="77777777" w:rsidR="001431DC" w:rsidRPr="001431DC" w:rsidRDefault="001431DC" w:rsidP="005924B0">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5924B0">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5924B0">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5924B0">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5924B0">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5924B0">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5924B0">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5924B0">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5924B0">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5924B0">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na których ciąży obowiązek zwrotu pomocy wynikający z decyzji KE uznającej pomoc za niezgodną z prawem oraz ze wspólnym rynkiem w rozumieniu art. 107 TFUE; </w:t>
      </w:r>
    </w:p>
    <w:p w14:paraId="5ADF3B06" w14:textId="2E95DCAA" w:rsidR="001431DC" w:rsidRPr="001431DC" w:rsidRDefault="001431DC" w:rsidP="005924B0">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w:t>
      </w:r>
      <w:r w:rsidR="004B6B85">
        <w:rPr>
          <w:rFonts w:asciiTheme="minorHAnsi" w:hAnsiTheme="minorHAnsi" w:cstheme="minorHAnsi"/>
          <w:color w:val="000000" w:themeColor="text1"/>
          <w:sz w:val="24"/>
          <w:szCs w:val="24"/>
        </w:rPr>
        <w:br/>
      </w:r>
      <w:r w:rsidRPr="001431DC">
        <w:rPr>
          <w:rFonts w:asciiTheme="minorHAnsi" w:hAnsiTheme="minorHAnsi" w:cstheme="minorHAnsi"/>
          <w:color w:val="000000" w:themeColor="text1"/>
          <w:sz w:val="24"/>
          <w:szCs w:val="24"/>
        </w:rPr>
        <w:t xml:space="preserve">i 4 ustawy z dnia 27 sierpnia 2009 r. o finansach publicznych; </w:t>
      </w:r>
    </w:p>
    <w:p w14:paraId="40E832FD" w14:textId="77777777" w:rsidR="001431DC" w:rsidRPr="001431DC" w:rsidRDefault="001431DC" w:rsidP="005924B0">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5924B0">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5924B0">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77777777" w:rsidR="001431DC" w:rsidRPr="001431DC" w:rsidRDefault="001431DC" w:rsidP="005924B0">
      <w:pPr>
        <w:spacing w:after="0" w:line="240" w:lineRule="auto"/>
        <w:rPr>
          <w:rFonts w:cstheme="minorHAnsi"/>
          <w:color w:val="000000" w:themeColor="text1"/>
          <w:sz w:val="24"/>
          <w:szCs w:val="24"/>
        </w:rPr>
      </w:pPr>
      <w:r w:rsidRPr="001431DC">
        <w:rPr>
          <w:rFonts w:cstheme="minorHAnsi"/>
          <w:color w:val="000000" w:themeColor="text1"/>
          <w:sz w:val="24"/>
          <w:szCs w:val="24"/>
        </w:rPr>
        <w:t xml:space="preserve">Powyższe wykluczenia dotyczą zarówno Wnioskodawców / Beneficjentów, jak również Partnerów projektu.  </w:t>
      </w:r>
    </w:p>
    <w:p w14:paraId="2F09B87E" w14:textId="77777777" w:rsidR="009938A4" w:rsidRPr="00633E1B" w:rsidRDefault="001F3778" w:rsidP="005924B0">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16E642FA" w14:textId="77777777" w:rsidR="0062022E" w:rsidRPr="0062022E" w:rsidRDefault="0062022E" w:rsidP="005924B0">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5" w:name="_Hlk19775385"/>
      <w:r w:rsidRPr="0062022E">
        <w:rPr>
          <w:rFonts w:cstheme="minorHAnsi"/>
          <w:b/>
          <w:color w:val="000000" w:themeColor="text1"/>
          <w:sz w:val="24"/>
          <w:szCs w:val="24"/>
        </w:rPr>
        <w:t xml:space="preserve">1 931 750 </w:t>
      </w:r>
      <w:r w:rsidRPr="0062022E">
        <w:rPr>
          <w:rStyle w:val="Pogrubienie"/>
          <w:rFonts w:cstheme="minorHAnsi"/>
          <w:color w:val="000000" w:themeColor="text1"/>
          <w:sz w:val="24"/>
          <w:szCs w:val="24"/>
        </w:rPr>
        <w:t>EUR</w:t>
      </w:r>
      <w:bookmarkEnd w:id="5"/>
      <w:r w:rsidRPr="0062022E">
        <w:rPr>
          <w:rStyle w:val="Pogrubienie"/>
          <w:rFonts w:cstheme="minorHAnsi"/>
          <w:b w:val="0"/>
          <w:bCs w:val="0"/>
          <w:color w:val="000000" w:themeColor="text1"/>
          <w:sz w:val="24"/>
          <w:szCs w:val="24"/>
        </w:rPr>
        <w:t xml:space="preserve">, tj. </w:t>
      </w:r>
      <w:r w:rsidRPr="0062022E">
        <w:rPr>
          <w:rFonts w:cstheme="minorHAnsi"/>
          <w:b/>
          <w:bCs/>
          <w:color w:val="000000" w:themeColor="text1"/>
          <w:sz w:val="24"/>
          <w:szCs w:val="24"/>
        </w:rPr>
        <w:t xml:space="preserve">8 674 909,73 PLN </w:t>
      </w:r>
      <w:r w:rsidRPr="0062022E">
        <w:rPr>
          <w:rFonts w:cstheme="minorHAnsi"/>
          <w:color w:val="000000" w:themeColor="text1"/>
          <w:sz w:val="24"/>
          <w:szCs w:val="24"/>
        </w:rPr>
        <w:t xml:space="preserve">(zgodnie z obowiązującym w grudniu 2020 r. kursem, tj. </w:t>
      </w:r>
      <w:r w:rsidRPr="0062022E">
        <w:rPr>
          <w:rFonts w:cstheme="minorHAnsi"/>
          <w:b/>
          <w:bCs/>
          <w:color w:val="000000" w:themeColor="text1"/>
          <w:sz w:val="24"/>
          <w:szCs w:val="24"/>
        </w:rPr>
        <w:t xml:space="preserve">1 EUR = </w:t>
      </w:r>
      <w:r w:rsidRPr="0062022E">
        <w:rPr>
          <w:b/>
          <w:bCs/>
          <w:sz w:val="24"/>
          <w:szCs w:val="24"/>
        </w:rPr>
        <w:t>4,4907</w:t>
      </w:r>
      <w:r w:rsidRPr="0062022E">
        <w:rPr>
          <w:rFonts w:cstheme="minorHAnsi"/>
          <w:b/>
          <w:bCs/>
          <w:color w:val="000000" w:themeColor="text1"/>
          <w:sz w:val="24"/>
          <w:szCs w:val="24"/>
        </w:rPr>
        <w:t xml:space="preserve"> PLN</w:t>
      </w:r>
      <w:r w:rsidRPr="0062022E">
        <w:rPr>
          <w:rFonts w:cstheme="minorHAnsi"/>
          <w:color w:val="000000" w:themeColor="text1"/>
          <w:sz w:val="24"/>
          <w:szCs w:val="24"/>
        </w:rPr>
        <w:t xml:space="preserve">), </w:t>
      </w:r>
      <w:r w:rsidRPr="008E5598">
        <w:rPr>
          <w:sz w:val="24"/>
          <w:szCs w:val="24"/>
        </w:rPr>
        <w:t>w tym zabezpiecza się na procedurę odwoławczą 15% kwoty przeznaczonej na konkurs</w:t>
      </w:r>
      <w:r w:rsidRPr="008E5598">
        <w:rPr>
          <w:rFonts w:cstheme="minorHAnsi"/>
          <w:color w:val="000000" w:themeColor="text1"/>
          <w:sz w:val="24"/>
          <w:szCs w:val="24"/>
        </w:rPr>
        <w:t>.</w:t>
      </w:r>
    </w:p>
    <w:p w14:paraId="1AA4354F" w14:textId="77777777" w:rsidR="0062022E" w:rsidRPr="0062022E" w:rsidRDefault="0062022E" w:rsidP="005924B0">
      <w:pPr>
        <w:spacing w:after="0" w:line="240" w:lineRule="auto"/>
        <w:rPr>
          <w:color w:val="000000" w:themeColor="text1"/>
          <w:sz w:val="24"/>
          <w:szCs w:val="24"/>
        </w:rPr>
      </w:pPr>
    </w:p>
    <w:p w14:paraId="289DCBED" w14:textId="77777777" w:rsidR="0062022E" w:rsidRPr="0062022E" w:rsidRDefault="0062022E" w:rsidP="005924B0">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5924B0">
      <w:pPr>
        <w:spacing w:after="0" w:line="240" w:lineRule="auto"/>
        <w:rPr>
          <w:color w:val="000000" w:themeColor="text1"/>
          <w:sz w:val="24"/>
          <w:szCs w:val="24"/>
        </w:rPr>
      </w:pPr>
    </w:p>
    <w:p w14:paraId="7F0C6F1C" w14:textId="77777777" w:rsidR="0062022E" w:rsidRPr="0062022E" w:rsidRDefault="0062022E" w:rsidP="005924B0">
      <w:pPr>
        <w:spacing w:after="0" w:line="240" w:lineRule="auto"/>
        <w:rPr>
          <w:rFonts w:cstheme="minorHAnsi"/>
          <w:color w:val="000000" w:themeColor="text1"/>
          <w:sz w:val="24"/>
          <w:szCs w:val="24"/>
        </w:rPr>
      </w:pPr>
      <w:bookmarkStart w:id="6"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5924B0">
      <w:pPr>
        <w:autoSpaceDE w:val="0"/>
        <w:autoSpaceDN w:val="0"/>
        <w:adjustRightInd w:val="0"/>
        <w:spacing w:after="0" w:line="240" w:lineRule="auto"/>
        <w:rPr>
          <w:rFonts w:cstheme="minorHAnsi"/>
          <w:color w:val="000000" w:themeColor="text1"/>
          <w:sz w:val="24"/>
          <w:szCs w:val="24"/>
        </w:rPr>
      </w:pPr>
    </w:p>
    <w:p w14:paraId="3C4EB347" w14:textId="77777777" w:rsidR="0062022E" w:rsidRPr="0062022E" w:rsidRDefault="0062022E" w:rsidP="005924B0">
      <w:pPr>
        <w:autoSpaceDE w:val="0"/>
        <w:autoSpaceDN w:val="0"/>
        <w:adjustRightInd w:val="0"/>
        <w:spacing w:after="0" w:line="240" w:lineRule="auto"/>
        <w:rPr>
          <w:rFonts w:cstheme="minorHAnsi"/>
          <w:color w:val="000000" w:themeColor="text1"/>
          <w:sz w:val="24"/>
          <w:szCs w:val="24"/>
        </w:rPr>
      </w:pPr>
      <w:r w:rsidRPr="0062022E">
        <w:rPr>
          <w:rFonts w:cstheme="minorHAnsi"/>
          <w:color w:val="000000" w:themeColor="text1"/>
          <w:sz w:val="24"/>
          <w:szCs w:val="24"/>
        </w:rPr>
        <w:t xml:space="preserve">Kwota alokacji do czasu rozstrzygnięcia naboru może ulec zmniejszeniu </w:t>
      </w:r>
      <w:r w:rsidRPr="0062022E">
        <w:rPr>
          <w:color w:val="000000" w:themeColor="text1"/>
          <w:sz w:val="24"/>
          <w:szCs w:val="24"/>
        </w:rPr>
        <w:t>ze względu na pozytywnie rozpatrywane protesty w ramach Działania, jak</w:t>
      </w:r>
      <w:r w:rsidRPr="0062022E">
        <w:rPr>
          <w:rFonts w:cstheme="minorHAnsi"/>
          <w:color w:val="000000" w:themeColor="text1"/>
          <w:sz w:val="24"/>
          <w:szCs w:val="24"/>
        </w:rPr>
        <w:t xml:space="preserve"> również ze względu na wybór w </w:t>
      </w:r>
      <w:r w:rsidRPr="0062022E">
        <w:rPr>
          <w:rFonts w:cstheme="minorHAnsi"/>
          <w:color w:val="000000" w:themeColor="text1"/>
          <w:sz w:val="24"/>
          <w:szCs w:val="24"/>
        </w:rPr>
        <w:lastRenderedPageBreak/>
        <w:t>ramach Działania projektów do dofinansowania w wyniku przeprowadzonej procedury odwoławczej.</w:t>
      </w:r>
    </w:p>
    <w:p w14:paraId="32407679" w14:textId="77777777" w:rsidR="0062022E" w:rsidRPr="0062022E" w:rsidRDefault="0062022E" w:rsidP="005924B0">
      <w:pPr>
        <w:spacing w:after="0" w:line="240" w:lineRule="auto"/>
        <w:rPr>
          <w:rFonts w:cstheme="minorHAnsi"/>
          <w:color w:val="FF0000"/>
          <w:sz w:val="24"/>
          <w:szCs w:val="24"/>
        </w:rPr>
      </w:pPr>
    </w:p>
    <w:p w14:paraId="6E0DC4F7" w14:textId="77777777" w:rsidR="0062022E" w:rsidRPr="0062022E" w:rsidRDefault="0062022E" w:rsidP="005924B0">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5924B0">
      <w:pPr>
        <w:spacing w:after="0" w:line="240" w:lineRule="auto"/>
        <w:rPr>
          <w:rFonts w:cstheme="minorHAnsi"/>
          <w:color w:val="000000" w:themeColor="text1"/>
          <w:sz w:val="24"/>
          <w:szCs w:val="24"/>
        </w:rPr>
      </w:pPr>
    </w:p>
    <w:bookmarkEnd w:id="6"/>
    <w:p w14:paraId="333D2C71" w14:textId="77777777" w:rsidR="0062022E" w:rsidRPr="0062022E" w:rsidRDefault="0062022E" w:rsidP="005924B0">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5924B0">
      <w:pPr>
        <w:spacing w:after="0" w:line="240" w:lineRule="auto"/>
        <w:rPr>
          <w:rFonts w:cstheme="minorHAnsi"/>
          <w:sz w:val="24"/>
          <w:szCs w:val="24"/>
        </w:rPr>
      </w:pPr>
    </w:p>
    <w:p w14:paraId="3E606AB3" w14:textId="77777777" w:rsidR="007C6E4D" w:rsidRPr="00633E1B" w:rsidRDefault="007C6E4D" w:rsidP="005924B0">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7" w:name="_Toc4137252"/>
      <w:r w:rsidRPr="00633E1B">
        <w:rPr>
          <w:rFonts w:asciiTheme="minorHAnsi" w:hAnsiTheme="minorHAnsi" w:cstheme="minorHAnsi"/>
          <w:b/>
          <w:color w:val="auto"/>
        </w:rPr>
        <w:t>Minimalna wartość wnioskowanego dofinansowania</w:t>
      </w:r>
      <w:bookmarkEnd w:id="7"/>
      <w:r w:rsidRPr="00633E1B">
        <w:rPr>
          <w:rFonts w:asciiTheme="minorHAnsi" w:hAnsiTheme="minorHAnsi" w:cstheme="minorHAnsi"/>
          <w:b/>
          <w:bCs/>
          <w:color w:val="auto"/>
        </w:rPr>
        <w:t xml:space="preserve">: </w:t>
      </w:r>
    </w:p>
    <w:p w14:paraId="56AF7B89" w14:textId="2B7B6E2A" w:rsidR="0093677E" w:rsidRPr="0093677E" w:rsidRDefault="0093677E" w:rsidP="005924B0">
      <w:pPr>
        <w:spacing w:after="0" w:line="240" w:lineRule="auto"/>
        <w:rPr>
          <w:rFonts w:cstheme="minorHAnsi"/>
          <w:sz w:val="24"/>
          <w:szCs w:val="28"/>
        </w:rPr>
      </w:pPr>
      <w:bookmarkStart w:id="8" w:name="_Hlk26800715"/>
      <w:bookmarkStart w:id="9" w:name="_Toc4137253"/>
      <w:r w:rsidRPr="0093677E">
        <w:rPr>
          <w:rFonts w:cstheme="minorHAnsi"/>
          <w:sz w:val="24"/>
          <w:szCs w:val="28"/>
        </w:rPr>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5924B0">
      <w:pPr>
        <w:suppressAutoHyphens/>
        <w:spacing w:after="120" w:line="240" w:lineRule="auto"/>
        <w:rPr>
          <w:rFonts w:eastAsia="Droid Sans Fallback" w:cstheme="minorHAnsi"/>
          <w:sz w:val="24"/>
          <w:szCs w:val="28"/>
        </w:rPr>
      </w:pPr>
    </w:p>
    <w:p w14:paraId="4C63AC4D" w14:textId="77777777" w:rsidR="0093677E" w:rsidRPr="0093677E" w:rsidRDefault="0093677E" w:rsidP="005924B0">
      <w:pPr>
        <w:spacing w:line="240" w:lineRule="auto"/>
        <w:rPr>
          <w:sz w:val="24"/>
          <w:szCs w:val="24"/>
        </w:rPr>
      </w:pPr>
      <w:r w:rsidRPr="0093677E">
        <w:rPr>
          <w:sz w:val="24"/>
          <w:szCs w:val="24"/>
        </w:rPr>
        <w:t>Minimalna wartość wydatków kwalifikowalnych w projekcie: 500 000 PLN (również dla projektów partnerskich).</w:t>
      </w:r>
    </w:p>
    <w:bookmarkEnd w:id="8"/>
    <w:p w14:paraId="277ECE60" w14:textId="77777777" w:rsidR="007C6E4D" w:rsidRPr="00633E1B" w:rsidRDefault="007C6E4D" w:rsidP="005924B0">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9"/>
      <w:r w:rsidRPr="00633E1B">
        <w:rPr>
          <w:rFonts w:asciiTheme="minorHAnsi" w:hAnsiTheme="minorHAnsi" w:cstheme="minorHAnsi"/>
          <w:sz w:val="24"/>
          <w:szCs w:val="24"/>
        </w:rPr>
        <w:t>:</w:t>
      </w:r>
    </w:p>
    <w:p w14:paraId="58B7AA39" w14:textId="76F24ACA" w:rsidR="0059190C" w:rsidRPr="005C5CFA" w:rsidRDefault="00000EEB" w:rsidP="005924B0">
      <w:pPr>
        <w:suppressAutoHyphens/>
        <w:spacing w:line="240" w:lineRule="auto"/>
        <w:rPr>
          <w:rFonts w:cstheme="minorHAnsi"/>
          <w:sz w:val="24"/>
          <w:szCs w:val="28"/>
        </w:rPr>
      </w:pPr>
      <w:bookmarkStart w:id="10" w:name="_Hlk57733931"/>
      <w:r w:rsidRPr="00000EEB">
        <w:rPr>
          <w:rFonts w:cstheme="minorHAnsi"/>
          <w:sz w:val="24"/>
          <w:szCs w:val="28"/>
        </w:rPr>
        <w:t xml:space="preserve">Wnioskowana w projekcie wartość dofinansowania w ramach konkursu nie może być większa niż alokacja przeznaczona na konkurs pomniejszona o kwotę przeznaczoną na odwołania, </w:t>
      </w:r>
      <w:bookmarkStart w:id="11" w:name="_Hlk57732151"/>
      <w:bookmarkEnd w:id="10"/>
      <w:r w:rsidRPr="00000EEB">
        <w:rPr>
          <w:rFonts w:cstheme="minorHAnsi"/>
          <w:sz w:val="24"/>
          <w:szCs w:val="28"/>
        </w:rPr>
        <w:t>ale z uwzględnieniem limitu wartości wydatków kwalifikowalnych w projekcie.</w:t>
      </w:r>
      <w:bookmarkEnd w:id="11"/>
    </w:p>
    <w:p w14:paraId="7DD09881" w14:textId="77777777" w:rsidR="009938A4" w:rsidRPr="00633E1B" w:rsidRDefault="001F3778" w:rsidP="005924B0">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5924B0">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5924B0">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5924B0">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5924B0">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5924B0">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00588636" w:rsidR="002A2FAD" w:rsidRPr="002A2FAD" w:rsidRDefault="002A2FAD" w:rsidP="005924B0">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w:t>
      </w:r>
      <w:r w:rsidR="004B6B85">
        <w:rPr>
          <w:rFonts w:asciiTheme="minorHAnsi" w:hAnsiTheme="minorHAnsi" w:cstheme="minorHAnsi"/>
          <w:b w:val="0"/>
          <w:bCs w:val="0"/>
          <w:kern w:val="0"/>
          <w:sz w:val="24"/>
          <w:szCs w:val="24"/>
        </w:rPr>
        <w:br/>
      </w:r>
      <w:r w:rsidRPr="002A2FAD">
        <w:rPr>
          <w:rFonts w:asciiTheme="minorHAnsi" w:hAnsiTheme="minorHAnsi" w:cstheme="minorHAnsi"/>
          <w:b w:val="0"/>
          <w:bCs w:val="0"/>
          <w:kern w:val="0"/>
          <w:sz w:val="24"/>
          <w:szCs w:val="24"/>
        </w:rPr>
        <w:t xml:space="preserve">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w:t>
      </w:r>
      <w:r w:rsidR="004B6B85">
        <w:rPr>
          <w:rFonts w:asciiTheme="minorHAnsi" w:hAnsiTheme="minorHAnsi" w:cstheme="minorHAnsi"/>
          <w:b w:val="0"/>
          <w:bCs w:val="0"/>
          <w:kern w:val="0"/>
          <w:sz w:val="24"/>
          <w:szCs w:val="24"/>
        </w:rPr>
        <w:br/>
      </w:r>
      <w:r w:rsidRPr="002A2FAD">
        <w:rPr>
          <w:rFonts w:asciiTheme="minorHAnsi" w:hAnsiTheme="minorHAnsi" w:cstheme="minorHAnsi"/>
          <w:b w:val="0"/>
          <w:bCs w:val="0"/>
          <w:kern w:val="0"/>
          <w:sz w:val="24"/>
          <w:szCs w:val="24"/>
        </w:rPr>
        <w:t xml:space="preserve">(z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w:t>
      </w:r>
      <w:r w:rsidRPr="002A2FAD">
        <w:rPr>
          <w:rFonts w:asciiTheme="minorHAnsi" w:hAnsiTheme="minorHAnsi" w:cstheme="minorHAnsi"/>
          <w:b w:val="0"/>
          <w:bCs w:val="0"/>
          <w:kern w:val="0"/>
          <w:sz w:val="24"/>
          <w:szCs w:val="24"/>
        </w:rPr>
        <w:lastRenderedPageBreak/>
        <w:t xml:space="preserve">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5924B0">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5924B0">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2" w:name="_Toc4137258"/>
      <w:r w:rsidRPr="00633E1B">
        <w:rPr>
          <w:rFonts w:asciiTheme="minorHAnsi" w:hAnsiTheme="minorHAnsi" w:cstheme="minorHAnsi"/>
          <w:sz w:val="24"/>
          <w:szCs w:val="24"/>
        </w:rPr>
        <w:t>Minimalny wkład własny jako % wydatków kwalifikowalnych</w:t>
      </w:r>
      <w:bookmarkEnd w:id="12"/>
    </w:p>
    <w:p w14:paraId="65AC6237" w14:textId="77777777" w:rsidR="00E14EAD" w:rsidRPr="00E14EAD" w:rsidRDefault="00E14EAD" w:rsidP="005924B0">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5924B0">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5924B0">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5924B0">
      <w:pPr>
        <w:pStyle w:val="Default"/>
        <w:rPr>
          <w:rFonts w:asciiTheme="minorHAnsi" w:hAnsiTheme="minorHAnsi" w:cstheme="minorHAnsi"/>
          <w:b/>
          <w:bCs/>
          <w:color w:val="auto"/>
        </w:rPr>
      </w:pPr>
    </w:p>
    <w:p w14:paraId="1460070D" w14:textId="134920E2" w:rsidR="009938A4" w:rsidRPr="00633E1B" w:rsidRDefault="00E24F33" w:rsidP="005924B0">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5924B0">
      <w:pPr>
        <w:spacing w:after="120" w:line="240" w:lineRule="auto"/>
        <w:rPr>
          <w:rFonts w:cstheme="minorHAnsi"/>
          <w:sz w:val="24"/>
          <w:szCs w:val="24"/>
        </w:rPr>
      </w:pPr>
      <w:bookmarkStart w:id="13" w:name="_Hlk32926192"/>
    </w:p>
    <w:bookmarkEnd w:id="13"/>
    <w:p w14:paraId="0C98F22E" w14:textId="5A79C2B1" w:rsidR="008805D0" w:rsidRPr="008805D0" w:rsidRDefault="008805D0" w:rsidP="005924B0">
      <w:pPr>
        <w:spacing w:after="120" w:line="240" w:lineRule="auto"/>
        <w:rPr>
          <w:rFonts w:cstheme="minorHAnsi"/>
          <w:sz w:val="24"/>
          <w:szCs w:val="28"/>
        </w:rPr>
      </w:pPr>
      <w:r w:rsidRPr="008805D0">
        <w:rPr>
          <w:rFonts w:cstheme="minorHAnsi"/>
          <w:sz w:val="24"/>
          <w:szCs w:val="28"/>
        </w:rPr>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2" w:history="1">
        <w:r w:rsidRPr="007A7A0D">
          <w:rPr>
            <w:rStyle w:val="Hipercze"/>
            <w:rFonts w:cstheme="minorHAnsi"/>
            <w:sz w:val="24"/>
            <w:szCs w:val="28"/>
          </w:rPr>
          <w:t>https://snow-umwd.dolnyslask.pl/</w:t>
        </w:r>
      </w:hyperlink>
      <w:r>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5924B0">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5924B0">
      <w:pPr>
        <w:spacing w:after="0" w:line="240" w:lineRule="auto"/>
        <w:ind w:left="360"/>
        <w:rPr>
          <w:rFonts w:cstheme="minorHAnsi"/>
          <w:b/>
          <w:sz w:val="24"/>
          <w:szCs w:val="28"/>
        </w:rPr>
      </w:pPr>
    </w:p>
    <w:p w14:paraId="04661F43" w14:textId="77777777" w:rsidR="008805D0" w:rsidRPr="008805D0" w:rsidRDefault="008805D0" w:rsidP="005924B0">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5924B0">
      <w:pPr>
        <w:spacing w:after="0" w:line="240" w:lineRule="auto"/>
        <w:rPr>
          <w:rFonts w:cstheme="minorHAnsi"/>
          <w:sz w:val="24"/>
          <w:szCs w:val="28"/>
        </w:rPr>
      </w:pPr>
    </w:p>
    <w:p w14:paraId="4F2EC556" w14:textId="5F217366" w:rsidR="008805D0" w:rsidRPr="008805D0" w:rsidRDefault="008805D0" w:rsidP="005924B0">
      <w:pPr>
        <w:spacing w:after="0" w:line="240" w:lineRule="auto"/>
        <w:rPr>
          <w:rFonts w:cstheme="minorHAnsi"/>
          <w:sz w:val="24"/>
          <w:szCs w:val="28"/>
        </w:rPr>
      </w:pPr>
      <w:r w:rsidRPr="008805D0">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4B6B85">
        <w:rPr>
          <w:rFonts w:cstheme="minorHAnsi"/>
          <w:sz w:val="24"/>
          <w:szCs w:val="28"/>
        </w:rPr>
        <w:br/>
      </w:r>
      <w:r w:rsidRPr="008805D0">
        <w:rPr>
          <w:rFonts w:cstheme="minorHAnsi"/>
          <w:sz w:val="24"/>
          <w:szCs w:val="28"/>
        </w:rPr>
        <w:t xml:space="preserve">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50554863" w14:textId="77777777" w:rsidR="008805D0" w:rsidRPr="008805D0" w:rsidRDefault="008805D0" w:rsidP="005924B0">
      <w:pPr>
        <w:spacing w:before="240" w:after="0" w:line="240" w:lineRule="auto"/>
        <w:rPr>
          <w:rFonts w:cs="Times New Roman"/>
          <w:sz w:val="24"/>
          <w:szCs w:val="28"/>
        </w:rPr>
      </w:pPr>
      <w:bookmarkStart w:id="14" w:name="_Hlk57370457"/>
      <w:bookmarkStart w:id="15"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2154E939" w:rsidR="008805D0" w:rsidRPr="008805D0" w:rsidRDefault="008805D0" w:rsidP="005924B0">
      <w:pPr>
        <w:spacing w:before="240" w:after="0" w:line="240" w:lineRule="auto"/>
        <w:rPr>
          <w:rFonts w:cs="Times New Roman"/>
          <w:sz w:val="24"/>
          <w:szCs w:val="28"/>
        </w:rPr>
      </w:pPr>
      <w:r w:rsidRPr="008805D0">
        <w:rPr>
          <w:rFonts w:cs="Times New Roman"/>
          <w:sz w:val="24"/>
          <w:szCs w:val="28"/>
        </w:rPr>
        <w:t xml:space="preserve">Jednocześnie, wymaganą analizę finansową (w postaci arkuszy kalkulacyjnych w formacie Excel </w:t>
      </w:r>
      <w:r w:rsidR="004B6B85">
        <w:rPr>
          <w:rFonts w:cs="Times New Roman"/>
          <w:sz w:val="24"/>
          <w:szCs w:val="28"/>
        </w:rPr>
        <w:br/>
      </w:r>
      <w:r w:rsidRPr="008805D0">
        <w:rPr>
          <w:rFonts w:cs="Times New Roman"/>
          <w:sz w:val="24"/>
          <w:szCs w:val="28"/>
        </w:rPr>
        <w:t>z aktywnymi formułami) przedłożyć należy na nośniku CD.</w:t>
      </w:r>
    </w:p>
    <w:p w14:paraId="697F5AAC" w14:textId="77777777" w:rsidR="008805D0" w:rsidRPr="008805D0" w:rsidRDefault="008805D0" w:rsidP="005924B0">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xml:space="preserve">za pośrednictwem polskiego operatora wyznaczonego,  w rozumieniu ustawy z dnia 23 listopada 2012 r. - Prawo pocztowe, na adres: </w:t>
      </w:r>
    </w:p>
    <w:p w14:paraId="38DD3773"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lastRenderedPageBreak/>
        <w:t>50-412 Wrocław</w:t>
      </w:r>
    </w:p>
    <w:p w14:paraId="7B9CF8F3" w14:textId="77777777" w:rsidR="008805D0" w:rsidRPr="008805D0" w:rsidRDefault="008805D0" w:rsidP="005924B0">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5924B0">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5924B0">
      <w:pPr>
        <w:spacing w:after="0" w:line="240" w:lineRule="auto"/>
        <w:rPr>
          <w:rFonts w:cs="Times New Roman"/>
          <w:sz w:val="24"/>
          <w:szCs w:val="28"/>
        </w:rPr>
      </w:pPr>
    </w:p>
    <w:p w14:paraId="6C12DE7C"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xml:space="preserve">- numer wniosku o dofinansowanie </w:t>
      </w:r>
    </w:p>
    <w:p w14:paraId="7D7E77B2"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5924B0">
      <w:pPr>
        <w:spacing w:after="0" w:line="240" w:lineRule="auto"/>
        <w:rPr>
          <w:rFonts w:cs="Times New Roman"/>
          <w:sz w:val="24"/>
          <w:szCs w:val="28"/>
        </w:rPr>
      </w:pPr>
    </w:p>
    <w:p w14:paraId="0829C54C" w14:textId="5183F76A" w:rsidR="008805D0" w:rsidRPr="008805D0" w:rsidRDefault="008805D0" w:rsidP="005924B0">
      <w:pPr>
        <w:spacing w:after="0" w:line="240" w:lineRule="auto"/>
        <w:rPr>
          <w:rFonts w:cs="Times New Roman"/>
          <w:sz w:val="24"/>
          <w:szCs w:val="28"/>
        </w:rPr>
      </w:pPr>
      <w:r w:rsidRPr="008805D0">
        <w:rPr>
          <w:rFonts w:cs="Times New Roman"/>
          <w:sz w:val="24"/>
          <w:szCs w:val="28"/>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4B6B85">
        <w:rPr>
          <w:rFonts w:cs="Times New Roman"/>
          <w:sz w:val="24"/>
          <w:szCs w:val="28"/>
        </w:rPr>
        <w:br/>
      </w:r>
      <w:r w:rsidRPr="008805D0">
        <w:rPr>
          <w:rFonts w:cs="Times New Roman"/>
          <w:sz w:val="24"/>
          <w:szCs w:val="28"/>
        </w:rPr>
        <w:t>o dofinansowanie adres korespondencyjny w ciągu 14 dni od daty złożenia.</w:t>
      </w:r>
    </w:p>
    <w:p w14:paraId="4582AC48" w14:textId="77777777" w:rsidR="008805D0" w:rsidRPr="008805D0" w:rsidRDefault="008805D0" w:rsidP="005924B0">
      <w:pPr>
        <w:spacing w:after="0" w:line="240" w:lineRule="auto"/>
        <w:rPr>
          <w:rFonts w:cs="Times New Roman"/>
          <w:sz w:val="24"/>
          <w:szCs w:val="28"/>
        </w:rPr>
      </w:pPr>
    </w:p>
    <w:p w14:paraId="41181E6C" w14:textId="77777777" w:rsidR="008805D0" w:rsidRPr="008805D0" w:rsidRDefault="008805D0" w:rsidP="005924B0">
      <w:pPr>
        <w:spacing w:after="0" w:line="240" w:lineRule="auto"/>
        <w:rPr>
          <w:rFonts w:cs="Times New Roman"/>
          <w:sz w:val="24"/>
          <w:szCs w:val="28"/>
        </w:rPr>
      </w:pPr>
      <w:r w:rsidRPr="008805D0">
        <w:rPr>
          <w:rFonts w:cs="Times New Roman"/>
          <w:sz w:val="24"/>
          <w:szCs w:val="28"/>
        </w:rPr>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5924B0">
      <w:pPr>
        <w:spacing w:after="0" w:line="240" w:lineRule="auto"/>
        <w:rPr>
          <w:rFonts w:cs="Times New Roman"/>
          <w:sz w:val="24"/>
          <w:szCs w:val="28"/>
        </w:rPr>
      </w:pPr>
    </w:p>
    <w:p w14:paraId="0FDF3F63" w14:textId="77777777" w:rsidR="008805D0" w:rsidRPr="008805D0" w:rsidRDefault="008805D0" w:rsidP="005924B0">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5924B0">
      <w:pPr>
        <w:spacing w:after="0" w:line="240" w:lineRule="auto"/>
        <w:ind w:left="360"/>
        <w:rPr>
          <w:rFonts w:cstheme="minorHAnsi"/>
          <w:sz w:val="24"/>
          <w:szCs w:val="28"/>
        </w:rPr>
      </w:pPr>
    </w:p>
    <w:p w14:paraId="56145C22"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5924B0">
      <w:pPr>
        <w:spacing w:after="0" w:line="240" w:lineRule="auto"/>
        <w:rPr>
          <w:rFonts w:cstheme="minorHAnsi"/>
          <w:sz w:val="24"/>
          <w:szCs w:val="28"/>
        </w:rPr>
      </w:pPr>
    </w:p>
    <w:p w14:paraId="5BF4ABE8"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5924B0">
      <w:pPr>
        <w:spacing w:after="0" w:line="240" w:lineRule="auto"/>
        <w:rPr>
          <w:rFonts w:cstheme="minorHAnsi"/>
          <w:sz w:val="24"/>
          <w:szCs w:val="28"/>
        </w:rPr>
      </w:pPr>
    </w:p>
    <w:p w14:paraId="78AF2E79"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 xml:space="preserve">Oświadczenia oraz dane zawarte we wniosku o dofinansowanie projektu są składane pod rygorem odpowiedzialności karnej za składanie fałszywych zeznań (z wyłączeniem oświadczenia, </w:t>
      </w:r>
      <w:r w:rsidRPr="008805D0">
        <w:rPr>
          <w:rFonts w:cstheme="minorHAnsi"/>
          <w:sz w:val="24"/>
          <w:szCs w:val="28"/>
        </w:rPr>
        <w:lastRenderedPageBreak/>
        <w:t>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5924B0">
      <w:pPr>
        <w:spacing w:after="0" w:line="240" w:lineRule="auto"/>
        <w:rPr>
          <w:rFonts w:cstheme="minorHAnsi"/>
          <w:sz w:val="24"/>
          <w:szCs w:val="28"/>
        </w:rPr>
      </w:pPr>
    </w:p>
    <w:p w14:paraId="79FB7093" w14:textId="4EB770D4" w:rsidR="008805D0" w:rsidRPr="008805D0" w:rsidRDefault="008805D0" w:rsidP="005924B0">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t>
      </w:r>
      <w:r w:rsidR="004B6B85">
        <w:rPr>
          <w:rFonts w:cstheme="minorHAnsi"/>
          <w:sz w:val="24"/>
          <w:szCs w:val="28"/>
        </w:rPr>
        <w:br/>
      </w:r>
      <w:r w:rsidRPr="008805D0">
        <w:rPr>
          <w:rFonts w:cstheme="minorHAnsi"/>
          <w:sz w:val="24"/>
          <w:szCs w:val="28"/>
        </w:rPr>
        <w:t>w imieniu Wnioskodawcy zgodnie z zapisami pkt 19 Regulaminu.</w:t>
      </w:r>
    </w:p>
    <w:p w14:paraId="3E1AC0E5" w14:textId="77777777" w:rsidR="008805D0" w:rsidRPr="008805D0" w:rsidRDefault="008805D0" w:rsidP="005924B0">
      <w:pPr>
        <w:spacing w:after="0" w:line="240" w:lineRule="auto"/>
        <w:rPr>
          <w:rFonts w:cstheme="minorHAnsi"/>
          <w:sz w:val="24"/>
          <w:szCs w:val="28"/>
        </w:rPr>
      </w:pPr>
    </w:p>
    <w:p w14:paraId="2366F705"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5924B0">
      <w:pPr>
        <w:spacing w:after="0" w:line="240" w:lineRule="auto"/>
        <w:rPr>
          <w:rFonts w:cstheme="minorHAnsi"/>
          <w:sz w:val="24"/>
          <w:szCs w:val="28"/>
        </w:rPr>
      </w:pPr>
    </w:p>
    <w:p w14:paraId="0C222CAA"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5924B0">
      <w:pPr>
        <w:spacing w:after="0" w:line="240" w:lineRule="auto"/>
        <w:rPr>
          <w:rFonts w:cstheme="minorHAnsi"/>
          <w:sz w:val="24"/>
          <w:szCs w:val="28"/>
        </w:rPr>
      </w:pPr>
    </w:p>
    <w:p w14:paraId="39710345" w14:textId="77777777" w:rsidR="008805D0" w:rsidRPr="008805D0" w:rsidRDefault="008805D0" w:rsidP="005924B0">
      <w:pPr>
        <w:spacing w:after="0" w:line="240" w:lineRule="auto"/>
        <w:rPr>
          <w:rFonts w:cstheme="minorHAnsi"/>
          <w:sz w:val="24"/>
          <w:szCs w:val="28"/>
        </w:rPr>
      </w:pPr>
      <w:r w:rsidRPr="008805D0">
        <w:rPr>
          <w:rFonts w:cstheme="minorHAnsi"/>
          <w:b/>
          <w:sz w:val="24"/>
          <w:szCs w:val="28"/>
        </w:rPr>
        <w:t>Forma składania wniosków określona w tym punkcie Regulaminu obowiązuje także przy składaniu każdej poprawionej wersji wniosku o dofinansowanie</w:t>
      </w:r>
      <w:r w:rsidRPr="008805D0">
        <w:rPr>
          <w:rFonts w:cstheme="minorHAnsi"/>
          <w:sz w:val="24"/>
          <w:szCs w:val="28"/>
        </w:rPr>
        <w:t>.</w:t>
      </w:r>
    </w:p>
    <w:bookmarkEnd w:id="14"/>
    <w:p w14:paraId="3F973C71" w14:textId="77777777" w:rsidR="008805D0" w:rsidRPr="008805D0" w:rsidRDefault="008805D0" w:rsidP="005924B0">
      <w:pPr>
        <w:spacing w:after="0" w:line="240" w:lineRule="auto"/>
        <w:rPr>
          <w:rFonts w:cstheme="minorHAnsi"/>
          <w:color w:val="FF0000"/>
          <w:sz w:val="24"/>
          <w:szCs w:val="28"/>
        </w:rPr>
      </w:pPr>
    </w:p>
    <w:p w14:paraId="27F694BE"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5924B0">
      <w:pPr>
        <w:spacing w:after="0" w:line="240" w:lineRule="auto"/>
        <w:rPr>
          <w:rFonts w:cstheme="minorHAnsi"/>
          <w:sz w:val="24"/>
          <w:szCs w:val="28"/>
          <w:highlight w:val="lightGray"/>
        </w:rPr>
      </w:pPr>
    </w:p>
    <w:p w14:paraId="6FEAF41B" w14:textId="77777777" w:rsidR="008805D0" w:rsidRPr="008805D0" w:rsidRDefault="008805D0" w:rsidP="005924B0">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5924B0">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5924B0">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15"/>
    <w:p w14:paraId="3501E5FD" w14:textId="77777777" w:rsidR="00705179" w:rsidRDefault="00705179" w:rsidP="005924B0">
      <w:pPr>
        <w:spacing w:after="0" w:line="240" w:lineRule="auto"/>
        <w:rPr>
          <w:rFonts w:eastAsia="Calibri" w:cs="Times New Roman"/>
          <w:b/>
          <w:sz w:val="24"/>
          <w:szCs w:val="24"/>
        </w:rPr>
      </w:pPr>
    </w:p>
    <w:p w14:paraId="4809C1CF" w14:textId="781521B7" w:rsidR="00705179" w:rsidRPr="008C7B3C" w:rsidRDefault="00705179" w:rsidP="005924B0">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5924B0">
      <w:pPr>
        <w:tabs>
          <w:tab w:val="left" w:pos="2835"/>
        </w:tabs>
        <w:spacing w:line="240" w:lineRule="auto"/>
        <w:rPr>
          <w:rFonts w:cstheme="minorHAnsi"/>
          <w:b/>
          <w:bCs/>
          <w:sz w:val="24"/>
          <w:szCs w:val="24"/>
        </w:rPr>
      </w:pPr>
    </w:p>
    <w:p w14:paraId="5542E716" w14:textId="77777777" w:rsidR="009938A4" w:rsidRPr="00633E1B" w:rsidRDefault="00DE0D45" w:rsidP="005924B0">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5924B0">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3"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4"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5"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5924B0">
      <w:pPr>
        <w:tabs>
          <w:tab w:val="left" w:pos="2835"/>
        </w:tabs>
        <w:spacing w:line="240" w:lineRule="auto"/>
        <w:rPr>
          <w:rFonts w:cstheme="minorHAnsi"/>
          <w:b/>
          <w:sz w:val="24"/>
          <w:szCs w:val="24"/>
          <w:u w:val="single"/>
        </w:rPr>
      </w:pPr>
    </w:p>
    <w:p w14:paraId="4220EDDD" w14:textId="77777777" w:rsidR="009938A4" w:rsidRPr="00633E1B" w:rsidRDefault="009938A4" w:rsidP="005924B0">
      <w:pPr>
        <w:tabs>
          <w:tab w:val="left" w:pos="2835"/>
        </w:tabs>
        <w:spacing w:line="240" w:lineRule="auto"/>
        <w:rPr>
          <w:rFonts w:cstheme="minorHAnsi"/>
          <w:b/>
          <w:sz w:val="24"/>
          <w:szCs w:val="24"/>
          <w:u w:val="single"/>
        </w:rPr>
      </w:pPr>
    </w:p>
    <w:bookmarkEnd w:id="0"/>
    <w:p w14:paraId="7AD6ED34" w14:textId="77777777" w:rsidR="00E770C3" w:rsidRPr="00633E1B" w:rsidRDefault="00E770C3" w:rsidP="005924B0">
      <w:pPr>
        <w:tabs>
          <w:tab w:val="left" w:pos="1965"/>
        </w:tabs>
        <w:spacing w:line="240" w:lineRule="auto"/>
        <w:rPr>
          <w:rFonts w:cstheme="minorHAnsi"/>
          <w:sz w:val="24"/>
          <w:szCs w:val="24"/>
        </w:rPr>
      </w:pPr>
    </w:p>
    <w:sectPr w:rsidR="00E770C3" w:rsidRPr="00633E1B" w:rsidSect="007B7525">
      <w:footerReference w:type="default" r:id="rId1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8736" w14:textId="77777777" w:rsidR="00240C7E" w:rsidRDefault="00240C7E" w:rsidP="00E873C4">
      <w:pPr>
        <w:spacing w:after="0" w:line="240" w:lineRule="auto"/>
      </w:pPr>
      <w:r>
        <w:separator/>
      </w:r>
    </w:p>
  </w:endnote>
  <w:endnote w:type="continuationSeparator" w:id="0">
    <w:p w14:paraId="37824462" w14:textId="77777777" w:rsidR="00240C7E" w:rsidRDefault="00240C7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5922" w14:textId="77777777" w:rsidR="00240C7E" w:rsidRDefault="00240C7E" w:rsidP="00E873C4">
      <w:pPr>
        <w:spacing w:after="0" w:line="240" w:lineRule="auto"/>
      </w:pPr>
      <w:r>
        <w:separator/>
      </w:r>
    </w:p>
  </w:footnote>
  <w:footnote w:type="continuationSeparator" w:id="0">
    <w:p w14:paraId="479A7615" w14:textId="77777777" w:rsidR="00240C7E" w:rsidRDefault="00240C7E"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0C7E"/>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69D4"/>
    <w:rsid w:val="00364F8A"/>
    <w:rsid w:val="00372F5E"/>
    <w:rsid w:val="00374DCB"/>
    <w:rsid w:val="00381EA1"/>
    <w:rsid w:val="003846E2"/>
    <w:rsid w:val="00386933"/>
    <w:rsid w:val="00387FDF"/>
    <w:rsid w:val="00390D9C"/>
    <w:rsid w:val="00391DF3"/>
    <w:rsid w:val="00393818"/>
    <w:rsid w:val="00394213"/>
    <w:rsid w:val="003948B3"/>
    <w:rsid w:val="003A0F50"/>
    <w:rsid w:val="003A13EB"/>
    <w:rsid w:val="003A6136"/>
    <w:rsid w:val="003A650D"/>
    <w:rsid w:val="003A7790"/>
    <w:rsid w:val="003B1B1F"/>
    <w:rsid w:val="003B20BC"/>
    <w:rsid w:val="003B4611"/>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B6B85"/>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24B0"/>
    <w:rsid w:val="00594CA5"/>
    <w:rsid w:val="005A1B2C"/>
    <w:rsid w:val="005A5980"/>
    <w:rsid w:val="005A7DB6"/>
    <w:rsid w:val="005B0542"/>
    <w:rsid w:val="005B3412"/>
    <w:rsid w:val="005B34B9"/>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zitaj.jeleniagora.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66B3-DFE4-4CFA-B0F2-E9DF5C8B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4615</Words>
  <Characters>27694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2020-12-07T13:20:00Z</dcterms:created>
  <dcterms:modified xsi:type="dcterms:W3CDTF">2020-12-07T13:20:00Z</dcterms:modified>
</cp:coreProperties>
</file>