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DDDA" w14:textId="77777777" w:rsidR="00C87726" w:rsidRDefault="00C87726" w:rsidP="00C87726">
      <w:pPr>
        <w:autoSpaceDE w:val="0"/>
        <w:autoSpaceDN w:val="0"/>
        <w:adjustRightInd w:val="0"/>
        <w:spacing w:before="0" w:line="240" w:lineRule="auto"/>
        <w:jc w:val="center"/>
        <w:rPr>
          <w:rFonts w:asciiTheme="minorHAnsi" w:hAnsiTheme="minorHAnsi" w:cs="Calibri"/>
          <w:b/>
          <w:color w:val="000000"/>
          <w:sz w:val="24"/>
          <w:szCs w:val="24"/>
        </w:rPr>
      </w:pPr>
      <w:bookmarkStart w:id="0" w:name="_Toc426632922"/>
      <w:bookmarkStart w:id="1" w:name="_Toc430826826"/>
      <w:bookmarkStart w:id="2" w:name="_Toc432758974"/>
    </w:p>
    <w:p w14:paraId="09BF707D" w14:textId="77777777" w:rsidR="006050F0" w:rsidRDefault="006050F0" w:rsidP="008914F3">
      <w:pPr>
        <w:autoSpaceDE w:val="0"/>
        <w:autoSpaceDN w:val="0"/>
        <w:adjustRightInd w:val="0"/>
        <w:spacing w:before="0" w:line="276" w:lineRule="auto"/>
        <w:jc w:val="center"/>
        <w:rPr>
          <w:rFonts w:asciiTheme="minorHAnsi" w:hAnsiTheme="minorHAnsi" w:cs="Calibri"/>
          <w:b/>
          <w:color w:val="000000"/>
          <w:sz w:val="24"/>
          <w:szCs w:val="24"/>
        </w:rPr>
      </w:pPr>
    </w:p>
    <w:p w14:paraId="5232DF91" w14:textId="1ED26D7F" w:rsidR="00C87726" w:rsidRPr="008D43F7" w:rsidRDefault="009D3C56" w:rsidP="008914F3">
      <w:pPr>
        <w:autoSpaceDE w:val="0"/>
        <w:autoSpaceDN w:val="0"/>
        <w:adjustRightInd w:val="0"/>
        <w:spacing w:before="0" w:line="276" w:lineRule="auto"/>
        <w:jc w:val="center"/>
        <w:rPr>
          <w:rFonts w:asciiTheme="minorHAnsi" w:hAnsiTheme="minorHAnsi" w:cs="Calibri"/>
          <w:b/>
          <w:color w:val="000000"/>
          <w:sz w:val="24"/>
          <w:szCs w:val="24"/>
        </w:rPr>
      </w:pPr>
      <w:r w:rsidRPr="008D43F7">
        <w:rPr>
          <w:rFonts w:asciiTheme="minorHAnsi" w:hAnsiTheme="minorHAnsi" w:cs="Calibri"/>
          <w:b/>
          <w:color w:val="000000"/>
          <w:sz w:val="24"/>
          <w:szCs w:val="24"/>
        </w:rPr>
        <w:t xml:space="preserve">Lista wskaźników na poziomie projektu </w:t>
      </w:r>
    </w:p>
    <w:p w14:paraId="20EE3661" w14:textId="159A04B0" w:rsidR="005D2942" w:rsidRPr="008D43F7" w:rsidRDefault="005D2942" w:rsidP="005D2942">
      <w:pPr>
        <w:spacing w:after="120" w:line="276" w:lineRule="auto"/>
        <w:jc w:val="center"/>
        <w:rPr>
          <w:rFonts w:asciiTheme="minorHAnsi" w:hAnsiTheme="minorHAnsi" w:cstheme="minorHAnsi"/>
          <w:b/>
          <w:sz w:val="24"/>
          <w:szCs w:val="24"/>
          <w:highlight w:val="lightGray"/>
        </w:rPr>
      </w:pPr>
      <w:r w:rsidRPr="008D43F7">
        <w:rPr>
          <w:rFonts w:asciiTheme="minorHAnsi" w:hAnsiTheme="minorHAnsi" w:cstheme="minorHAnsi"/>
          <w:b/>
          <w:sz w:val="24"/>
          <w:szCs w:val="24"/>
        </w:rPr>
        <w:t>dla działania 2.1. E-usługi publiczne, poddziałania 2.1.2 E-usługi publiczne – ZIT WROF</w:t>
      </w:r>
    </w:p>
    <w:p w14:paraId="6DA8F8FC" w14:textId="77777777" w:rsidR="005D2942" w:rsidRDefault="005D2942" w:rsidP="005D2942">
      <w:pPr>
        <w:pStyle w:val="Nagwek"/>
        <w:spacing w:line="276" w:lineRule="auto"/>
        <w:jc w:val="center"/>
        <w:rPr>
          <w:rFonts w:asciiTheme="minorHAnsi" w:hAnsiTheme="minorHAnsi" w:cstheme="minorHAnsi"/>
          <w:b/>
          <w:szCs w:val="24"/>
        </w:rPr>
      </w:pPr>
    </w:p>
    <w:p w14:paraId="72A1CAD5" w14:textId="77777777" w:rsidR="005D2942" w:rsidRPr="00C25ED0" w:rsidRDefault="005D2942" w:rsidP="005D2942">
      <w:pPr>
        <w:pStyle w:val="Nagwek"/>
        <w:spacing w:line="276" w:lineRule="auto"/>
        <w:jc w:val="center"/>
        <w:rPr>
          <w:rFonts w:asciiTheme="minorHAnsi" w:hAnsiTheme="minorHAnsi" w:cstheme="minorHAnsi"/>
          <w:b/>
          <w:szCs w:val="24"/>
        </w:rPr>
      </w:pPr>
      <w:r w:rsidRPr="00C25ED0">
        <w:rPr>
          <w:rFonts w:asciiTheme="minorHAnsi" w:hAnsiTheme="minorHAnsi" w:cs="Arial"/>
          <w:b/>
          <w:lang w:eastAsia="en-US"/>
        </w:rPr>
        <w:t>2.1. A Tworzenie lub rozwój (poprawa e-dojrzałości) e-usług publicznych (A2B, A2C);</w:t>
      </w:r>
    </w:p>
    <w:p w14:paraId="13A0C645" w14:textId="77777777" w:rsidR="005D2942" w:rsidRDefault="005D2942" w:rsidP="005D2942">
      <w:pPr>
        <w:pStyle w:val="Nagwek"/>
        <w:spacing w:line="276" w:lineRule="auto"/>
        <w:jc w:val="center"/>
        <w:rPr>
          <w:rFonts w:asciiTheme="minorHAnsi" w:hAnsiTheme="minorHAnsi" w:cs="Arial"/>
          <w:b/>
          <w:lang w:eastAsia="en-US"/>
        </w:rPr>
      </w:pPr>
      <w:r w:rsidRPr="00C25ED0">
        <w:rPr>
          <w:rFonts w:asciiTheme="minorHAnsi" w:hAnsiTheme="minorHAnsi" w:cs="Arial"/>
          <w:b/>
          <w:lang w:eastAsia="en-US"/>
        </w:rPr>
        <w:t>2.1 B Tworzenie lub rozwój elektronicznych usług wewnątrzadministracyjnych (A2A), niezbędnych dla funkcjonowania e-usług publicznych;</w:t>
      </w:r>
    </w:p>
    <w:p w14:paraId="4AA90B1B" w14:textId="6F2C5AB5" w:rsidR="005D2942" w:rsidRDefault="005D2942" w:rsidP="005D2942">
      <w:pPr>
        <w:pStyle w:val="Nagwek"/>
        <w:spacing w:line="276" w:lineRule="auto"/>
        <w:jc w:val="center"/>
        <w:rPr>
          <w:rFonts w:asciiTheme="minorHAnsi" w:hAnsiTheme="minorHAnsi" w:cs="Arial"/>
          <w:b/>
          <w:lang w:eastAsia="en-US"/>
        </w:rPr>
      </w:pPr>
      <w:r w:rsidRPr="00C25ED0">
        <w:rPr>
          <w:rFonts w:asciiTheme="minorHAnsi" w:hAnsiTheme="minorHAnsi" w:cs="Arial"/>
          <w:b/>
          <w:lang w:eastAsia="en-US"/>
        </w:rPr>
        <w:t>2.1 C. Przedsięwzięcia dotyczące tworzenia i wykorzystania otwartych zasobów publicznych;</w:t>
      </w:r>
    </w:p>
    <w:p w14:paraId="464A7772" w14:textId="6975D370" w:rsidR="00C87726" w:rsidRDefault="00C87726" w:rsidP="008914F3">
      <w:pPr>
        <w:autoSpaceDE w:val="0"/>
        <w:autoSpaceDN w:val="0"/>
        <w:spacing w:before="120" w:after="120" w:line="276" w:lineRule="auto"/>
        <w:jc w:val="both"/>
        <w:rPr>
          <w:rFonts w:asciiTheme="minorHAnsi" w:eastAsiaTheme="minorHAnsi" w:hAnsiTheme="minorHAnsi" w:cs="Calibri"/>
          <w:szCs w:val="22"/>
          <w:lang w:eastAsia="en-US"/>
        </w:rPr>
      </w:pPr>
    </w:p>
    <w:p w14:paraId="5783EB26" w14:textId="77777777" w:rsidR="005657D8" w:rsidRPr="00217AF8" w:rsidRDefault="005657D8" w:rsidP="008914F3">
      <w:pPr>
        <w:autoSpaceDE w:val="0"/>
        <w:autoSpaceDN w:val="0"/>
        <w:spacing w:before="120" w:after="120" w:line="276"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7AE0FCC6" w14:textId="77777777" w:rsidR="005657D8" w:rsidRPr="00217AF8" w:rsidRDefault="005657D8" w:rsidP="008914F3">
      <w:pPr>
        <w:autoSpaceDE w:val="0"/>
        <w:autoSpaceDN w:val="0"/>
        <w:spacing w:before="120" w:after="120" w:line="276"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14:paraId="244E2E52" w14:textId="77777777" w:rsidR="00620A45" w:rsidRPr="00217AF8" w:rsidRDefault="00620A45" w:rsidP="008914F3">
      <w:pPr>
        <w:autoSpaceDE w:val="0"/>
        <w:autoSpaceDN w:val="0"/>
        <w:spacing w:before="120" w:after="120" w:line="276"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14:paraId="6653B2F7" w14:textId="77777777"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14:paraId="340589E5" w14:textId="77777777"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14:paraId="5387D9B3" w14:textId="77777777"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14:paraId="1DB79B1F" w14:textId="77777777"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14:paraId="27C6A7BD" w14:textId="77777777" w:rsidR="00620A45" w:rsidRPr="00217AF8" w:rsidRDefault="00620A45" w:rsidP="008914F3">
      <w:pPr>
        <w:numPr>
          <w:ilvl w:val="0"/>
          <w:numId w:val="3"/>
        </w:numPr>
        <w:autoSpaceDE w:val="0"/>
        <w:autoSpaceDN w:val="0"/>
        <w:spacing w:before="0" w:line="276"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14:paraId="0B1DCF56" w14:textId="77777777" w:rsidR="005657D8" w:rsidRPr="00217AF8" w:rsidRDefault="005657D8" w:rsidP="008914F3">
      <w:pPr>
        <w:autoSpaceDE w:val="0"/>
        <w:autoSpaceDN w:val="0"/>
        <w:adjustRightInd w:val="0"/>
        <w:spacing w:before="120" w:after="120" w:line="276"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14:paraId="11A7C946" w14:textId="77777777" w:rsidR="009D3C56" w:rsidRPr="00217AF8" w:rsidRDefault="009D3C56" w:rsidP="00710917">
      <w:pPr>
        <w:spacing w:before="120" w:after="120" w:line="240" w:lineRule="auto"/>
        <w:jc w:val="both"/>
        <w:rPr>
          <w:rFonts w:asciiTheme="minorHAnsi" w:hAnsiTheme="minorHAnsi"/>
          <w:b/>
          <w:szCs w:val="22"/>
        </w:rPr>
      </w:pPr>
    </w:p>
    <w:p w14:paraId="6CE12A4A" w14:textId="77777777" w:rsidR="00370466" w:rsidRPr="00217AF8" w:rsidRDefault="00370466" w:rsidP="008914F3">
      <w:pPr>
        <w:spacing w:before="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14:paraId="15204B00" w14:textId="77777777"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14:paraId="12EA0B0E" w14:textId="77777777"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14:paraId="37B6D993" w14:textId="77777777" w:rsidR="00370466" w:rsidRPr="00217AF8" w:rsidRDefault="00370466" w:rsidP="008914F3">
      <w:pPr>
        <w:pStyle w:val="Akapitzlist"/>
        <w:numPr>
          <w:ilvl w:val="0"/>
          <w:numId w:val="5"/>
        </w:numPr>
        <w:spacing w:before="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14:paraId="7CC5ACCC" w14:textId="77777777" w:rsidR="00370466" w:rsidRPr="00217AF8" w:rsidRDefault="00370466" w:rsidP="00710917">
      <w:pPr>
        <w:pStyle w:val="Akapitzlist"/>
        <w:spacing w:before="120" w:after="120" w:line="240" w:lineRule="auto"/>
        <w:ind w:left="720"/>
        <w:jc w:val="both"/>
        <w:rPr>
          <w:rFonts w:asciiTheme="minorHAnsi" w:hAnsiTheme="minorHAnsi"/>
          <w:b/>
          <w:szCs w:val="22"/>
        </w:rPr>
      </w:pPr>
    </w:p>
    <w:p w14:paraId="46830A7E" w14:textId="77777777"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lastRenderedPageBreak/>
        <w:t>Wymagania w zakresie wskaźników w projekcie</w:t>
      </w:r>
      <w:bookmarkEnd w:id="0"/>
      <w:bookmarkEnd w:id="1"/>
      <w:bookmarkEnd w:id="2"/>
    </w:p>
    <w:p w14:paraId="2C364B55" w14:textId="77777777"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14:paraId="39F4C143" w14:textId="77777777" w:rsidR="00A459F4" w:rsidRPr="00217AF8" w:rsidRDefault="00A459F4" w:rsidP="00710917">
      <w:pPr>
        <w:pStyle w:val="Default"/>
        <w:jc w:val="both"/>
        <w:rPr>
          <w:rFonts w:asciiTheme="minorHAnsi" w:eastAsiaTheme="minorHAnsi" w:hAnsiTheme="minorHAnsi" w:cs="Calibri"/>
          <w:sz w:val="22"/>
          <w:szCs w:val="22"/>
          <w:lang w:eastAsia="en-US"/>
        </w:rPr>
      </w:pPr>
    </w:p>
    <w:p w14:paraId="7DA708D1" w14:textId="77777777" w:rsidR="009D3C56" w:rsidRPr="00217AF8" w:rsidRDefault="008C495E" w:rsidP="008914F3">
      <w:pPr>
        <w:pStyle w:val="Default"/>
        <w:spacing w:line="276" w:lineRule="auto"/>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14:paraId="0C0A4632" w14:textId="77777777" w:rsidR="008A09D1" w:rsidRPr="00217AF8" w:rsidRDefault="008A09D1" w:rsidP="008914F3">
      <w:pPr>
        <w:autoSpaceDE w:val="0"/>
        <w:autoSpaceDN w:val="0"/>
        <w:adjustRightInd w:val="0"/>
        <w:spacing w:line="276"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14:paraId="0133A0D8" w14:textId="77777777" w:rsidR="008A09D1" w:rsidRPr="00217AF8" w:rsidRDefault="008A09D1"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14:paraId="34AE262F" w14:textId="77777777" w:rsidR="008A09D1" w:rsidRPr="00217AF8" w:rsidRDefault="008A09D1"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14:paraId="17FB96E5" w14:textId="77777777" w:rsidR="008A09D1" w:rsidRPr="00217AF8" w:rsidRDefault="008A09D1" w:rsidP="008914F3">
      <w:pPr>
        <w:pStyle w:val="Default"/>
        <w:spacing w:line="276" w:lineRule="auto"/>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14:paraId="29D8888D" w14:textId="754452C8"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5D2942">
        <w:rPr>
          <w:rFonts w:asciiTheme="minorHAnsi" w:hAnsiTheme="minorHAnsi"/>
          <w:b/>
          <w:szCs w:val="22"/>
        </w:rPr>
        <w:t>2.1</w:t>
      </w:r>
      <w:r w:rsidR="00C87726">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2"/>
        <w:gridCol w:w="895"/>
        <w:gridCol w:w="4421"/>
        <w:gridCol w:w="1757"/>
      </w:tblGrid>
      <w:tr w:rsidR="00506336" w:rsidRPr="00604576" w14:paraId="407B3A6A" w14:textId="77777777" w:rsidTr="00FA4C5B">
        <w:trPr>
          <w:cantSplit/>
          <w:trHeight w:val="20"/>
          <w:jc w:val="center"/>
        </w:trPr>
        <w:tc>
          <w:tcPr>
            <w:tcW w:w="1120" w:type="pct"/>
            <w:shd w:val="clear" w:color="auto" w:fill="auto"/>
            <w:vAlign w:val="center"/>
          </w:tcPr>
          <w:p w14:paraId="72FB51A3" w14:textId="77777777" w:rsidR="00506336" w:rsidRPr="00604576" w:rsidRDefault="00506336" w:rsidP="00FA4C5B">
            <w:pPr>
              <w:spacing w:before="0" w:line="240" w:lineRule="auto"/>
              <w:jc w:val="center"/>
              <w:rPr>
                <w:rFonts w:asciiTheme="minorHAnsi" w:hAnsiTheme="minorHAnsi"/>
                <w:b/>
                <w:szCs w:val="22"/>
              </w:rPr>
            </w:pPr>
            <w:r w:rsidRPr="00604576">
              <w:rPr>
                <w:rFonts w:asciiTheme="minorHAnsi" w:hAnsiTheme="minorHAnsi"/>
                <w:b/>
                <w:szCs w:val="22"/>
              </w:rPr>
              <w:t>Nazwa wskaźnika produktu</w:t>
            </w:r>
          </w:p>
        </w:tc>
        <w:tc>
          <w:tcPr>
            <w:tcW w:w="491" w:type="pct"/>
            <w:vAlign w:val="center"/>
          </w:tcPr>
          <w:p w14:paraId="2E77DC8E" w14:textId="77777777" w:rsidR="00506336" w:rsidRPr="00604576" w:rsidRDefault="00506336" w:rsidP="00FA4C5B">
            <w:pPr>
              <w:suppressAutoHyphens/>
              <w:spacing w:before="0" w:line="240" w:lineRule="auto"/>
              <w:jc w:val="center"/>
              <w:rPr>
                <w:rFonts w:asciiTheme="minorHAnsi" w:hAnsiTheme="minorHAnsi"/>
                <w:b/>
                <w:bCs/>
                <w:szCs w:val="22"/>
              </w:rPr>
            </w:pPr>
            <w:r w:rsidRPr="00604576">
              <w:rPr>
                <w:rFonts w:asciiTheme="minorHAnsi" w:hAnsiTheme="minorHAnsi"/>
                <w:b/>
                <w:bCs/>
                <w:szCs w:val="22"/>
              </w:rPr>
              <w:t>Jedn</w:t>
            </w:r>
            <w:r w:rsidR="00AD5CB0">
              <w:rPr>
                <w:rFonts w:asciiTheme="minorHAnsi" w:hAnsiTheme="minorHAnsi"/>
                <w:b/>
                <w:bCs/>
                <w:szCs w:val="22"/>
              </w:rPr>
              <w:t>.</w:t>
            </w:r>
            <w:r w:rsidRPr="00604576">
              <w:rPr>
                <w:rFonts w:asciiTheme="minorHAnsi" w:hAnsiTheme="minorHAnsi"/>
                <w:b/>
                <w:bCs/>
                <w:szCs w:val="22"/>
              </w:rPr>
              <w:t xml:space="preserve"> miary</w:t>
            </w:r>
          </w:p>
        </w:tc>
        <w:tc>
          <w:tcPr>
            <w:tcW w:w="2425" w:type="pct"/>
            <w:shd w:val="clear" w:color="auto" w:fill="auto"/>
            <w:vAlign w:val="center"/>
          </w:tcPr>
          <w:p w14:paraId="4754F8E5" w14:textId="77777777" w:rsidR="00506336" w:rsidRPr="00604576" w:rsidRDefault="00506336" w:rsidP="00FA4C5B">
            <w:pPr>
              <w:suppressAutoHyphens/>
              <w:spacing w:before="0" w:line="240" w:lineRule="auto"/>
              <w:jc w:val="center"/>
              <w:rPr>
                <w:rFonts w:asciiTheme="minorHAnsi" w:hAnsiTheme="minorHAnsi"/>
                <w:b/>
                <w:szCs w:val="22"/>
              </w:rPr>
            </w:pPr>
            <w:r w:rsidRPr="00604576">
              <w:rPr>
                <w:rFonts w:asciiTheme="minorHAnsi" w:hAnsiTheme="minorHAnsi"/>
                <w:b/>
                <w:bCs/>
                <w:szCs w:val="22"/>
              </w:rPr>
              <w:t>Definicja wskaźnika</w:t>
            </w:r>
          </w:p>
        </w:tc>
        <w:tc>
          <w:tcPr>
            <w:tcW w:w="964" w:type="pct"/>
            <w:vAlign w:val="center"/>
          </w:tcPr>
          <w:p w14:paraId="21DD43B5" w14:textId="77777777" w:rsidR="00506336" w:rsidRPr="00604576" w:rsidRDefault="00506336" w:rsidP="00FA4C5B">
            <w:pPr>
              <w:suppressAutoHyphens/>
              <w:spacing w:before="0" w:line="240" w:lineRule="auto"/>
              <w:jc w:val="center"/>
              <w:rPr>
                <w:rFonts w:asciiTheme="minorHAnsi" w:hAnsiTheme="minorHAnsi"/>
                <w:b/>
                <w:bCs/>
                <w:szCs w:val="22"/>
              </w:rPr>
            </w:pPr>
            <w:r w:rsidRPr="00604576">
              <w:rPr>
                <w:rFonts w:asciiTheme="minorHAnsi" w:hAnsiTheme="minorHAnsi"/>
                <w:b/>
                <w:bCs/>
                <w:szCs w:val="22"/>
              </w:rPr>
              <w:t>Rodzaj dokumentu, w którym określono wskaźnik</w:t>
            </w:r>
          </w:p>
        </w:tc>
      </w:tr>
      <w:tr w:rsidR="005D2942" w:rsidRPr="00604576" w14:paraId="0B98B75E" w14:textId="77777777" w:rsidTr="005D2942">
        <w:trPr>
          <w:trHeight w:val="20"/>
          <w:jc w:val="center"/>
        </w:trPr>
        <w:tc>
          <w:tcPr>
            <w:tcW w:w="1120" w:type="pct"/>
            <w:shd w:val="clear" w:color="auto" w:fill="auto"/>
          </w:tcPr>
          <w:p w14:paraId="19249C95" w14:textId="25BC48F1" w:rsidR="005D2942" w:rsidRPr="00604576" w:rsidRDefault="005D2942" w:rsidP="005D2942">
            <w:pPr>
              <w:spacing w:before="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91" w:type="pct"/>
          </w:tcPr>
          <w:p w14:paraId="2C97D28D" w14:textId="1A21B5CA" w:rsidR="005D2942" w:rsidRPr="00604576" w:rsidRDefault="005D2942" w:rsidP="005D2942">
            <w:pPr>
              <w:spacing w:before="0" w:line="240" w:lineRule="auto"/>
              <w:jc w:val="center"/>
              <w:rPr>
                <w:rFonts w:asciiTheme="minorHAnsi" w:hAnsiTheme="minorHAnsi"/>
                <w:szCs w:val="22"/>
              </w:rPr>
            </w:pPr>
            <w:r w:rsidRPr="00911273">
              <w:rPr>
                <w:rFonts w:asciiTheme="minorHAnsi" w:hAnsiTheme="minorHAnsi"/>
                <w:szCs w:val="22"/>
              </w:rPr>
              <w:t>szt.</w:t>
            </w:r>
          </w:p>
        </w:tc>
        <w:tc>
          <w:tcPr>
            <w:tcW w:w="2425" w:type="pct"/>
            <w:shd w:val="clear" w:color="auto" w:fill="auto"/>
          </w:tcPr>
          <w:p w14:paraId="1A47B870" w14:textId="63B6142A" w:rsidR="005D2942" w:rsidRPr="001F0994" w:rsidRDefault="005D2942" w:rsidP="005D2942">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 ramach digitalizacji map, GIS.</w:t>
            </w:r>
          </w:p>
          <w:p w14:paraId="4C7B610D" w14:textId="77777777" w:rsidR="005D2942" w:rsidRPr="001F0994" w:rsidRDefault="005D2942" w:rsidP="005D2942">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14:paraId="34470AB0" w14:textId="77777777" w:rsidR="005D2942" w:rsidRPr="001F0994" w:rsidRDefault="005D2942" w:rsidP="005D2942">
            <w:pPr>
              <w:numPr>
                <w:ilvl w:val="0"/>
                <w:numId w:val="14"/>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14:paraId="2471C90C" w14:textId="77777777" w:rsidR="005D2942" w:rsidRDefault="005D2942" w:rsidP="005D2942">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skierowane do klientów spoza administracji publicznej: obywateli (usługi A2C, Administration to </w:t>
            </w:r>
            <w:proofErr w:type="spellStart"/>
            <w:r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14:paraId="3C3A934C" w14:textId="77777777" w:rsidR="005D2942" w:rsidRPr="00CD28DA" w:rsidRDefault="005D2942" w:rsidP="005D2942">
            <w:pPr>
              <w:autoSpaceDE w:val="0"/>
              <w:autoSpaceDN w:val="0"/>
              <w:adjustRightInd w:val="0"/>
              <w:spacing w:before="0" w:line="240" w:lineRule="auto"/>
              <w:jc w:val="both"/>
              <w:rPr>
                <w:rFonts w:ascii="Calibri" w:eastAsia="Calibri" w:hAnsi="Calibri" w:cs="Arial Narrow"/>
                <w:szCs w:val="22"/>
                <w:lang w:eastAsia="en-US"/>
              </w:rPr>
            </w:pPr>
          </w:p>
          <w:p w14:paraId="2E319E75" w14:textId="77777777" w:rsidR="005D2942" w:rsidRPr="00CD28DA" w:rsidRDefault="005D2942" w:rsidP="005D2942">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14:paraId="4098ABCC" w14:textId="77777777" w:rsidR="005D2942" w:rsidRPr="00395460" w:rsidRDefault="005D2942" w:rsidP="005D2942">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 xml:space="preserve">Należy zliczyć udostępnione on-line usługi o stopniu dojrzałości 3, których wykonanie bez wykorzystania technologii informacyjnej jest </w:t>
            </w:r>
            <w:r w:rsidRPr="00395460">
              <w:rPr>
                <w:rFonts w:ascii="Calibri" w:eastAsia="Calibri" w:hAnsi="Calibri" w:cs="Arial Narrow"/>
                <w:szCs w:val="22"/>
                <w:lang w:eastAsia="en-US"/>
              </w:rPr>
              <w:lastRenderedPageBreak/>
              <w:t>niemożliwe w formie ogólnodostępnych serwisów informacyjnych.</w:t>
            </w:r>
          </w:p>
          <w:p w14:paraId="3C037AEA" w14:textId="77777777" w:rsidR="005D2942" w:rsidRDefault="005D2942" w:rsidP="005D2942">
            <w:pPr>
              <w:spacing w:before="0" w:line="276" w:lineRule="auto"/>
              <w:jc w:val="both"/>
              <w:rPr>
                <w:rFonts w:ascii="Calibri" w:eastAsia="Calibri" w:hAnsi="Calibri" w:cs="Arial Narrow"/>
                <w:szCs w:val="22"/>
                <w:lang w:eastAsia="en-US"/>
              </w:rPr>
            </w:pPr>
          </w:p>
          <w:p w14:paraId="6C8F399F" w14:textId="77777777" w:rsidR="005D2942" w:rsidRPr="00395460" w:rsidRDefault="005D2942" w:rsidP="005D2942">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14:paraId="4906FFDC" w14:textId="77777777" w:rsidR="005D2942" w:rsidRPr="00506336" w:rsidRDefault="005D2942" w:rsidP="005D2942">
            <w:pPr>
              <w:autoSpaceDE w:val="0"/>
              <w:autoSpaceDN w:val="0"/>
              <w:adjustRightInd w:val="0"/>
              <w:spacing w:before="0" w:line="240" w:lineRule="auto"/>
              <w:rPr>
                <w:rFonts w:asciiTheme="minorHAnsi" w:eastAsiaTheme="minorHAnsi" w:hAnsiTheme="minorHAnsi" w:cs="Arial"/>
                <w:szCs w:val="22"/>
                <w:lang w:eastAsia="en-US"/>
              </w:rPr>
            </w:pPr>
          </w:p>
        </w:tc>
        <w:tc>
          <w:tcPr>
            <w:tcW w:w="964" w:type="pct"/>
          </w:tcPr>
          <w:p w14:paraId="2C92822D" w14:textId="77777777" w:rsidR="005D2942" w:rsidRPr="00604576" w:rsidRDefault="005D2942" w:rsidP="005D2942">
            <w:pPr>
              <w:autoSpaceDE w:val="0"/>
              <w:autoSpaceDN w:val="0"/>
              <w:adjustRightInd w:val="0"/>
              <w:spacing w:before="0" w:line="240" w:lineRule="auto"/>
              <w:jc w:val="center"/>
              <w:rPr>
                <w:rFonts w:asciiTheme="minorHAnsi" w:hAnsiTheme="minorHAnsi"/>
                <w:szCs w:val="22"/>
              </w:rPr>
            </w:pPr>
            <w:r w:rsidRPr="00604576">
              <w:rPr>
                <w:rFonts w:asciiTheme="minorHAnsi" w:hAnsiTheme="minorHAnsi"/>
                <w:szCs w:val="22"/>
              </w:rPr>
              <w:lastRenderedPageBreak/>
              <w:t>RPO WD 2014-2020</w:t>
            </w:r>
          </w:p>
        </w:tc>
      </w:tr>
      <w:tr w:rsidR="005D2942" w:rsidRPr="00604576" w14:paraId="7CBBA2D2" w14:textId="77777777" w:rsidTr="00AD5CB0">
        <w:trPr>
          <w:trHeight w:val="20"/>
          <w:jc w:val="center"/>
        </w:trPr>
        <w:tc>
          <w:tcPr>
            <w:tcW w:w="1120" w:type="pct"/>
            <w:shd w:val="clear" w:color="auto" w:fill="auto"/>
          </w:tcPr>
          <w:p w14:paraId="4F56EFB4" w14:textId="4DA28810" w:rsidR="005D2942" w:rsidRPr="00604576" w:rsidRDefault="005D2942" w:rsidP="005D2942">
            <w:pPr>
              <w:spacing w:before="0" w:line="240" w:lineRule="auto"/>
              <w:rPr>
                <w:rFonts w:asciiTheme="minorHAnsi" w:eastAsiaTheme="minorHAnsi" w:hAnsiTheme="minorHAnsi"/>
                <w:szCs w:val="22"/>
                <w:lang w:eastAsia="en-US"/>
              </w:rPr>
            </w:pPr>
            <w:r w:rsidRPr="00243BE7">
              <w:rPr>
                <w:rFonts w:asciiTheme="minorHAnsi" w:hAnsiTheme="minorHAnsi"/>
                <w:szCs w:val="22"/>
              </w:rPr>
              <w:t>Liczba podmiotów, które udostępniły on-line informacje sektora publicznego</w:t>
            </w:r>
          </w:p>
        </w:tc>
        <w:tc>
          <w:tcPr>
            <w:tcW w:w="491" w:type="pct"/>
          </w:tcPr>
          <w:p w14:paraId="5536AE05" w14:textId="218F5AFE" w:rsidR="005D2942" w:rsidRPr="00604576" w:rsidRDefault="005D2942" w:rsidP="005D2942">
            <w:pPr>
              <w:spacing w:before="0" w:line="240" w:lineRule="auto"/>
              <w:jc w:val="center"/>
              <w:rPr>
                <w:rFonts w:asciiTheme="minorHAnsi" w:eastAsiaTheme="minorHAnsi" w:hAnsiTheme="minorHAnsi"/>
                <w:szCs w:val="22"/>
                <w:lang w:eastAsia="en-US"/>
              </w:rPr>
            </w:pPr>
            <w:r w:rsidRPr="00243BE7">
              <w:rPr>
                <w:rFonts w:asciiTheme="minorHAnsi" w:hAnsiTheme="minorHAnsi"/>
                <w:szCs w:val="22"/>
              </w:rPr>
              <w:t>szt.</w:t>
            </w:r>
          </w:p>
        </w:tc>
        <w:tc>
          <w:tcPr>
            <w:tcW w:w="2425" w:type="pct"/>
            <w:shd w:val="clear" w:color="auto" w:fill="auto"/>
          </w:tcPr>
          <w:p w14:paraId="13A28809"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Liczba podmiotów (wymienionych zgodnie z art. 9 ustawy o finansach publicznych), które w wyniku interwencji udostępniły on-line informacje sektora publicznego.</w:t>
            </w:r>
          </w:p>
          <w:p w14:paraId="5D4978DD"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14:paraId="66AEADF2"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14:paraId="5653F9D3"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14:paraId="6EA3F67B"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14:paraId="2333BCEE"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14:paraId="12E3ADD6"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14:paraId="4390A722" w14:textId="77777777" w:rsidR="005D2942" w:rsidRPr="00243BE7" w:rsidRDefault="005D2942" w:rsidP="005D2942">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14:paraId="76EB7280" w14:textId="1F68ACA1" w:rsidR="005D2942" w:rsidRPr="00C14E8A" w:rsidRDefault="005D2942" w:rsidP="006050F0">
            <w:pPr>
              <w:spacing w:before="0" w:line="240" w:lineRule="auto"/>
              <w:contextualSpacing/>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c>
          <w:tcPr>
            <w:tcW w:w="964" w:type="pct"/>
          </w:tcPr>
          <w:p w14:paraId="419498ED" w14:textId="7E3EC163" w:rsidR="005D2942" w:rsidRPr="00604576" w:rsidRDefault="005D2942" w:rsidP="005D2942">
            <w:pPr>
              <w:spacing w:before="0" w:line="240" w:lineRule="auto"/>
              <w:jc w:val="center"/>
              <w:rPr>
                <w:rFonts w:asciiTheme="minorHAnsi" w:hAnsiTheme="minorHAnsi"/>
                <w:szCs w:val="22"/>
              </w:rPr>
            </w:pPr>
            <w:r w:rsidRPr="00604576">
              <w:rPr>
                <w:rFonts w:asciiTheme="minorHAnsi" w:hAnsiTheme="minorHAnsi"/>
                <w:szCs w:val="22"/>
              </w:rPr>
              <w:t>RPO WD 2014-2020</w:t>
            </w:r>
          </w:p>
        </w:tc>
      </w:tr>
      <w:tr w:rsidR="005D2942" w:rsidRPr="00604576" w14:paraId="06505C61" w14:textId="77777777" w:rsidTr="00AD5CB0">
        <w:trPr>
          <w:trHeight w:val="20"/>
          <w:jc w:val="center"/>
        </w:trPr>
        <w:tc>
          <w:tcPr>
            <w:tcW w:w="1120" w:type="pct"/>
            <w:shd w:val="clear" w:color="auto" w:fill="auto"/>
          </w:tcPr>
          <w:p w14:paraId="0DB357D6" w14:textId="77777777" w:rsidR="005D2942" w:rsidRPr="008374FF" w:rsidRDefault="005D2942" w:rsidP="005D2942">
            <w:pPr>
              <w:spacing w:before="40" w:after="40" w:line="240" w:lineRule="auto"/>
              <w:rPr>
                <w:rFonts w:asciiTheme="minorHAnsi" w:hAnsiTheme="minorHAnsi"/>
                <w:szCs w:val="22"/>
              </w:rPr>
            </w:pPr>
            <w:r w:rsidRPr="008374FF">
              <w:rPr>
                <w:rFonts w:asciiTheme="minorHAnsi" w:hAnsiTheme="minorHAnsi"/>
                <w:szCs w:val="22"/>
              </w:rPr>
              <w:t xml:space="preserve">Liczba urzędów, które wdrożyły katalog </w:t>
            </w:r>
            <w:r w:rsidRPr="008374FF">
              <w:rPr>
                <w:rFonts w:asciiTheme="minorHAnsi" w:hAnsiTheme="minorHAnsi"/>
                <w:szCs w:val="22"/>
              </w:rPr>
              <w:lastRenderedPageBreak/>
              <w:t>rekomendacji dotyczących awansu cyfrowego</w:t>
            </w:r>
          </w:p>
          <w:p w14:paraId="343D5AD3" w14:textId="77777777" w:rsidR="005D2942" w:rsidRPr="008374FF" w:rsidRDefault="005D2942" w:rsidP="005D2942">
            <w:pPr>
              <w:spacing w:before="40" w:after="40" w:line="240" w:lineRule="auto"/>
              <w:ind w:left="316"/>
              <w:contextualSpacing/>
              <w:rPr>
                <w:rFonts w:asciiTheme="minorHAnsi" w:eastAsiaTheme="minorHAnsi" w:hAnsiTheme="minorHAnsi" w:cs="Arial"/>
                <w:szCs w:val="22"/>
                <w:lang w:eastAsia="en-US"/>
              </w:rPr>
            </w:pPr>
          </w:p>
          <w:p w14:paraId="682E9BA7" w14:textId="77777777" w:rsidR="005D2942" w:rsidRPr="00604576" w:rsidRDefault="005D2942" w:rsidP="005D2942">
            <w:pPr>
              <w:spacing w:before="0" w:line="240" w:lineRule="auto"/>
              <w:rPr>
                <w:rFonts w:asciiTheme="minorHAnsi" w:eastAsiaTheme="minorHAnsi" w:hAnsiTheme="minorHAnsi"/>
                <w:szCs w:val="22"/>
                <w:lang w:eastAsia="en-US"/>
              </w:rPr>
            </w:pPr>
          </w:p>
        </w:tc>
        <w:tc>
          <w:tcPr>
            <w:tcW w:w="491" w:type="pct"/>
          </w:tcPr>
          <w:p w14:paraId="5F164BE7" w14:textId="0808A8B8" w:rsidR="005D2942" w:rsidRPr="00604576" w:rsidRDefault="005D2942" w:rsidP="005D2942">
            <w:pPr>
              <w:spacing w:before="0" w:line="240" w:lineRule="auto"/>
              <w:jc w:val="center"/>
              <w:rPr>
                <w:rFonts w:asciiTheme="minorHAnsi" w:eastAsiaTheme="minorHAnsi" w:hAnsiTheme="minorHAnsi"/>
                <w:szCs w:val="22"/>
                <w:lang w:eastAsia="en-US"/>
              </w:rPr>
            </w:pPr>
            <w:r w:rsidRPr="008374FF">
              <w:rPr>
                <w:rFonts w:asciiTheme="minorHAnsi" w:hAnsiTheme="minorHAnsi"/>
                <w:szCs w:val="22"/>
              </w:rPr>
              <w:lastRenderedPageBreak/>
              <w:t>szt.</w:t>
            </w:r>
          </w:p>
        </w:tc>
        <w:tc>
          <w:tcPr>
            <w:tcW w:w="2425" w:type="pct"/>
            <w:shd w:val="clear" w:color="auto" w:fill="auto"/>
          </w:tcPr>
          <w:p w14:paraId="4F3D4E18" w14:textId="77777777" w:rsidR="005D2942" w:rsidRPr="008374FF" w:rsidRDefault="005D2942" w:rsidP="005D2942">
            <w:pPr>
              <w:autoSpaceDE w:val="0"/>
              <w:autoSpaceDN w:val="0"/>
              <w:adjustRightInd w:val="0"/>
              <w:spacing w:before="0" w:line="240" w:lineRule="auto"/>
              <w:jc w:val="both"/>
              <w:rPr>
                <w:rFonts w:asciiTheme="minorHAnsi" w:hAnsiTheme="minorHAnsi"/>
                <w:b/>
                <w:szCs w:val="22"/>
              </w:rPr>
            </w:pPr>
            <w:r w:rsidRPr="008374FF">
              <w:rPr>
                <w:rFonts w:asciiTheme="minorHAnsi" w:hAnsiTheme="minorHAnsi"/>
                <w:b/>
                <w:szCs w:val="22"/>
              </w:rPr>
              <w:t>Definicja wskaźnika na potrzeby ogłaszanego konkursu:</w:t>
            </w:r>
          </w:p>
          <w:p w14:paraId="7DE9D1D8"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p>
          <w:p w14:paraId="0E245797"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lastRenderedPageBreak/>
              <w:t xml:space="preserve">Ze względu na brak opracowanego przez ministra właściwego do spraw informatyzacji katalogu rekomendacji awansu cyfrowego (tzw. Katalog Rekomendacji Cyfrowego Urzędu - KRCU), wskaźnik może być wykorzystywany </w:t>
            </w:r>
          </w:p>
          <w:p w14:paraId="2340E2BF"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w projektach administracji publicznej,  przewidujących wsparcie rozwiązań „</w:t>
            </w:r>
            <w:proofErr w:type="spellStart"/>
            <w:r w:rsidRPr="008374FF">
              <w:rPr>
                <w:rFonts w:asciiTheme="minorHAnsi" w:hAnsiTheme="minorHAnsi"/>
                <w:szCs w:val="22"/>
              </w:rPr>
              <w:t>back-office</w:t>
            </w:r>
            <w:proofErr w:type="spellEnd"/>
            <w:r w:rsidRPr="008374FF">
              <w:rPr>
                <w:rFonts w:asciiTheme="minorHAnsi" w:hAnsiTheme="minorHAnsi"/>
                <w:szCs w:val="22"/>
              </w:rPr>
              <w:t>” .</w:t>
            </w:r>
          </w:p>
          <w:p w14:paraId="0B477748"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p>
          <w:p w14:paraId="4FB7B9FB"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Wnioskodawca wybierając ten wskaźnik, musi dokonać „samooceny”.</w:t>
            </w:r>
          </w:p>
          <w:p w14:paraId="5666AE32"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p>
          <w:p w14:paraId="3C35901A" w14:textId="77777777" w:rsidR="005D2942" w:rsidRDefault="005D2942" w:rsidP="005D2942">
            <w:pPr>
              <w:autoSpaceDE w:val="0"/>
              <w:autoSpaceDN w:val="0"/>
              <w:adjustRightInd w:val="0"/>
              <w:spacing w:before="0" w:line="240" w:lineRule="auto"/>
              <w:rPr>
                <w:rFonts w:ascii="Calibri" w:hAnsi="Calibri"/>
                <w:szCs w:val="22"/>
                <w:lang w:eastAsia="en-US"/>
              </w:rPr>
            </w:pPr>
            <w:r w:rsidRPr="008374FF">
              <w:rPr>
                <w:rFonts w:asciiTheme="minorHAnsi" w:hAnsiTheme="minorHAnsi"/>
                <w:szCs w:val="22"/>
              </w:rPr>
              <w:t xml:space="preserve"> </w:t>
            </w:r>
            <w:r>
              <w:rPr>
                <w:rFonts w:ascii="Calibri" w:hAnsi="Calibri"/>
                <w:b/>
                <w:szCs w:val="22"/>
                <w:lang w:eastAsia="en-US"/>
              </w:rPr>
              <w:t>Samoocena</w:t>
            </w:r>
            <w:r>
              <w:rPr>
                <w:rFonts w:ascii="Calibri" w:hAnsi="Calibri"/>
                <w:szCs w:val="22"/>
                <w:lang w:eastAsia="en-US"/>
              </w:rPr>
              <w:t xml:space="preserve"> - analiza stanu cyfryzacji jednostki  (w oparciu o formularz zamieszczony na stronie: </w:t>
            </w:r>
            <w:hyperlink r:id="rId8" w:history="1">
              <w:r w:rsidRPr="00F9235E">
                <w:rPr>
                  <w:rStyle w:val="Hipercze"/>
                  <w:rFonts w:ascii="Calibri" w:hAnsi="Calibri" w:cs="Arial"/>
                </w:rPr>
                <w:t>www.rpo.dolnyslask.pl</w:t>
              </w:r>
            </w:hyperlink>
            <w:r w:rsidRPr="00F9235E">
              <w:rPr>
                <w:rFonts w:ascii="Calibri" w:hAnsi="Calibri"/>
                <w:szCs w:val="22"/>
                <w:lang w:eastAsia="en-US"/>
              </w:rPr>
              <w:t>)</w:t>
            </w:r>
            <w:r>
              <w:rPr>
                <w:rFonts w:ascii="Calibri" w:hAnsi="Calibri"/>
                <w:szCs w:val="22"/>
                <w:lang w:eastAsia="en-US"/>
              </w:rPr>
              <w:t>.</w:t>
            </w:r>
          </w:p>
          <w:p w14:paraId="6DE60A69"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p>
          <w:p w14:paraId="2D2A5D99"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 xml:space="preserve">W przypadku projektów partnerskich samoocena musi zostać dokonana przez każdego partnera z osobna. </w:t>
            </w:r>
          </w:p>
          <w:p w14:paraId="4D558F5F"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p>
          <w:p w14:paraId="666A12B7" w14:textId="77777777" w:rsidR="005D2942" w:rsidRPr="008374FF" w:rsidRDefault="005D2942" w:rsidP="005D2942">
            <w:pPr>
              <w:autoSpaceDE w:val="0"/>
              <w:autoSpaceDN w:val="0"/>
              <w:adjustRightInd w:val="0"/>
              <w:spacing w:before="0" w:line="240" w:lineRule="auto"/>
              <w:jc w:val="both"/>
              <w:rPr>
                <w:rFonts w:asciiTheme="minorHAnsi" w:hAnsiTheme="minorHAnsi"/>
                <w:szCs w:val="22"/>
              </w:rPr>
            </w:pPr>
            <w:r w:rsidRPr="008374FF">
              <w:rPr>
                <w:rFonts w:asciiTheme="minorHAnsi" w:hAnsiTheme="minorHAnsi"/>
                <w:szCs w:val="22"/>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14:paraId="46CE8AA2" w14:textId="77777777" w:rsidR="005D2942" w:rsidRPr="00704A14" w:rsidRDefault="005D2942" w:rsidP="005D2942">
            <w:pPr>
              <w:spacing w:before="0" w:line="240" w:lineRule="auto"/>
              <w:ind w:left="720"/>
              <w:contextualSpacing/>
              <w:rPr>
                <w:rFonts w:asciiTheme="minorHAnsi" w:hAnsiTheme="minorHAnsi"/>
                <w:szCs w:val="22"/>
              </w:rPr>
            </w:pPr>
          </w:p>
        </w:tc>
        <w:tc>
          <w:tcPr>
            <w:tcW w:w="964" w:type="pct"/>
          </w:tcPr>
          <w:p w14:paraId="7CA94F33" w14:textId="065AE588" w:rsidR="005D2942" w:rsidRPr="00604576" w:rsidRDefault="005D2942" w:rsidP="005D2942">
            <w:pPr>
              <w:spacing w:before="0" w:line="240" w:lineRule="auto"/>
              <w:jc w:val="center"/>
              <w:rPr>
                <w:rFonts w:asciiTheme="minorHAnsi" w:hAnsiTheme="minorHAnsi"/>
                <w:szCs w:val="22"/>
              </w:rPr>
            </w:pPr>
            <w:r w:rsidRPr="00604576">
              <w:rPr>
                <w:rFonts w:asciiTheme="minorHAnsi" w:hAnsiTheme="minorHAnsi"/>
                <w:szCs w:val="22"/>
              </w:rPr>
              <w:lastRenderedPageBreak/>
              <w:t>RPO WD 2014-2020</w:t>
            </w:r>
          </w:p>
        </w:tc>
      </w:tr>
      <w:tr w:rsidR="005D2942" w:rsidRPr="00604576" w14:paraId="5EBF0052" w14:textId="77777777" w:rsidTr="00AD5CB0">
        <w:trPr>
          <w:trHeight w:val="20"/>
          <w:jc w:val="center"/>
        </w:trPr>
        <w:tc>
          <w:tcPr>
            <w:tcW w:w="1120" w:type="pct"/>
            <w:shd w:val="clear" w:color="auto" w:fill="auto"/>
          </w:tcPr>
          <w:p w14:paraId="53F4AAA9" w14:textId="1C850AE0" w:rsidR="005D2942" w:rsidRPr="00604576" w:rsidRDefault="005D2942" w:rsidP="005D2942">
            <w:pPr>
              <w:autoSpaceDE w:val="0"/>
              <w:autoSpaceDN w:val="0"/>
              <w:adjustRightInd w:val="0"/>
              <w:spacing w:before="0" w:line="240" w:lineRule="auto"/>
              <w:contextualSpacing/>
              <w:rPr>
                <w:rFonts w:asciiTheme="minorHAnsi" w:eastAsiaTheme="minorHAnsi" w:hAnsiTheme="minorHAnsi"/>
                <w:szCs w:val="22"/>
                <w:lang w:eastAsia="en-US"/>
              </w:rPr>
            </w:pPr>
            <w:r w:rsidRPr="00E2644E">
              <w:rPr>
                <w:rFonts w:ascii="Calibri" w:hAnsi="Calibri" w:cs="Arial"/>
              </w:rPr>
              <w:t>Liczba usług publicznych udostępnionych on-line o stopniu dojrzałości co najmniej 4-transakcja</w:t>
            </w:r>
          </w:p>
        </w:tc>
        <w:tc>
          <w:tcPr>
            <w:tcW w:w="491" w:type="pct"/>
          </w:tcPr>
          <w:p w14:paraId="6C4402CA" w14:textId="6B72504C" w:rsidR="005D2942" w:rsidRPr="00604576" w:rsidRDefault="005D2942" w:rsidP="005D2942">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14:paraId="1B7F60A2"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D28DA">
              <w:rPr>
                <w:rFonts w:ascii="Calibri" w:eastAsia="Calibri" w:hAnsi="Calibri" w:cs="Arial Narrow"/>
                <w:szCs w:val="22"/>
                <w:lang w:eastAsia="en-US"/>
              </w:rPr>
              <w:t>sms-em</w:t>
            </w:r>
            <w:proofErr w:type="spellEnd"/>
            <w:r w:rsidRPr="00CD28DA">
              <w:rPr>
                <w:rFonts w:ascii="Calibri" w:eastAsia="Calibri" w:hAnsi="Calibri" w:cs="Arial Narrow"/>
                <w:szCs w:val="22"/>
                <w:lang w:eastAsia="en-US"/>
              </w:rPr>
              <w:t xml:space="preserve"> o zbliżającej się potrzebie wykonania danej czynności urzędowej). </w:t>
            </w:r>
          </w:p>
          <w:p w14:paraId="00AAE56C"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ramach wskaźnika należy ujmować usługi:</w:t>
            </w:r>
          </w:p>
          <w:p w14:paraId="3730070C"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nowe  lub istotnie udoskonalone</w:t>
            </w:r>
          </w:p>
          <w:p w14:paraId="488B34A5" w14:textId="77777777" w:rsidR="005D2942" w:rsidRDefault="005D2942" w:rsidP="005D2942">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 skierowane do klientów spoza administracji publicznej: obywateli (usługi A2C, </w:t>
            </w:r>
            <w:r w:rsidRPr="00CD28DA">
              <w:rPr>
                <w:rFonts w:ascii="Calibri" w:eastAsia="Calibri" w:hAnsi="Calibri" w:cs="Arial Narrow"/>
                <w:szCs w:val="22"/>
                <w:lang w:eastAsia="en-US"/>
              </w:rPr>
              <w:lastRenderedPageBreak/>
              <w:t xml:space="preserve">Administration to </w:t>
            </w:r>
            <w:proofErr w:type="spellStart"/>
            <w:r w:rsidRPr="00CD28DA">
              <w:rPr>
                <w:rFonts w:ascii="Calibri" w:eastAsia="Calibri" w:hAnsi="Calibri" w:cs="Arial Narrow"/>
                <w:szCs w:val="22"/>
                <w:lang w:eastAsia="en-US"/>
              </w:rPr>
              <w:t>C</w:t>
            </w:r>
            <w:r>
              <w:rPr>
                <w:rFonts w:ascii="Calibri" w:eastAsia="Calibri" w:hAnsi="Calibri" w:cs="Arial Narrow"/>
                <w:szCs w:val="22"/>
                <w:lang w:eastAsia="en-US"/>
              </w:rPr>
              <w:t>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14:paraId="1F6F88B7" w14:textId="77777777" w:rsidR="005D2942" w:rsidRDefault="005D2942" w:rsidP="005D2942">
            <w:pPr>
              <w:autoSpaceDE w:val="0"/>
              <w:autoSpaceDN w:val="0"/>
              <w:adjustRightInd w:val="0"/>
              <w:spacing w:before="0" w:line="240" w:lineRule="auto"/>
              <w:jc w:val="both"/>
              <w:rPr>
                <w:rFonts w:ascii="Calibri" w:eastAsia="Calibri" w:hAnsi="Calibri" w:cs="Arial Narrow"/>
                <w:szCs w:val="22"/>
                <w:lang w:eastAsia="en-US"/>
              </w:rPr>
            </w:pPr>
          </w:p>
          <w:p w14:paraId="14DCA81A"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Theme="minorHAnsi" w:hAnsiTheme="minorHAnsi"/>
                <w:szCs w:val="22"/>
              </w:rPr>
              <w:t xml:space="preserve">Metoda pomiaru: </w:t>
            </w:r>
            <w:r w:rsidRPr="00CD28DA">
              <w:rPr>
                <w:rFonts w:ascii="Calibri" w:eastAsia="Calibri" w:hAnsi="Calibri" w:cs="Arial Narrow"/>
                <w:szCs w:val="22"/>
                <w:lang w:eastAsia="en-US"/>
              </w:rPr>
              <w:t xml:space="preserve">Należy zliczyć udostępnione on-line usługi o stopniu dojrzałości </w:t>
            </w:r>
            <w:r w:rsidRPr="00CD28DA">
              <w:rPr>
                <w:rFonts w:ascii="Calibri" w:eastAsia="Calibri" w:hAnsi="Calibri" w:cs="Arial Narrow"/>
                <w:b/>
                <w:szCs w:val="22"/>
                <w:lang w:eastAsia="en-US"/>
              </w:rPr>
              <w:t>co najmniej 4</w:t>
            </w:r>
            <w:r w:rsidRPr="00CD28DA">
              <w:rPr>
                <w:rFonts w:ascii="Calibri" w:eastAsia="Calibri" w:hAnsi="Calibri" w:cs="Arial Narrow"/>
                <w:szCs w:val="22"/>
                <w:lang w:eastAsia="en-US"/>
              </w:rPr>
              <w:t>, których wykonanie bez wykorzystania technologii informacyjnej jest niemożliwe w formie ogólnodostępnych serwisów informacyjnych.</w:t>
            </w:r>
          </w:p>
          <w:p w14:paraId="7029BC31"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Nie należy wliczać usług udostępnionych on-line o stopniu dojrzałości 3.</w:t>
            </w:r>
          </w:p>
          <w:p w14:paraId="0C25A056" w14:textId="77777777" w:rsidR="005D2942" w:rsidRPr="00CD28DA" w:rsidRDefault="005D2942" w:rsidP="005D2942">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przypadku, gdy projekt dotyczy kilku podmiotów nie należy liczyć tych samych usług tyle razy, ile podmiotów jest zaangażowanych w projekt.</w:t>
            </w:r>
          </w:p>
          <w:p w14:paraId="3FED02D9" w14:textId="77777777" w:rsidR="005D2942" w:rsidRPr="00604576" w:rsidRDefault="005D2942" w:rsidP="005D2942">
            <w:pPr>
              <w:spacing w:before="0" w:line="240" w:lineRule="auto"/>
              <w:rPr>
                <w:rFonts w:asciiTheme="minorHAnsi" w:eastAsiaTheme="minorHAnsi" w:hAnsiTheme="minorHAnsi"/>
                <w:szCs w:val="22"/>
                <w:lang w:eastAsia="en-US"/>
              </w:rPr>
            </w:pPr>
          </w:p>
        </w:tc>
        <w:tc>
          <w:tcPr>
            <w:tcW w:w="964" w:type="pct"/>
          </w:tcPr>
          <w:p w14:paraId="02930F4F" w14:textId="03CC2670" w:rsidR="005D2942" w:rsidRPr="00604576" w:rsidRDefault="005D2942" w:rsidP="005D2942">
            <w:pPr>
              <w:spacing w:before="0" w:line="240" w:lineRule="auto"/>
              <w:jc w:val="center"/>
              <w:rPr>
                <w:rFonts w:asciiTheme="minorHAnsi" w:hAnsiTheme="minorHAnsi"/>
                <w:szCs w:val="22"/>
              </w:rPr>
            </w:pPr>
            <w:r w:rsidRPr="00604576">
              <w:rPr>
                <w:rFonts w:asciiTheme="minorHAnsi" w:hAnsiTheme="minorHAnsi"/>
                <w:szCs w:val="22"/>
              </w:rPr>
              <w:lastRenderedPageBreak/>
              <w:t>RPO WD 2014-2020</w:t>
            </w:r>
          </w:p>
        </w:tc>
      </w:tr>
      <w:tr w:rsidR="005D2942" w:rsidRPr="00604576" w14:paraId="7E707024" w14:textId="77777777" w:rsidTr="00AD5CB0">
        <w:trPr>
          <w:trHeight w:val="20"/>
          <w:jc w:val="center"/>
        </w:trPr>
        <w:tc>
          <w:tcPr>
            <w:tcW w:w="1120" w:type="pct"/>
            <w:shd w:val="clear" w:color="auto" w:fill="auto"/>
          </w:tcPr>
          <w:p w14:paraId="607C3397" w14:textId="6FC189C1" w:rsidR="005D2942" w:rsidRPr="00604576" w:rsidRDefault="005D2942" w:rsidP="005D2942">
            <w:pPr>
              <w:autoSpaceDE w:val="0"/>
              <w:autoSpaceDN w:val="0"/>
              <w:adjustRightInd w:val="0"/>
              <w:spacing w:before="0" w:line="240" w:lineRule="auto"/>
              <w:contextualSpacing/>
              <w:rPr>
                <w:rFonts w:asciiTheme="minorHAnsi" w:eastAsiaTheme="minorHAnsi" w:hAnsiTheme="minorHAnsi"/>
                <w:szCs w:val="22"/>
                <w:lang w:eastAsia="en-US"/>
              </w:rPr>
            </w:pPr>
            <w:r w:rsidRPr="001722F7">
              <w:rPr>
                <w:rFonts w:ascii="Calibri" w:hAnsi="Calibri" w:cs="Arial"/>
              </w:rPr>
              <w:t>Liczba udostępnionych usług wewnątrzadministracyjnych (A2A)</w:t>
            </w:r>
          </w:p>
        </w:tc>
        <w:tc>
          <w:tcPr>
            <w:tcW w:w="491" w:type="pct"/>
          </w:tcPr>
          <w:p w14:paraId="17D4049F" w14:textId="0A7B01EB"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32E754AE" w14:textId="77777777" w:rsidR="005D2942" w:rsidRPr="00E3647B" w:rsidRDefault="005D2942" w:rsidP="008D43F7">
            <w:pPr>
              <w:spacing w:before="0" w:line="240" w:lineRule="auto"/>
              <w:jc w:val="both"/>
              <w:rPr>
                <w:rFonts w:asciiTheme="minorHAnsi" w:hAnsiTheme="minorHAnsi" w:cstheme="minorHAnsi"/>
                <w:szCs w:val="22"/>
              </w:rPr>
            </w:pPr>
            <w:r w:rsidRPr="00E3647B">
              <w:rPr>
                <w:rFonts w:asciiTheme="minorHAnsi" w:hAnsiTheme="minorHAnsi" w:cstheme="minorHAnsi"/>
                <w:szCs w:val="22"/>
              </w:rPr>
              <w:t xml:space="preserve">Liczba usług elektronicznie udostępnionych przez organ administracji publicznej innemu organowi tej administracji, umożliwiających realizację części jego zadań drogą elektroniczną.  </w:t>
            </w:r>
          </w:p>
          <w:p w14:paraId="2CFA8BFC" w14:textId="17012AA0" w:rsidR="004B7E46" w:rsidRPr="00E3647B" w:rsidRDefault="004B7E46" w:rsidP="008D43F7">
            <w:pPr>
              <w:spacing w:before="0" w:line="240" w:lineRule="auto"/>
              <w:jc w:val="both"/>
              <w:rPr>
                <w:rFonts w:asciiTheme="minorHAnsi" w:eastAsiaTheme="minorHAnsi" w:hAnsiTheme="minorHAnsi" w:cstheme="minorHAnsi"/>
                <w:szCs w:val="22"/>
                <w:lang w:eastAsia="en-US"/>
              </w:rPr>
            </w:pPr>
            <w:r w:rsidRPr="00E3647B">
              <w:rPr>
                <w:rFonts w:asciiTheme="minorHAnsi" w:hAnsiTheme="minorHAnsi" w:cstheme="minorHAnsi"/>
              </w:rPr>
              <w:t>Organ administracji publicznej musi mieścić się w katalogu wnioskodawców</w:t>
            </w:r>
            <w:r w:rsidR="008D43F7">
              <w:rPr>
                <w:rFonts w:asciiTheme="minorHAnsi" w:hAnsiTheme="minorHAnsi" w:cstheme="minorHAnsi"/>
              </w:rPr>
              <w:t xml:space="preserve"> </w:t>
            </w:r>
            <w:r w:rsidRPr="00E3647B">
              <w:rPr>
                <w:rFonts w:asciiTheme="minorHAnsi" w:hAnsiTheme="minorHAnsi" w:cstheme="minorHAnsi"/>
              </w:rPr>
              <w:t>/beneficjentów  działania 2.1 ( w tym także jako partner) i jednocześnie być zgodny podmiotami wymienionymi w  art. 9 ustawy o finansach publicznych.</w:t>
            </w:r>
          </w:p>
        </w:tc>
        <w:tc>
          <w:tcPr>
            <w:tcW w:w="964" w:type="pct"/>
          </w:tcPr>
          <w:p w14:paraId="22D91E69" w14:textId="77777777" w:rsidR="005D2942" w:rsidRPr="00604576" w:rsidRDefault="005D2942" w:rsidP="005D2942">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5D2942" w:rsidRPr="00604576" w14:paraId="75C06339" w14:textId="77777777" w:rsidTr="00AD5CB0">
        <w:trPr>
          <w:trHeight w:val="20"/>
          <w:jc w:val="center"/>
        </w:trPr>
        <w:tc>
          <w:tcPr>
            <w:tcW w:w="1120" w:type="pct"/>
            <w:shd w:val="clear" w:color="auto" w:fill="auto"/>
          </w:tcPr>
          <w:p w14:paraId="3A8B18A7" w14:textId="29DF11A9" w:rsidR="005D2942" w:rsidRPr="00604576" w:rsidRDefault="005D2942" w:rsidP="005D2942">
            <w:pPr>
              <w:autoSpaceDE w:val="0"/>
              <w:autoSpaceDN w:val="0"/>
              <w:adjustRightInd w:val="0"/>
              <w:spacing w:before="0" w:line="240" w:lineRule="auto"/>
              <w:contextualSpacing/>
              <w:rPr>
                <w:rFonts w:asciiTheme="minorHAnsi" w:eastAsiaTheme="minorHAnsi" w:hAnsiTheme="minorHAnsi"/>
                <w:szCs w:val="22"/>
                <w:lang w:eastAsia="en-US"/>
              </w:rPr>
            </w:pPr>
            <w:r w:rsidRPr="001722F7">
              <w:rPr>
                <w:rFonts w:ascii="Calibri" w:hAnsi="Calibri" w:cs="Arial"/>
              </w:rPr>
              <w:t>Liczba podmiotów udostępniających usługi wewnątrzadministracyjne (A2A)</w:t>
            </w:r>
          </w:p>
        </w:tc>
        <w:tc>
          <w:tcPr>
            <w:tcW w:w="491" w:type="pct"/>
          </w:tcPr>
          <w:p w14:paraId="053D9703" w14:textId="5E59C3BD"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4CD8D69B" w14:textId="77777777" w:rsidR="005D2942" w:rsidRPr="00E3647B" w:rsidRDefault="005D2942" w:rsidP="005D2942">
            <w:pPr>
              <w:spacing w:before="0" w:line="240" w:lineRule="auto"/>
              <w:rPr>
                <w:rFonts w:asciiTheme="minorHAnsi" w:hAnsiTheme="minorHAnsi" w:cstheme="minorHAnsi"/>
                <w:szCs w:val="22"/>
              </w:rPr>
            </w:pPr>
            <w:r w:rsidRPr="00E3647B">
              <w:rPr>
                <w:rFonts w:asciiTheme="minorHAnsi" w:hAnsiTheme="minorHAnsi" w:cstheme="minorHAnsi"/>
                <w:szCs w:val="22"/>
              </w:rPr>
              <w:t xml:space="preserve">Liczba organów administracji publicznej  udostępniających usługi innemu organowi tej administracji, umożliwiających realizację części jego zadań drogą elektroniczną.  </w:t>
            </w:r>
          </w:p>
          <w:p w14:paraId="18B68216" w14:textId="22CD070E" w:rsidR="004B7E46" w:rsidRPr="00E3647B" w:rsidRDefault="004B7E46" w:rsidP="008D43F7">
            <w:pPr>
              <w:spacing w:before="0" w:line="240" w:lineRule="auto"/>
              <w:jc w:val="both"/>
              <w:rPr>
                <w:rFonts w:asciiTheme="minorHAnsi" w:eastAsiaTheme="minorHAnsi" w:hAnsiTheme="minorHAnsi" w:cstheme="minorHAnsi"/>
                <w:szCs w:val="22"/>
                <w:lang w:eastAsia="en-US"/>
              </w:rPr>
            </w:pPr>
            <w:r w:rsidRPr="00E3647B">
              <w:rPr>
                <w:rFonts w:asciiTheme="minorHAnsi" w:hAnsiTheme="minorHAnsi" w:cstheme="minorHAnsi"/>
              </w:rPr>
              <w:t>Organ administracji publicznej musi mieścić się w katalogu wnioskodawców</w:t>
            </w:r>
            <w:r w:rsidR="008D43F7">
              <w:rPr>
                <w:rFonts w:asciiTheme="minorHAnsi" w:hAnsiTheme="minorHAnsi" w:cstheme="minorHAnsi"/>
              </w:rPr>
              <w:t xml:space="preserve"> </w:t>
            </w:r>
            <w:r w:rsidRPr="00E3647B">
              <w:rPr>
                <w:rFonts w:asciiTheme="minorHAnsi" w:hAnsiTheme="minorHAnsi" w:cstheme="minorHAnsi"/>
              </w:rPr>
              <w:t>/beneficjentów  działania 2.1 ( w tym także jako partner) i jednocześnie być zgodny podmiotami wymienionymi w  art. 9 ustawy o finansach publicznych.</w:t>
            </w:r>
          </w:p>
        </w:tc>
        <w:tc>
          <w:tcPr>
            <w:tcW w:w="964" w:type="pct"/>
          </w:tcPr>
          <w:p w14:paraId="2CA94B74" w14:textId="77777777" w:rsidR="005D2942" w:rsidRPr="00604576" w:rsidRDefault="005D2942" w:rsidP="005D2942">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5D2942" w:rsidRPr="00604576" w14:paraId="293230CD" w14:textId="77777777" w:rsidTr="00AD5CB0">
        <w:trPr>
          <w:trHeight w:val="20"/>
          <w:jc w:val="center"/>
        </w:trPr>
        <w:tc>
          <w:tcPr>
            <w:tcW w:w="1120" w:type="pct"/>
            <w:shd w:val="clear" w:color="auto" w:fill="auto"/>
          </w:tcPr>
          <w:p w14:paraId="3FF896CA" w14:textId="77777777" w:rsidR="005D2942" w:rsidRPr="001722F7" w:rsidRDefault="005D2942" w:rsidP="005D2942">
            <w:pPr>
              <w:spacing w:before="40" w:after="40" w:line="240" w:lineRule="auto"/>
              <w:rPr>
                <w:rFonts w:ascii="Calibri" w:hAnsi="Calibri" w:cs="Arial"/>
              </w:rPr>
            </w:pPr>
            <w:r w:rsidRPr="001722F7">
              <w:rPr>
                <w:rFonts w:ascii="Calibri" w:hAnsi="Calibri" w:cs="Arial"/>
              </w:rPr>
              <w:t xml:space="preserve">Liczba </w:t>
            </w:r>
            <w:proofErr w:type="spellStart"/>
            <w:r w:rsidRPr="001722F7">
              <w:rPr>
                <w:rFonts w:ascii="Calibri" w:hAnsi="Calibri" w:cs="Arial"/>
              </w:rPr>
              <w:t>zdigitalizowanych</w:t>
            </w:r>
            <w:proofErr w:type="spellEnd"/>
            <w:r w:rsidRPr="001722F7">
              <w:rPr>
                <w:rFonts w:ascii="Calibri" w:hAnsi="Calibri" w:cs="Arial"/>
              </w:rPr>
              <w:t xml:space="preserve"> dokumentów zawierających informacje sektora publicznego</w:t>
            </w:r>
          </w:p>
          <w:p w14:paraId="3EBD9C9F" w14:textId="77777777" w:rsidR="005D2942" w:rsidRPr="001722F7" w:rsidRDefault="005D2942" w:rsidP="005D2942">
            <w:pPr>
              <w:spacing w:before="40" w:after="40" w:line="240" w:lineRule="auto"/>
              <w:rPr>
                <w:rFonts w:ascii="Calibri" w:hAnsi="Calibri" w:cs="Arial"/>
              </w:rPr>
            </w:pPr>
          </w:p>
          <w:p w14:paraId="70AB89D9" w14:textId="6EAEB8E8" w:rsidR="005D2942" w:rsidRPr="00604576" w:rsidRDefault="005D2942" w:rsidP="005D2942">
            <w:pPr>
              <w:spacing w:before="0" w:line="240" w:lineRule="auto"/>
              <w:rPr>
                <w:rFonts w:asciiTheme="minorHAnsi" w:eastAsiaTheme="minorHAnsi" w:hAnsiTheme="minorHAnsi"/>
                <w:szCs w:val="22"/>
                <w:lang w:eastAsia="en-US"/>
              </w:rPr>
            </w:pPr>
          </w:p>
        </w:tc>
        <w:tc>
          <w:tcPr>
            <w:tcW w:w="491" w:type="pct"/>
          </w:tcPr>
          <w:p w14:paraId="7FD44BAE" w14:textId="0E1BC481"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09FCDE49"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Liczba dokumentów stanowiących informacje sektora publicznego, które w wyniku wsparcia, zostaną przetworzone z postaci analogowej do postaci cyfrowej. </w:t>
            </w:r>
          </w:p>
          <w:p w14:paraId="44E84786"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"Dokument" oznacza (na podstawie dyrektywy 2003/98/WE) jakąkolwiek treść niezależnie od zastosowanego nośnika (zapisaną na papierze lub zapisaną w formie elektronicznej lub </w:t>
            </w:r>
            <w:r w:rsidRPr="001722F7">
              <w:rPr>
                <w:rFonts w:ascii="Calibri" w:eastAsia="Calibri" w:hAnsi="Calibri" w:cs="Arial Narrow"/>
                <w:szCs w:val="22"/>
                <w:lang w:eastAsia="en-US"/>
              </w:rPr>
              <w:lastRenderedPageBreak/>
              <w:t xml:space="preserve">zarejestrowaną w formie dźwiękowej, wizualnej albo audiowizualnej). </w:t>
            </w:r>
          </w:p>
          <w:p w14:paraId="1E0CB194" w14:textId="1747C030" w:rsidR="005D2942" w:rsidRPr="001722F7" w:rsidRDefault="00474040" w:rsidP="005D2942">
            <w:pPr>
              <w:spacing w:before="0" w:line="276" w:lineRule="auto"/>
              <w:jc w:val="both"/>
              <w:rPr>
                <w:rFonts w:ascii="Calibri" w:eastAsia="Calibri" w:hAnsi="Calibri" w:cs="Arial Narrow"/>
                <w:szCs w:val="22"/>
                <w:lang w:eastAsia="en-US"/>
              </w:rPr>
            </w:pPr>
            <w:r>
              <w:rPr>
                <w:rFonts w:ascii="Calibri" w:eastAsia="Calibri" w:hAnsi="Calibri" w:cs="Arial Narrow"/>
                <w:szCs w:val="22"/>
                <w:lang w:eastAsia="en-US"/>
              </w:rPr>
              <w:t>P</w:t>
            </w:r>
            <w:r w:rsidR="005D2942" w:rsidRPr="001722F7">
              <w:rPr>
                <w:rFonts w:ascii="Calibri" w:eastAsia="Calibri" w:hAnsi="Calibri" w:cs="Arial Narrow"/>
                <w:szCs w:val="22"/>
                <w:lang w:eastAsia="en-US"/>
              </w:rPr>
              <w:t xml:space="preserve">rzez informacje sektora publicznego należy rozumieć: </w:t>
            </w:r>
          </w:p>
          <w:p w14:paraId="680542B2"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informację publiczną w rozumieniu ustawy z dnia 6 września 2001 r. o dostępie do informacji publicznej, </w:t>
            </w:r>
          </w:p>
          <w:p w14:paraId="2CDC8EE4"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14:paraId="24628DB5"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audiowizualne, pod warunkiem ich udostępniania do ponownego wykorzystywania,</w:t>
            </w:r>
          </w:p>
          <w:p w14:paraId="73E31A2A"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archiwalne, pod warunkiem ich udostępnienia do ponownego wykorzystania,</w:t>
            </w:r>
          </w:p>
          <w:p w14:paraId="6A6FAD0C" w14:textId="77777777" w:rsidR="005D2942" w:rsidRPr="001722F7" w:rsidRDefault="005D2942" w:rsidP="005D2942">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kultury, pod warunkiem ich udostepnienia do ponownego wykorzystania.</w:t>
            </w:r>
          </w:p>
          <w:p w14:paraId="594EA5DC" w14:textId="77777777" w:rsidR="005D2942" w:rsidRPr="001722F7" w:rsidRDefault="005D2942" w:rsidP="005D2942">
            <w:pPr>
              <w:autoSpaceDE w:val="0"/>
              <w:autoSpaceDN w:val="0"/>
              <w:adjustRightInd w:val="0"/>
              <w:spacing w:before="0" w:line="240"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nauki, pod warunkiem ich udostępniania do ponownego wykorzystywania.</w:t>
            </w:r>
          </w:p>
          <w:p w14:paraId="393DD678" w14:textId="77777777" w:rsidR="005D2942" w:rsidRPr="001722F7" w:rsidRDefault="005D2942" w:rsidP="005D2942">
            <w:pPr>
              <w:autoSpaceDE w:val="0"/>
              <w:autoSpaceDN w:val="0"/>
              <w:adjustRightInd w:val="0"/>
              <w:spacing w:before="0" w:line="240" w:lineRule="auto"/>
              <w:jc w:val="both"/>
              <w:rPr>
                <w:rFonts w:ascii="Calibri" w:eastAsia="Calibri" w:hAnsi="Calibri" w:cs="Arial Narrow"/>
                <w:szCs w:val="22"/>
                <w:lang w:eastAsia="en-US"/>
              </w:rPr>
            </w:pPr>
          </w:p>
          <w:p w14:paraId="14598281"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Metoda pomiaru: Liczba utworów z zasobów publicznych przetworzonych z postaci analogowej na cyfrową.</w:t>
            </w:r>
          </w:p>
          <w:p w14:paraId="07739B43" w14:textId="5A4E5417" w:rsidR="005D2942" w:rsidRPr="00604576" w:rsidRDefault="005D2942" w:rsidP="005D2942">
            <w:pPr>
              <w:spacing w:before="0" w:line="240" w:lineRule="auto"/>
              <w:rPr>
                <w:rFonts w:asciiTheme="minorHAnsi" w:eastAsiaTheme="minorHAnsi" w:hAnsiTheme="minorHAnsi"/>
                <w:szCs w:val="22"/>
                <w:lang w:eastAsia="en-US"/>
              </w:rPr>
            </w:pPr>
          </w:p>
        </w:tc>
        <w:tc>
          <w:tcPr>
            <w:tcW w:w="964" w:type="pct"/>
          </w:tcPr>
          <w:p w14:paraId="791802D9" w14:textId="798C40F0" w:rsidR="005D2942" w:rsidRPr="00604576" w:rsidRDefault="00B91BA0" w:rsidP="005D2942">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5D2942" w:rsidRPr="00604576" w14:paraId="0C0E3D08" w14:textId="77777777" w:rsidTr="00AD5CB0">
        <w:trPr>
          <w:trHeight w:val="20"/>
          <w:jc w:val="center"/>
        </w:trPr>
        <w:tc>
          <w:tcPr>
            <w:tcW w:w="1120" w:type="pct"/>
            <w:shd w:val="clear" w:color="auto" w:fill="auto"/>
          </w:tcPr>
          <w:p w14:paraId="0586E698" w14:textId="42A9C6BD" w:rsidR="005D2942" w:rsidRPr="00604576" w:rsidRDefault="005D2942" w:rsidP="005D2942">
            <w:pPr>
              <w:spacing w:before="0" w:line="240" w:lineRule="auto"/>
              <w:rPr>
                <w:rFonts w:asciiTheme="minorHAnsi" w:eastAsiaTheme="minorHAnsi" w:hAnsiTheme="minorHAnsi"/>
                <w:szCs w:val="22"/>
                <w:lang w:eastAsia="en-US"/>
              </w:rPr>
            </w:pPr>
            <w:r w:rsidRPr="001722F7">
              <w:rPr>
                <w:rFonts w:ascii="Calibri" w:hAnsi="Calibri" w:cs="Arial"/>
              </w:rPr>
              <w:t>Liczba udostępnionych on-line dokumentów zawierających informacje sektora publicznego</w:t>
            </w:r>
          </w:p>
        </w:tc>
        <w:tc>
          <w:tcPr>
            <w:tcW w:w="491" w:type="pct"/>
          </w:tcPr>
          <w:p w14:paraId="2348F896" w14:textId="7B2933EC"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54B5FB2D"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14:paraId="6471DDF7" w14:textId="19906094" w:rsidR="005D2942" w:rsidRPr="001722F7" w:rsidRDefault="00474040" w:rsidP="005D2942">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Przez i</w:t>
            </w:r>
            <w:r w:rsidR="005D2942" w:rsidRPr="001722F7">
              <w:rPr>
                <w:rFonts w:asciiTheme="minorHAnsi" w:hAnsiTheme="minorHAnsi"/>
                <w:szCs w:val="22"/>
              </w:rPr>
              <w:t xml:space="preserve">nformacje sektora publicznego należy rozumieć: </w:t>
            </w:r>
          </w:p>
          <w:p w14:paraId="7F5D26CA"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publiczną w rozumieniu ustawy z dnia 6 września 2001 r. o dostępie do informacji publicznej, </w:t>
            </w:r>
          </w:p>
          <w:p w14:paraId="33A62053"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sektora publicznego w rozumieniu dyrektywy 2003/98/WE dnia 17 listopada  2003  r. w sprawie ponownego wykorzystywania </w:t>
            </w:r>
            <w:r w:rsidRPr="001722F7">
              <w:rPr>
                <w:rFonts w:asciiTheme="minorHAnsi" w:hAnsiTheme="minorHAnsi"/>
                <w:szCs w:val="22"/>
              </w:rPr>
              <w:lastRenderedPageBreak/>
              <w:t>informacji sektora publicznego (w brzmieniu zmienionym przez dyrektywę 2013/37/UE zmieniającą dyrektywę 2003/98/WE dnia 17 listopada  2003  r.  w sprawie ponownego wykorzystywania informacji sektora publicznego),</w:t>
            </w:r>
          </w:p>
          <w:p w14:paraId="0732DD42"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audiowizualne, pod warunkiem ich udostępniania do ponownego wykorzystywania,</w:t>
            </w:r>
          </w:p>
          <w:p w14:paraId="455EDCEE"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archiwalne, pod warunkiem ich udostępnienia do ponownego wykorzystania,</w:t>
            </w:r>
          </w:p>
          <w:p w14:paraId="634E79E4" w14:textId="77777777" w:rsidR="005D2942" w:rsidRPr="001722F7" w:rsidRDefault="005D2942" w:rsidP="005D2942">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kultury, pod warunkiem ich udostepnienia do ponownego wykorzystania.</w:t>
            </w:r>
          </w:p>
          <w:p w14:paraId="197297B1" w14:textId="54A6FB17" w:rsidR="005D2942" w:rsidRPr="00604576" w:rsidRDefault="005D2942" w:rsidP="005D2942">
            <w:pPr>
              <w:spacing w:before="0" w:line="240" w:lineRule="auto"/>
              <w:rPr>
                <w:rFonts w:asciiTheme="minorHAnsi" w:eastAsiaTheme="minorHAnsi" w:hAnsiTheme="minorHAnsi"/>
                <w:szCs w:val="22"/>
                <w:lang w:eastAsia="en-US"/>
              </w:rPr>
            </w:pPr>
            <w:r w:rsidRPr="001722F7">
              <w:rPr>
                <w:rFonts w:asciiTheme="minorHAnsi" w:hAnsiTheme="minorHAnsi"/>
                <w:szCs w:val="22"/>
              </w:rPr>
              <w:t>- zasoby nauki, pod warunkiem ich udostępniania do ponownego wykorzystywania.</w:t>
            </w:r>
          </w:p>
        </w:tc>
        <w:tc>
          <w:tcPr>
            <w:tcW w:w="964" w:type="pct"/>
          </w:tcPr>
          <w:p w14:paraId="5C322DA7" w14:textId="791C1E06" w:rsidR="005D2942" w:rsidRPr="00604576" w:rsidRDefault="00B91BA0" w:rsidP="005D2942">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5D2942" w:rsidRPr="00604576" w14:paraId="5BE7D2D4" w14:textId="77777777" w:rsidTr="00AD5CB0">
        <w:trPr>
          <w:trHeight w:val="20"/>
          <w:jc w:val="center"/>
        </w:trPr>
        <w:tc>
          <w:tcPr>
            <w:tcW w:w="1120" w:type="pct"/>
            <w:shd w:val="clear" w:color="auto" w:fill="auto"/>
          </w:tcPr>
          <w:p w14:paraId="19481BD3" w14:textId="6010AF0E" w:rsidR="005D2942" w:rsidRPr="00604576" w:rsidRDefault="005D2942" w:rsidP="005D2942">
            <w:pPr>
              <w:spacing w:before="0" w:line="240" w:lineRule="auto"/>
              <w:rPr>
                <w:rFonts w:asciiTheme="minorHAnsi" w:eastAsiaTheme="minorHAnsi" w:hAnsiTheme="minorHAnsi"/>
                <w:szCs w:val="22"/>
                <w:lang w:eastAsia="en-US"/>
              </w:rPr>
            </w:pPr>
            <w:r w:rsidRPr="001722F7">
              <w:rPr>
                <w:rFonts w:ascii="Calibri" w:hAnsi="Calibri" w:cs="Arial"/>
              </w:rPr>
              <w:t>Liczba uruchomionych systemów teleinformatycznych w podmiotach wykonujących zadania publiczne</w:t>
            </w:r>
          </w:p>
        </w:tc>
        <w:tc>
          <w:tcPr>
            <w:tcW w:w="491" w:type="pct"/>
          </w:tcPr>
          <w:p w14:paraId="7E601ECD" w14:textId="7BE9EC50"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488AA4AB" w14:textId="37635CB2" w:rsidR="005D2942" w:rsidRPr="00604576" w:rsidRDefault="005D2942" w:rsidP="008D43F7">
            <w:pPr>
              <w:spacing w:before="0" w:line="240" w:lineRule="auto"/>
              <w:jc w:val="both"/>
              <w:rPr>
                <w:rFonts w:asciiTheme="minorHAnsi" w:eastAsiaTheme="minorHAnsi" w:hAnsiTheme="minorHAnsi"/>
                <w:szCs w:val="22"/>
                <w:lang w:eastAsia="en-US"/>
              </w:rPr>
            </w:pPr>
            <w:r w:rsidRPr="001722F7">
              <w:rPr>
                <w:rFonts w:asciiTheme="minorHAnsi" w:hAnsiTheme="minorHAnsi"/>
                <w:szCs w:val="22"/>
              </w:rPr>
              <w:t>Przez system teleinformatyczny należy rozumieć zespół współpracujących ze sobą urządzeń informatycznych i oprogramowania zapewniający przetwarzanie, przechowywanie, a także wysyłanie i odbieranie danych przez sieci telekomunikacyjne.</w:t>
            </w:r>
          </w:p>
        </w:tc>
        <w:tc>
          <w:tcPr>
            <w:tcW w:w="964" w:type="pct"/>
          </w:tcPr>
          <w:p w14:paraId="09DC1A41" w14:textId="38101999" w:rsidR="005D2942" w:rsidRPr="00604576" w:rsidRDefault="00B91BA0" w:rsidP="005D2942">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5D2942" w:rsidRPr="00604576" w14:paraId="66029DA6" w14:textId="77777777" w:rsidTr="00AD5CB0">
        <w:trPr>
          <w:trHeight w:val="20"/>
          <w:jc w:val="center"/>
        </w:trPr>
        <w:tc>
          <w:tcPr>
            <w:tcW w:w="1120" w:type="pct"/>
            <w:shd w:val="clear" w:color="auto" w:fill="auto"/>
          </w:tcPr>
          <w:p w14:paraId="678FF717" w14:textId="52ED296C" w:rsidR="005D2942" w:rsidRPr="00604576" w:rsidRDefault="005D2942" w:rsidP="005D2942">
            <w:pPr>
              <w:spacing w:before="0" w:line="240" w:lineRule="auto"/>
              <w:rPr>
                <w:rFonts w:asciiTheme="minorHAnsi" w:eastAsiaTheme="minorHAnsi" w:hAnsiTheme="minorHAnsi"/>
                <w:szCs w:val="22"/>
                <w:lang w:eastAsia="en-US"/>
              </w:rPr>
            </w:pPr>
            <w:r w:rsidRPr="001722F7">
              <w:rPr>
                <w:rFonts w:ascii="Calibri" w:hAnsi="Calibri" w:cs="Arial"/>
              </w:rPr>
              <w:t>Liczba utworzonych API</w:t>
            </w:r>
          </w:p>
        </w:tc>
        <w:tc>
          <w:tcPr>
            <w:tcW w:w="491" w:type="pct"/>
          </w:tcPr>
          <w:p w14:paraId="190712A9" w14:textId="0EE4DB25" w:rsidR="005D2942" w:rsidRPr="00604576" w:rsidRDefault="005D2942" w:rsidP="005D2942">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0857040E" w14:textId="7CB7E032" w:rsidR="005D2942" w:rsidRPr="00604576" w:rsidRDefault="005D2942" w:rsidP="008D43F7">
            <w:pPr>
              <w:spacing w:before="0" w:line="240" w:lineRule="auto"/>
              <w:jc w:val="both"/>
              <w:rPr>
                <w:rFonts w:asciiTheme="minorHAnsi" w:eastAsiaTheme="minorHAnsi" w:hAnsiTheme="minorHAnsi"/>
                <w:szCs w:val="22"/>
                <w:lang w:eastAsia="en-US"/>
              </w:rPr>
            </w:pPr>
            <w:r w:rsidRPr="001722F7">
              <w:rPr>
                <w:rFonts w:ascii="Calibri" w:eastAsia="Calibri" w:hAnsi="Calibri" w:cs="Arial Narrow"/>
                <w:szCs w:val="22"/>
                <w:lang w:eastAsia="en-US"/>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64" w:type="pct"/>
          </w:tcPr>
          <w:p w14:paraId="0D4332DA" w14:textId="51F32D1C" w:rsidR="005D2942" w:rsidRPr="00604576" w:rsidRDefault="00B91BA0" w:rsidP="005D2942">
            <w:pPr>
              <w:spacing w:before="0" w:line="240" w:lineRule="auto"/>
              <w:jc w:val="center"/>
              <w:rPr>
                <w:rFonts w:asciiTheme="minorHAnsi" w:hAnsiTheme="minorHAnsi"/>
                <w:szCs w:val="22"/>
              </w:rPr>
            </w:pPr>
            <w:r>
              <w:rPr>
                <w:rFonts w:asciiTheme="minorHAnsi" w:hAnsiTheme="minorHAnsi"/>
                <w:szCs w:val="22"/>
              </w:rPr>
              <w:t xml:space="preserve">SZOOP </w:t>
            </w:r>
            <w:r w:rsidRPr="00604576">
              <w:rPr>
                <w:rFonts w:asciiTheme="minorHAnsi" w:hAnsiTheme="minorHAnsi"/>
                <w:szCs w:val="22"/>
              </w:rPr>
              <w:t>RPO WD 2014-2020</w:t>
            </w:r>
          </w:p>
        </w:tc>
      </w:tr>
      <w:tr w:rsidR="00B91BA0" w:rsidRPr="00604576" w14:paraId="6306C1A6" w14:textId="77777777" w:rsidTr="00AD5CB0">
        <w:trPr>
          <w:trHeight w:val="20"/>
          <w:jc w:val="center"/>
        </w:trPr>
        <w:tc>
          <w:tcPr>
            <w:tcW w:w="1120" w:type="pct"/>
            <w:shd w:val="clear" w:color="auto" w:fill="auto"/>
          </w:tcPr>
          <w:p w14:paraId="44CF5066" w14:textId="78B8E59D" w:rsidR="00B91BA0" w:rsidRPr="001722F7" w:rsidRDefault="00B91BA0" w:rsidP="00B91BA0">
            <w:pPr>
              <w:spacing w:before="0" w:line="240" w:lineRule="auto"/>
              <w:rPr>
                <w:rFonts w:ascii="Calibri" w:hAnsi="Calibri" w:cs="Arial"/>
              </w:rPr>
            </w:pPr>
            <w:r w:rsidRPr="001722F7">
              <w:rPr>
                <w:rFonts w:ascii="Calibri" w:hAnsi="Calibri" w:cs="Arial"/>
              </w:rPr>
              <w:t>Liczba baz danych udostępnionych on-line poprzez API</w:t>
            </w:r>
          </w:p>
        </w:tc>
        <w:tc>
          <w:tcPr>
            <w:tcW w:w="491" w:type="pct"/>
          </w:tcPr>
          <w:p w14:paraId="604C2CD3" w14:textId="684DB457" w:rsidR="00B91BA0" w:rsidRPr="001722F7" w:rsidRDefault="00B91BA0" w:rsidP="00B91BA0">
            <w:pPr>
              <w:spacing w:before="0" w:line="240" w:lineRule="auto"/>
              <w:jc w:val="center"/>
              <w:rPr>
                <w:rFonts w:asciiTheme="minorHAnsi" w:eastAsiaTheme="minorHAnsi" w:hAnsiTheme="minorHAnsi"/>
                <w:szCs w:val="22"/>
                <w:lang w:eastAsia="en-US"/>
              </w:rPr>
            </w:pPr>
            <w:r w:rsidRPr="001722F7">
              <w:rPr>
                <w:rFonts w:asciiTheme="minorHAnsi" w:eastAsiaTheme="minorHAnsi" w:hAnsiTheme="minorHAnsi"/>
                <w:szCs w:val="22"/>
                <w:lang w:eastAsia="en-US"/>
              </w:rPr>
              <w:t>szt.</w:t>
            </w:r>
          </w:p>
        </w:tc>
        <w:tc>
          <w:tcPr>
            <w:tcW w:w="2425" w:type="pct"/>
            <w:shd w:val="clear" w:color="auto" w:fill="auto"/>
          </w:tcPr>
          <w:p w14:paraId="65607756" w14:textId="080C54A3" w:rsidR="00B91BA0" w:rsidRPr="001722F7" w:rsidRDefault="00B91BA0" w:rsidP="008D43F7">
            <w:pPr>
              <w:spacing w:before="0" w:line="240" w:lineRule="auto"/>
              <w:jc w:val="both"/>
              <w:rPr>
                <w:rFonts w:ascii="Calibri" w:eastAsia="Calibri" w:hAnsi="Calibri" w:cs="Arial Narrow"/>
                <w:szCs w:val="22"/>
                <w:lang w:eastAsia="en-US"/>
              </w:rPr>
            </w:pPr>
            <w:r w:rsidRPr="001722F7">
              <w:rPr>
                <w:rFonts w:asciiTheme="minorHAnsi" w:hAnsiTheme="minorHAnsi"/>
                <w:szCs w:val="22"/>
              </w:rPr>
              <w:t xml:space="preserve">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w:t>
            </w:r>
            <w:r w:rsidRPr="001722F7">
              <w:rPr>
                <w:rFonts w:asciiTheme="minorHAnsi" w:hAnsiTheme="minorHAnsi"/>
                <w:szCs w:val="22"/>
              </w:rPr>
              <w:lastRenderedPageBreak/>
              <w:t>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64" w:type="pct"/>
          </w:tcPr>
          <w:p w14:paraId="40CF1288" w14:textId="3F0EA90D" w:rsidR="00B91BA0" w:rsidRDefault="00B91BA0" w:rsidP="00B91BA0">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B91BA0" w:rsidRPr="00604576" w14:paraId="2E7AFFAD" w14:textId="77777777" w:rsidTr="00165F0E">
        <w:trPr>
          <w:trHeight w:val="20"/>
          <w:jc w:val="center"/>
        </w:trPr>
        <w:tc>
          <w:tcPr>
            <w:tcW w:w="1120" w:type="pct"/>
            <w:shd w:val="clear" w:color="auto" w:fill="auto"/>
            <w:vAlign w:val="center"/>
          </w:tcPr>
          <w:p w14:paraId="0390BD91" w14:textId="3FAF64AB" w:rsidR="00B91BA0" w:rsidRPr="001722F7" w:rsidRDefault="00B91BA0" w:rsidP="00B91BA0">
            <w:pPr>
              <w:spacing w:before="0" w:line="240" w:lineRule="auto"/>
              <w:rPr>
                <w:rFonts w:ascii="Calibri" w:hAnsi="Calibri" w:cs="Arial"/>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14:paraId="62C51A39" w14:textId="46B5BF46" w:rsidR="00B91BA0" w:rsidRPr="001722F7" w:rsidRDefault="00B91BA0" w:rsidP="00B91BA0">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14:paraId="4577C163" w14:textId="77777777"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1E42CE74" w14:textId="77777777"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03F709AB" w14:textId="77777777"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14:paraId="3E8BDF8A" w14:textId="373A8A36" w:rsidR="00B91BA0" w:rsidRPr="001722F7" w:rsidRDefault="00B91BA0" w:rsidP="008D43F7">
            <w:pPr>
              <w:spacing w:before="0" w:line="240" w:lineRule="auto"/>
              <w:jc w:val="both"/>
              <w:rPr>
                <w:rFonts w:asciiTheme="minorHAnsi" w:hAnsiTheme="minorHAnsi"/>
                <w:szCs w:val="22"/>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14:paraId="170B7B04" w14:textId="5BD51015" w:rsidR="00B91BA0" w:rsidRPr="001722F7" w:rsidRDefault="00B91BA0" w:rsidP="00B91BA0">
            <w:pPr>
              <w:spacing w:before="0" w:line="240" w:lineRule="auto"/>
              <w:jc w:val="center"/>
              <w:rPr>
                <w:rFonts w:asciiTheme="minorHAnsi" w:hAnsiTheme="minorHAnsi"/>
                <w:szCs w:val="22"/>
              </w:rPr>
            </w:pPr>
            <w:r>
              <w:rPr>
                <w:rFonts w:asciiTheme="minorHAnsi" w:eastAsiaTheme="minorHAnsi" w:hAnsiTheme="minorHAnsi"/>
                <w:szCs w:val="22"/>
                <w:lang w:eastAsia="en-US"/>
              </w:rPr>
              <w:t>horyzontalny</w:t>
            </w:r>
          </w:p>
        </w:tc>
      </w:tr>
      <w:tr w:rsidR="00B91BA0" w:rsidRPr="00604576" w14:paraId="35DD3B48" w14:textId="77777777" w:rsidTr="00165F0E">
        <w:trPr>
          <w:trHeight w:val="20"/>
          <w:jc w:val="center"/>
        </w:trPr>
        <w:tc>
          <w:tcPr>
            <w:tcW w:w="1120" w:type="pct"/>
            <w:shd w:val="clear" w:color="auto" w:fill="auto"/>
          </w:tcPr>
          <w:p w14:paraId="10752189" w14:textId="03381971" w:rsidR="00B91BA0" w:rsidRPr="00911273" w:rsidRDefault="00B91BA0" w:rsidP="00B91BA0">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14:paraId="789437B8" w14:textId="1A34C730" w:rsidR="00B91BA0" w:rsidRDefault="00B91BA0" w:rsidP="00B91BA0">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14:paraId="75CA4CAF" w14:textId="77777777"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14:paraId="692A7B76" w14:textId="6CECDB05"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w:t>
            </w:r>
            <w:r w:rsidRPr="00911273">
              <w:rPr>
                <w:rFonts w:asciiTheme="minorHAnsi" w:eastAsiaTheme="minorHAnsi" w:hAnsiTheme="minorHAnsi"/>
                <w:szCs w:val="22"/>
                <w:lang w:eastAsia="en-US"/>
              </w:rPr>
              <w:lastRenderedPageBreak/>
              <w:t>osi priorytetowych i priorytetów inwestycyjnych.</w:t>
            </w:r>
          </w:p>
        </w:tc>
        <w:tc>
          <w:tcPr>
            <w:tcW w:w="964" w:type="pct"/>
          </w:tcPr>
          <w:p w14:paraId="1DCF542E" w14:textId="559B3BFC" w:rsidR="00B91BA0" w:rsidRDefault="00B91BA0" w:rsidP="00B91BA0">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B91BA0" w:rsidRPr="00604576" w14:paraId="7C20C707" w14:textId="77777777" w:rsidTr="00165F0E">
        <w:trPr>
          <w:trHeight w:val="20"/>
          <w:jc w:val="center"/>
        </w:trPr>
        <w:tc>
          <w:tcPr>
            <w:tcW w:w="1120" w:type="pct"/>
            <w:shd w:val="clear" w:color="auto" w:fill="auto"/>
          </w:tcPr>
          <w:p w14:paraId="57BC3DC4" w14:textId="108059B3" w:rsidR="00B91BA0" w:rsidRPr="00911273" w:rsidRDefault="00B91BA0" w:rsidP="00B91BA0">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14:paraId="6B9A6B68" w14:textId="26FDDFB3" w:rsidR="00B91BA0" w:rsidRDefault="00B91BA0" w:rsidP="00B91BA0">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14:paraId="747BAE4A" w14:textId="77777777" w:rsidR="00B91BA0" w:rsidRPr="00911273" w:rsidRDefault="00B91BA0" w:rsidP="00B91BA0">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47DA4C09" w14:textId="77777777" w:rsidR="00B91BA0" w:rsidRPr="00911273" w:rsidRDefault="00B91BA0" w:rsidP="00B91BA0">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1E176181" w14:textId="1CA3D88D" w:rsidR="00B91BA0" w:rsidRPr="00911273" w:rsidRDefault="00B91BA0" w:rsidP="00B91BA0">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14:paraId="02045AEC" w14:textId="4F659446" w:rsidR="00B91BA0" w:rsidRDefault="00E3647B" w:rsidP="00B91BA0">
            <w:pPr>
              <w:spacing w:before="0" w:line="240" w:lineRule="auto"/>
              <w:jc w:val="center"/>
              <w:rPr>
                <w:rFonts w:asciiTheme="minorHAnsi" w:eastAsiaTheme="minorHAnsi" w:hAnsiTheme="minorHAnsi"/>
                <w:szCs w:val="22"/>
                <w:lang w:eastAsia="en-US"/>
              </w:rPr>
            </w:pPr>
            <w:r>
              <w:rPr>
                <w:rFonts w:asciiTheme="minorHAnsi" w:eastAsiaTheme="minorHAnsi" w:hAnsiTheme="minorHAnsi" w:cs="Arial"/>
                <w:color w:val="000000"/>
                <w:szCs w:val="22"/>
                <w:lang w:eastAsia="en-US"/>
              </w:rPr>
              <w:t>H</w:t>
            </w:r>
            <w:r w:rsidR="00B91BA0">
              <w:rPr>
                <w:rFonts w:asciiTheme="minorHAnsi" w:eastAsiaTheme="minorHAnsi" w:hAnsiTheme="minorHAnsi" w:cs="Arial"/>
                <w:color w:val="000000"/>
                <w:szCs w:val="22"/>
                <w:lang w:eastAsia="en-US"/>
              </w:rPr>
              <w:t>oryzontalny</w:t>
            </w:r>
          </w:p>
        </w:tc>
      </w:tr>
      <w:tr w:rsidR="00E3647B" w:rsidRPr="00604576" w14:paraId="3453A898" w14:textId="77777777" w:rsidTr="00F64627">
        <w:trPr>
          <w:trHeight w:val="20"/>
          <w:jc w:val="center"/>
        </w:trPr>
        <w:tc>
          <w:tcPr>
            <w:tcW w:w="1120" w:type="pct"/>
            <w:shd w:val="clear" w:color="auto" w:fill="auto"/>
            <w:vAlign w:val="center"/>
          </w:tcPr>
          <w:p w14:paraId="4C4B9F4D" w14:textId="771F7F58" w:rsidR="00E3647B" w:rsidRPr="00911273" w:rsidRDefault="00E3647B" w:rsidP="00E3647B">
            <w:pPr>
              <w:spacing w:before="0" w:line="240" w:lineRule="auto"/>
              <w:rPr>
                <w:rFonts w:asciiTheme="minorHAnsi" w:eastAsiaTheme="minorHAnsi" w:hAnsiTheme="minorHAnsi" w:cs="Arial"/>
                <w:color w:val="000000"/>
                <w:szCs w:val="22"/>
                <w:lang w:eastAsia="en-US"/>
              </w:rPr>
            </w:pPr>
            <w:r w:rsidRPr="00604576">
              <w:rPr>
                <w:rFonts w:asciiTheme="minorHAnsi" w:eastAsiaTheme="minorHAnsi" w:hAnsiTheme="minorHAnsi"/>
                <w:szCs w:val="22"/>
                <w:lang w:eastAsia="en-US"/>
              </w:rPr>
              <w:t>Liczba podmiotów wykorzystujących technologie informacyjno-komunikacyjne (TIK)</w:t>
            </w:r>
          </w:p>
        </w:tc>
        <w:tc>
          <w:tcPr>
            <w:tcW w:w="491" w:type="pct"/>
            <w:vAlign w:val="center"/>
          </w:tcPr>
          <w:p w14:paraId="0C2B24F1" w14:textId="0E653940" w:rsidR="00E3647B" w:rsidRDefault="00E3647B" w:rsidP="00E3647B">
            <w:pPr>
              <w:spacing w:before="0" w:line="240" w:lineRule="auto"/>
              <w:jc w:val="center"/>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25" w:type="pct"/>
            <w:shd w:val="clear" w:color="auto" w:fill="auto"/>
            <w:vAlign w:val="center"/>
          </w:tcPr>
          <w:p w14:paraId="5C51FD7A" w14:textId="77777777" w:rsidR="00E3647B" w:rsidRPr="00604576" w:rsidRDefault="00E3647B" w:rsidP="00E3647B">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podmiotów, które </w:t>
            </w:r>
            <w:r w:rsidRPr="00604576">
              <w:rPr>
                <w:rFonts w:asciiTheme="minorHAnsi" w:eastAsiaTheme="minorHAnsi" w:hAnsiTheme="minorHAnsi"/>
                <w:szCs w:val="22"/>
                <w:lang w:eastAsia="en-US"/>
              </w:rPr>
              <w:br/>
              <w:t xml:space="preserve">w celu realizacji projektu zainwestowały </w:t>
            </w:r>
            <w:r w:rsidRPr="00604576">
              <w:rPr>
                <w:rFonts w:asciiTheme="minorHAnsi" w:eastAsiaTheme="minorHAnsi" w:hAnsiTheme="minorHAnsi"/>
                <w:szCs w:val="22"/>
                <w:lang w:eastAsia="en-US"/>
              </w:rPr>
              <w:br/>
              <w:t xml:space="preserve">w technologie informacyjno-komunikacyjne, </w:t>
            </w:r>
            <w:r w:rsidRPr="00604576">
              <w:rPr>
                <w:rFonts w:asciiTheme="minorHAnsi" w:eastAsiaTheme="minorHAnsi" w:hAnsiTheme="minorHAnsi"/>
                <w:szCs w:val="22"/>
                <w:lang w:eastAsia="en-US"/>
              </w:rPr>
              <w:br/>
              <w:t>a w przypadku projektów edukacyjno-szkoleniowych, również podmiotów, które podjęły działania upowszechniające wykorzystanie TIK.</w:t>
            </w:r>
          </w:p>
          <w:p w14:paraId="5076181F" w14:textId="77777777" w:rsidR="00E3647B" w:rsidRPr="00604576" w:rsidRDefault="00E3647B" w:rsidP="00E3647B">
            <w:pPr>
              <w:spacing w:before="0" w:line="240" w:lineRule="auto"/>
              <w:jc w:val="both"/>
              <w:rPr>
                <w:rFonts w:asciiTheme="minorHAnsi" w:eastAsiaTheme="minorHAnsi" w:hAnsiTheme="minorHAnsi"/>
                <w:szCs w:val="22"/>
                <w:lang w:eastAsia="en-US"/>
              </w:rPr>
            </w:pPr>
          </w:p>
          <w:p w14:paraId="5D883F31" w14:textId="77777777" w:rsidR="00E3647B" w:rsidRPr="00604576" w:rsidRDefault="00E3647B" w:rsidP="00E3647B">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Przez technologie informacyjno-komunikacyjne (ang. ICT – Information and Communications Technology) należy rozumieć technologie pozyskiwania produkcji, gromadzenia, przechowywania, przesyłania, przetwarzania </w:t>
            </w:r>
            <w:r w:rsidRPr="00604576">
              <w:rPr>
                <w:rFonts w:asciiTheme="minorHAnsi" w:eastAsiaTheme="minorHAnsi" w:hAnsiTheme="minorHAnsi"/>
                <w:szCs w:val="22"/>
                <w:lang w:eastAsia="en-US"/>
              </w:rPr>
              <w:br/>
              <w:t xml:space="preserve">i rozpowszechniania informacji w formie elektronicznej oraz wszelkie działania zawiązane z produkcją i wykorzystaniem urządzeń telekomunikacyjnych i informatycznych oraz usług im towarzyszących działania edukacyjne </w:t>
            </w:r>
            <w:r w:rsidRPr="00604576">
              <w:rPr>
                <w:rFonts w:asciiTheme="minorHAnsi" w:eastAsiaTheme="minorHAnsi" w:hAnsiTheme="minorHAnsi"/>
                <w:szCs w:val="22"/>
                <w:lang w:eastAsia="en-US"/>
              </w:rPr>
              <w:br/>
              <w:t>i szkoleniowe.</w:t>
            </w:r>
          </w:p>
          <w:p w14:paraId="4EED2426" w14:textId="77777777" w:rsidR="00E3647B" w:rsidRPr="00604576" w:rsidRDefault="00E3647B" w:rsidP="00E3647B">
            <w:pPr>
              <w:spacing w:before="0" w:line="240" w:lineRule="auto"/>
              <w:jc w:val="both"/>
              <w:rPr>
                <w:rFonts w:asciiTheme="minorHAnsi" w:eastAsiaTheme="minorHAnsi" w:hAnsiTheme="minorHAnsi"/>
                <w:szCs w:val="22"/>
                <w:lang w:eastAsia="en-US"/>
              </w:rPr>
            </w:pPr>
          </w:p>
          <w:p w14:paraId="7A90AE7A" w14:textId="77777777" w:rsidR="00E3647B" w:rsidRPr="00604576" w:rsidRDefault="00E3647B" w:rsidP="00E3647B">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Podmiotami realizującymi projekty TIK mogą być m.in. MŚP, duże przedsiębiorstwa, </w:t>
            </w:r>
            <w:r w:rsidRPr="00604576">
              <w:rPr>
                <w:rFonts w:asciiTheme="minorHAnsi" w:eastAsiaTheme="minorHAnsi" w:hAnsiTheme="minorHAnsi"/>
                <w:szCs w:val="22"/>
                <w:lang w:eastAsia="en-US"/>
              </w:rPr>
              <w:lastRenderedPageBreak/>
              <w:t>administracja publiczna, w tym jednostki samorządu terytorialnego, NGO, jednostki naukowe, szkoły, które będą wykorzystywać TIK do usprawnienia swojego działania i do prowadzenia relacji z innymi podmiotami.</w:t>
            </w:r>
          </w:p>
          <w:p w14:paraId="1B827502" w14:textId="77777777" w:rsidR="00E3647B" w:rsidRPr="00604576" w:rsidRDefault="00E3647B" w:rsidP="00E3647B">
            <w:pPr>
              <w:spacing w:before="0" w:line="240" w:lineRule="auto"/>
              <w:jc w:val="both"/>
              <w:rPr>
                <w:rFonts w:asciiTheme="minorHAnsi" w:eastAsiaTheme="minorHAnsi" w:hAnsiTheme="minorHAnsi"/>
                <w:szCs w:val="22"/>
                <w:lang w:eastAsia="en-US"/>
              </w:rPr>
            </w:pPr>
          </w:p>
          <w:p w14:paraId="6E34EE77" w14:textId="76CF9CC6" w:rsidR="00E3647B" w:rsidRPr="00911273" w:rsidRDefault="00E3647B" w:rsidP="00E3647B">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604576">
              <w:rPr>
                <w:rFonts w:asciiTheme="minorHAnsi" w:eastAsiaTheme="minorHAnsi" w:hAnsiTheme="minorHAnsi"/>
                <w:szCs w:val="22"/>
                <w:lang w:eastAsia="en-US"/>
              </w:rPr>
              <w:t xml:space="preserve">W przypadku, gdy beneficjentem pozostaje jeden podmiot, we wskaźniku należy ująć wartość „1”. W przypadku, gdy projekt jest realizowany przez partnerstwo podmiotów, </w:t>
            </w:r>
            <w:r w:rsidRPr="00604576">
              <w:rPr>
                <w:rFonts w:asciiTheme="minorHAnsi" w:eastAsiaTheme="minorHAnsi" w:hAnsiTheme="minorHAnsi"/>
                <w:szCs w:val="22"/>
                <w:lang w:eastAsia="en-US"/>
              </w:rPr>
              <w:br/>
              <w:t xml:space="preserve">w wartości wskaźnika należy ująć każdy </w:t>
            </w:r>
            <w:r w:rsidRPr="00604576">
              <w:rPr>
                <w:rFonts w:asciiTheme="minorHAnsi" w:eastAsiaTheme="minorHAnsi" w:hAnsiTheme="minorHAnsi"/>
                <w:szCs w:val="22"/>
                <w:lang w:eastAsia="en-US"/>
              </w:rPr>
              <w:br/>
              <w:t>z podmiotów wchodzących w skład partnerstwa, który wdrożył w swojej działalności narzędzia TIK.</w:t>
            </w:r>
          </w:p>
        </w:tc>
        <w:tc>
          <w:tcPr>
            <w:tcW w:w="964" w:type="pct"/>
            <w:vAlign w:val="center"/>
          </w:tcPr>
          <w:p w14:paraId="7FAD3EEB" w14:textId="15BE49F9" w:rsidR="00E3647B" w:rsidRDefault="00E3647B" w:rsidP="00E3647B">
            <w:pPr>
              <w:spacing w:before="0" w:line="240" w:lineRule="auto"/>
              <w:jc w:val="center"/>
              <w:rPr>
                <w:rFonts w:asciiTheme="minorHAnsi" w:eastAsiaTheme="minorHAnsi" w:hAnsiTheme="minorHAnsi" w:cs="Arial"/>
                <w:color w:val="000000"/>
                <w:szCs w:val="22"/>
                <w:lang w:eastAsia="en-US"/>
              </w:rPr>
            </w:pPr>
            <w:r w:rsidRPr="00604576">
              <w:rPr>
                <w:rFonts w:asciiTheme="minorHAnsi" w:hAnsiTheme="minorHAnsi"/>
                <w:szCs w:val="22"/>
              </w:rPr>
              <w:lastRenderedPageBreak/>
              <w:t>horyzontalny</w:t>
            </w:r>
          </w:p>
        </w:tc>
      </w:tr>
    </w:tbl>
    <w:p w14:paraId="0D66DBF3" w14:textId="77777777" w:rsidR="003D3BC5" w:rsidRPr="00217AF8" w:rsidRDefault="008C495E" w:rsidP="008914F3">
      <w:pPr>
        <w:spacing w:line="276"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14:paraId="3E10A94F" w14:textId="77777777" w:rsidR="000F5C98" w:rsidRPr="00217AF8" w:rsidRDefault="000F5C98" w:rsidP="008914F3">
      <w:pPr>
        <w:pStyle w:val="Default"/>
        <w:spacing w:line="276" w:lineRule="auto"/>
        <w:jc w:val="both"/>
        <w:rPr>
          <w:rFonts w:asciiTheme="minorHAnsi" w:hAnsiTheme="minorHAnsi"/>
          <w:sz w:val="22"/>
          <w:szCs w:val="22"/>
        </w:rPr>
      </w:pPr>
    </w:p>
    <w:p w14:paraId="203BFFBD" w14:textId="77777777" w:rsidR="000F5C98" w:rsidRPr="00217AF8" w:rsidRDefault="000F5C98"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14:paraId="38CEA670" w14:textId="77777777" w:rsidR="000F5C98" w:rsidRPr="00217AF8" w:rsidRDefault="000F5C98" w:rsidP="008914F3">
      <w:pPr>
        <w:pStyle w:val="Default"/>
        <w:spacing w:line="276" w:lineRule="auto"/>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14:paraId="6AD3FA0A" w14:textId="77777777" w:rsidR="007300ED" w:rsidRPr="00217AF8" w:rsidRDefault="000F5C98" w:rsidP="008914F3">
      <w:pPr>
        <w:autoSpaceDE w:val="0"/>
        <w:autoSpaceDN w:val="0"/>
        <w:adjustRightInd w:val="0"/>
        <w:spacing w:before="0" w:line="276"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14:paraId="48B5BBFE" w14:textId="77777777" w:rsidR="00B91BA0" w:rsidRPr="00911273" w:rsidRDefault="00B91BA0" w:rsidP="00B91BA0">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2</w:t>
      </w:r>
      <w:r w:rsidRPr="00911273">
        <w:rPr>
          <w:rFonts w:asciiTheme="minorHAnsi" w:hAnsiTheme="minorHAnsi"/>
          <w:szCs w:val="22"/>
        </w:rPr>
        <w:t>.</w:t>
      </w:r>
      <w:r>
        <w:rPr>
          <w:rFonts w:asciiTheme="minorHAnsi" w:hAnsiTheme="minorHAnsi"/>
          <w:szCs w:val="22"/>
        </w:rPr>
        <w:t>1</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2456F7" w:rsidRPr="00217AF8" w14:paraId="6E026069" w14:textId="77777777" w:rsidTr="00FA4C5B">
        <w:trPr>
          <w:trHeight w:val="20"/>
          <w:jc w:val="center"/>
        </w:trPr>
        <w:tc>
          <w:tcPr>
            <w:tcW w:w="1189" w:type="pct"/>
            <w:shd w:val="clear" w:color="auto" w:fill="auto"/>
            <w:vAlign w:val="center"/>
          </w:tcPr>
          <w:p w14:paraId="7B779A0E" w14:textId="77777777" w:rsidR="002456F7" w:rsidRPr="00217AF8" w:rsidRDefault="002456F7" w:rsidP="00FA4C5B">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vAlign w:val="center"/>
          </w:tcPr>
          <w:p w14:paraId="365E0FDC" w14:textId="77777777" w:rsidR="002456F7" w:rsidRPr="00217AF8" w:rsidRDefault="002456F7" w:rsidP="00FA4C5B">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14:paraId="51933FAA" w14:textId="77777777" w:rsidR="002456F7" w:rsidRPr="00217AF8" w:rsidRDefault="002456F7" w:rsidP="00FA4C5B">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vAlign w:val="center"/>
          </w:tcPr>
          <w:p w14:paraId="18FE474F" w14:textId="77777777" w:rsidR="002456F7" w:rsidRPr="00217AF8" w:rsidRDefault="002456F7" w:rsidP="00FA4C5B">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B91BA0" w:rsidRPr="00217AF8" w14:paraId="2E64854B" w14:textId="77777777" w:rsidTr="00AD5CB0">
        <w:trPr>
          <w:trHeight w:val="20"/>
          <w:jc w:val="center"/>
        </w:trPr>
        <w:tc>
          <w:tcPr>
            <w:tcW w:w="1189" w:type="pct"/>
            <w:shd w:val="clear" w:color="auto" w:fill="auto"/>
          </w:tcPr>
          <w:p w14:paraId="078B5D0C" w14:textId="77777777" w:rsidR="00B91BA0" w:rsidRPr="00221FB2" w:rsidRDefault="00B91BA0" w:rsidP="00B91BA0">
            <w:pPr>
              <w:tabs>
                <w:tab w:val="left" w:pos="316"/>
              </w:tabs>
              <w:spacing w:before="40" w:after="40"/>
              <w:rPr>
                <w:rFonts w:ascii="Calibri" w:hAnsi="Calibri" w:cs="Arial"/>
                <w:sz w:val="24"/>
                <w:szCs w:val="24"/>
              </w:rPr>
            </w:pPr>
            <w:r w:rsidRPr="00221FB2">
              <w:rPr>
                <w:rFonts w:ascii="Calibri" w:hAnsi="Calibri" w:cs="Arial"/>
                <w:szCs w:val="22"/>
              </w:rPr>
              <w:t xml:space="preserve">Liczba pobrań/uruchomień aplikacji opartych na ponownym wykorzystaniu informacji sektora publicznego i e-usług publicznych </w:t>
            </w:r>
          </w:p>
          <w:p w14:paraId="6C399D9E" w14:textId="7C91FC5C" w:rsidR="00B91BA0" w:rsidRPr="00217AF8" w:rsidRDefault="00B91BA0" w:rsidP="00B91BA0">
            <w:pPr>
              <w:spacing w:before="0" w:line="240" w:lineRule="auto"/>
              <w:rPr>
                <w:rFonts w:asciiTheme="minorHAnsi" w:hAnsiTheme="minorHAnsi"/>
                <w:szCs w:val="22"/>
              </w:rPr>
            </w:pPr>
          </w:p>
        </w:tc>
        <w:tc>
          <w:tcPr>
            <w:tcW w:w="701" w:type="pct"/>
          </w:tcPr>
          <w:p w14:paraId="7960B1CD" w14:textId="376674E5" w:rsidR="00B91BA0" w:rsidRPr="00217AF8" w:rsidRDefault="00B91BA0" w:rsidP="00B91BA0">
            <w:pPr>
              <w:spacing w:before="0" w:line="240" w:lineRule="auto"/>
              <w:jc w:val="both"/>
              <w:rPr>
                <w:rFonts w:asciiTheme="minorHAnsi" w:hAnsiTheme="minorHAnsi"/>
                <w:szCs w:val="22"/>
              </w:rPr>
            </w:pPr>
            <w:r>
              <w:rPr>
                <w:rFonts w:asciiTheme="minorHAnsi" w:hAnsiTheme="minorHAnsi"/>
                <w:szCs w:val="22"/>
              </w:rPr>
              <w:t>Szt.</w:t>
            </w:r>
            <w:r w:rsidR="00784103">
              <w:rPr>
                <w:rFonts w:asciiTheme="minorHAnsi" w:hAnsiTheme="minorHAnsi"/>
                <w:szCs w:val="22"/>
              </w:rPr>
              <w:t>/rok</w:t>
            </w:r>
          </w:p>
        </w:tc>
        <w:tc>
          <w:tcPr>
            <w:tcW w:w="2061" w:type="pct"/>
            <w:shd w:val="clear" w:color="auto" w:fill="auto"/>
          </w:tcPr>
          <w:p w14:paraId="0CBABF95" w14:textId="77777777" w:rsidR="00B91BA0" w:rsidRPr="000B769F" w:rsidRDefault="00B91BA0" w:rsidP="00B91BA0">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Wskaźnik należy definiować jako liczbę pobrań (w przypadku aplikacji instalowanych na urządzeniu użytkownika) lub uruchomień (w przypadku aplikacji dostępnych zdalnie z serwera) aplikacji opartych na ponownym wykorzystaniu informacji sektora publicznego i e-usług publicznych w ciągu roku od daty zakończenia realizacji projektu. </w:t>
            </w:r>
          </w:p>
          <w:p w14:paraId="73548042" w14:textId="77777777" w:rsidR="00B91BA0" w:rsidRPr="000B769F" w:rsidRDefault="00B91BA0" w:rsidP="00B91BA0">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Jako aplikację należy rozumieć program wykonujący konkretne zadania, wyposażony w interfejs użytkownika (zarówno program instalowany na </w:t>
            </w:r>
            <w:r w:rsidRPr="000B769F">
              <w:rPr>
                <w:rFonts w:asciiTheme="minorHAnsi" w:eastAsiaTheme="minorHAnsi" w:hAnsiTheme="minorHAnsi" w:cs="Arial"/>
                <w:szCs w:val="22"/>
                <w:lang w:eastAsia="en-US"/>
              </w:rPr>
              <w:lastRenderedPageBreak/>
              <w:t>urządzeniu użytkownika - takim jak np. komputer, tablet czy telefon komórkowy; jak i program pracujący na serwerze internetowym, dostępny przez przeglądarkę www).</w:t>
            </w:r>
          </w:p>
          <w:p w14:paraId="0BC9489C" w14:textId="77777777" w:rsidR="00B91BA0" w:rsidRPr="000B769F" w:rsidRDefault="00B91BA0" w:rsidP="00B91BA0">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ponowne wykorzystanie informacji sektora publicznego należy rozumieć „wykorzystywanie przez osoby fizyczne lub prawne dokumentów będących w posiadaniu organów sektora publicznego, do celów komercyjnych lub niekomercyjnych innych niż ich pierwotne przeznaczenie w ramach zadań publicznych, dla których te dokumenty zostały wyprodukowane" (art. 2 ust. 4, dyrektywa 2003/98/WE).</w:t>
            </w:r>
          </w:p>
          <w:p w14:paraId="3A7B0DAD" w14:textId="43F33A0D" w:rsidR="00B91BA0" w:rsidRPr="00217AF8" w:rsidRDefault="00B91BA0" w:rsidP="00B91BA0">
            <w:pPr>
              <w:spacing w:before="0" w:line="240" w:lineRule="auto"/>
              <w:rPr>
                <w:rFonts w:asciiTheme="minorHAnsi" w:hAnsiTheme="minorHAnsi"/>
                <w:i/>
                <w:szCs w:val="22"/>
              </w:rPr>
            </w:pPr>
            <w:r w:rsidRPr="000B769F">
              <w:rPr>
                <w:rFonts w:asciiTheme="minorHAnsi" w:eastAsiaTheme="minorHAnsi" w:hAnsiTheme="minorHAnsi" w:cs="Arial"/>
                <w:szCs w:val="22"/>
                <w:lang w:eastAsia="en-US"/>
              </w:rPr>
              <w:t>W ramach wskaźnika liczone są aplikacje wytworzone przez podmioty niepubliczne, przetwarzające informacje pochodzące od podmiotów publicznych.</w:t>
            </w:r>
          </w:p>
        </w:tc>
        <w:tc>
          <w:tcPr>
            <w:tcW w:w="1049" w:type="pct"/>
          </w:tcPr>
          <w:p w14:paraId="1DC87606" w14:textId="72EF67E6" w:rsidR="00B91BA0" w:rsidRPr="00217AF8" w:rsidRDefault="00EA0ED3" w:rsidP="00EA0ED3">
            <w:pPr>
              <w:tabs>
                <w:tab w:val="left" w:pos="316"/>
              </w:tabs>
              <w:spacing w:before="40" w:after="40"/>
              <w:jc w:val="center"/>
              <w:rPr>
                <w:rFonts w:asciiTheme="minorHAnsi" w:hAnsiTheme="minorHAnsi"/>
                <w:szCs w:val="22"/>
              </w:rPr>
            </w:pPr>
            <w:r>
              <w:rPr>
                <w:rFonts w:asciiTheme="minorHAnsi" w:hAnsiTheme="minorHAnsi"/>
                <w:szCs w:val="22"/>
              </w:rPr>
              <w:lastRenderedPageBreak/>
              <w:t>SZOOP WD 2014-2020</w:t>
            </w:r>
          </w:p>
        </w:tc>
      </w:tr>
      <w:tr w:rsidR="00B91BA0" w:rsidRPr="00217AF8" w14:paraId="64460F50" w14:textId="77777777" w:rsidTr="004975C6">
        <w:trPr>
          <w:trHeight w:val="20"/>
          <w:jc w:val="center"/>
        </w:trPr>
        <w:tc>
          <w:tcPr>
            <w:tcW w:w="1189" w:type="pct"/>
            <w:shd w:val="clear" w:color="auto" w:fill="auto"/>
          </w:tcPr>
          <w:p w14:paraId="6A486BBF" w14:textId="7BAB91CD" w:rsidR="00B91BA0" w:rsidRPr="00217AF8" w:rsidRDefault="00B91BA0" w:rsidP="00B91BA0">
            <w:pPr>
              <w:pStyle w:val="Default"/>
              <w:rPr>
                <w:rFonts w:asciiTheme="minorHAnsi" w:hAnsiTheme="minorHAnsi" w:cs="ArialNarrow"/>
                <w:sz w:val="22"/>
                <w:szCs w:val="22"/>
              </w:rPr>
            </w:pPr>
            <w:r w:rsidRPr="00833777">
              <w:rPr>
                <w:rFonts w:ascii="Calibri" w:hAnsi="Calibri" w:cs="Arial"/>
                <w:sz w:val="22"/>
                <w:szCs w:val="22"/>
              </w:rPr>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p>
        </w:tc>
        <w:tc>
          <w:tcPr>
            <w:tcW w:w="701" w:type="pct"/>
          </w:tcPr>
          <w:p w14:paraId="775A67F5" w14:textId="000562AF" w:rsidR="00B91BA0" w:rsidRPr="00217AF8" w:rsidRDefault="00B91BA0" w:rsidP="00B91BA0">
            <w:pPr>
              <w:spacing w:before="0" w:line="240" w:lineRule="auto"/>
              <w:rPr>
                <w:rFonts w:asciiTheme="minorHAnsi" w:hAnsiTheme="minorHAnsi" w:cs="ArialNarrow"/>
                <w:szCs w:val="22"/>
              </w:rPr>
            </w:pPr>
            <w:r>
              <w:rPr>
                <w:rFonts w:asciiTheme="minorHAnsi" w:hAnsiTheme="minorHAnsi" w:cs="ArialNarrow"/>
                <w:szCs w:val="22"/>
              </w:rPr>
              <w:t>Szt.</w:t>
            </w:r>
          </w:p>
        </w:tc>
        <w:tc>
          <w:tcPr>
            <w:tcW w:w="2061" w:type="pct"/>
            <w:shd w:val="clear" w:color="auto" w:fill="auto"/>
            <w:vAlign w:val="center"/>
          </w:tcPr>
          <w:p w14:paraId="69A774C4" w14:textId="77777777" w:rsidR="00B91BA0" w:rsidRPr="000B769F" w:rsidRDefault="00B91BA0" w:rsidP="00B91BA0">
            <w:pPr>
              <w:spacing w:line="240" w:lineRule="auto"/>
              <w:jc w:val="both"/>
              <w:rPr>
                <w:rFonts w:asciiTheme="minorHAnsi" w:hAnsiTheme="minorHAnsi"/>
                <w:szCs w:val="22"/>
              </w:rPr>
            </w:pPr>
            <w:r w:rsidRPr="000B769F">
              <w:rPr>
                <w:rFonts w:asciiTheme="minorHAnsi" w:hAnsiTheme="minorHAnsi"/>
                <w:szCs w:val="22"/>
              </w:rPr>
              <w:t xml:space="preserve">Wskaźnik należy definiować jako liczbę pobranych lub odtworzonych za pośrednictwem </w:t>
            </w:r>
            <w:proofErr w:type="spellStart"/>
            <w:r w:rsidRPr="000B769F">
              <w:rPr>
                <w:rFonts w:asciiTheme="minorHAnsi" w:hAnsiTheme="minorHAnsi"/>
                <w:szCs w:val="22"/>
              </w:rPr>
              <w:t>internetu</w:t>
            </w:r>
            <w:proofErr w:type="spellEnd"/>
            <w:r w:rsidRPr="000B769F">
              <w:rPr>
                <w:rFonts w:asciiTheme="minorHAnsi" w:hAnsiTheme="minorHAnsi"/>
                <w:szCs w:val="22"/>
              </w:rPr>
              <w:t xml:space="preserve"> dokumentów, w okresie roku od zakończenia realizacji projektu. "Dokument" oznacza (na podstawie dyrektywy 2003/98/WE) jakąkolwiek treść niezależnie od zastosowanego nośnika (zapisaną na papierze lub zapisaną w formie elektronicznej lub zarejestrowaną w formie dźwiękowej, wizualnej albo audiowizualnej). </w:t>
            </w:r>
          </w:p>
          <w:p w14:paraId="58376EF3" w14:textId="77777777" w:rsidR="00B91BA0" w:rsidRPr="000B769F" w:rsidRDefault="00B91BA0" w:rsidP="00B91BA0">
            <w:pPr>
              <w:spacing w:line="240" w:lineRule="auto"/>
              <w:jc w:val="both"/>
              <w:rPr>
                <w:rFonts w:asciiTheme="minorHAnsi" w:hAnsiTheme="minorHAnsi"/>
                <w:szCs w:val="22"/>
              </w:rPr>
            </w:pPr>
            <w:r>
              <w:rPr>
                <w:rFonts w:asciiTheme="minorHAnsi" w:hAnsiTheme="minorHAnsi"/>
                <w:szCs w:val="22"/>
              </w:rPr>
              <w:t>Przez</w:t>
            </w:r>
            <w:r w:rsidRPr="000B769F">
              <w:rPr>
                <w:rFonts w:asciiTheme="minorHAnsi" w:hAnsiTheme="minorHAnsi"/>
                <w:szCs w:val="22"/>
              </w:rPr>
              <w:t xml:space="preserve"> informacje sektora publicznego należy rozumieć: </w:t>
            </w:r>
          </w:p>
          <w:p w14:paraId="61A84F9E" w14:textId="77777777" w:rsidR="00B91BA0" w:rsidRPr="000B769F" w:rsidRDefault="00B91BA0" w:rsidP="00B91BA0">
            <w:pPr>
              <w:spacing w:line="240" w:lineRule="auto"/>
              <w:jc w:val="both"/>
              <w:rPr>
                <w:rFonts w:asciiTheme="minorHAnsi" w:hAnsiTheme="minorHAnsi"/>
                <w:szCs w:val="22"/>
              </w:rPr>
            </w:pPr>
            <w:r w:rsidRPr="000B769F">
              <w:rPr>
                <w:rFonts w:asciiTheme="minorHAnsi" w:hAnsiTheme="minorHAnsi"/>
                <w:szCs w:val="22"/>
              </w:rPr>
              <w:t xml:space="preserve">- informację publiczną w rozumieniu ustawy z dnia 6 września 2001 r. o dostępie do informacji publicznej, </w:t>
            </w:r>
          </w:p>
          <w:p w14:paraId="11035D75" w14:textId="77777777" w:rsidR="00B91BA0" w:rsidRPr="000B769F" w:rsidRDefault="00B91BA0" w:rsidP="00B91BA0">
            <w:pPr>
              <w:spacing w:before="0" w:line="240" w:lineRule="auto"/>
              <w:jc w:val="both"/>
              <w:rPr>
                <w:rFonts w:asciiTheme="minorHAnsi" w:hAnsiTheme="minorHAnsi"/>
                <w:szCs w:val="22"/>
              </w:rPr>
            </w:pPr>
            <w:r w:rsidRPr="000B769F">
              <w:rPr>
                <w:rFonts w:asciiTheme="minorHAnsi" w:hAnsiTheme="minorHAnsi"/>
                <w:szCs w:val="22"/>
              </w:rPr>
              <w:t xml:space="preserve">- informację sektora publicznego w rozumieniu dyrektywy 2003/98/WE dnia 17 listopada  2003  r. w sprawie ponownego wykorzystywania informacji sektora publicznego (w brzmieniu zmienionym przez dyrektywę 2013/37/UE zmieniającą dyrektywę 2003/98/WE dnia 17 listopada  2003  r.  w sprawie </w:t>
            </w:r>
            <w:r w:rsidRPr="000B769F">
              <w:rPr>
                <w:rFonts w:asciiTheme="minorHAnsi" w:hAnsiTheme="minorHAnsi"/>
                <w:szCs w:val="22"/>
              </w:rPr>
              <w:lastRenderedPageBreak/>
              <w:t>ponownego wykorzystywania informacji sektora publicznego),</w:t>
            </w:r>
          </w:p>
          <w:p w14:paraId="49250B0C" w14:textId="77777777" w:rsidR="00B91BA0" w:rsidRPr="000B769F" w:rsidRDefault="00B91BA0" w:rsidP="00B91BA0">
            <w:pPr>
              <w:spacing w:before="0" w:line="240" w:lineRule="auto"/>
              <w:jc w:val="both"/>
              <w:rPr>
                <w:rFonts w:asciiTheme="minorHAnsi" w:hAnsiTheme="minorHAnsi"/>
                <w:szCs w:val="22"/>
              </w:rPr>
            </w:pPr>
            <w:r w:rsidRPr="000B769F">
              <w:rPr>
                <w:rFonts w:asciiTheme="minorHAnsi" w:hAnsiTheme="minorHAnsi"/>
                <w:szCs w:val="22"/>
              </w:rPr>
              <w:t>- zasoby audiowizualne, pod warunkiem ich udostępniania do ponownego wykorzystywania,</w:t>
            </w:r>
          </w:p>
          <w:p w14:paraId="2D25B862" w14:textId="77777777" w:rsidR="00B91BA0" w:rsidRPr="000B769F" w:rsidRDefault="00B91BA0" w:rsidP="00B91BA0">
            <w:pPr>
              <w:spacing w:before="0" w:line="240" w:lineRule="auto"/>
              <w:jc w:val="both"/>
              <w:rPr>
                <w:rFonts w:asciiTheme="minorHAnsi" w:hAnsiTheme="minorHAnsi"/>
                <w:szCs w:val="22"/>
              </w:rPr>
            </w:pPr>
            <w:r w:rsidRPr="000B769F">
              <w:rPr>
                <w:rFonts w:asciiTheme="minorHAnsi" w:hAnsiTheme="minorHAnsi"/>
                <w:szCs w:val="22"/>
              </w:rPr>
              <w:t>- zasoby archiwalne, pod warunkiem ich udostępnienia do ponownego wykorzystania,</w:t>
            </w:r>
          </w:p>
          <w:p w14:paraId="1B1F4618" w14:textId="77777777" w:rsidR="00B91BA0" w:rsidRPr="000B769F" w:rsidRDefault="00B91BA0" w:rsidP="00B91BA0">
            <w:pPr>
              <w:spacing w:before="0" w:line="240" w:lineRule="auto"/>
              <w:jc w:val="both"/>
              <w:rPr>
                <w:rFonts w:asciiTheme="minorHAnsi" w:hAnsiTheme="minorHAnsi"/>
                <w:szCs w:val="22"/>
              </w:rPr>
            </w:pPr>
            <w:r w:rsidRPr="000B769F">
              <w:rPr>
                <w:rFonts w:asciiTheme="minorHAnsi" w:hAnsiTheme="minorHAnsi"/>
                <w:szCs w:val="22"/>
              </w:rPr>
              <w:t>- zasoby kultury, pod warunkiem ich udostepnienia do ponownego wykorzystania,</w:t>
            </w:r>
          </w:p>
          <w:p w14:paraId="19D0CCEE" w14:textId="77777777" w:rsidR="00B91BA0" w:rsidRDefault="00B91BA0" w:rsidP="00B91BA0">
            <w:pPr>
              <w:spacing w:before="0" w:line="240" w:lineRule="auto"/>
              <w:jc w:val="both"/>
              <w:rPr>
                <w:rFonts w:asciiTheme="minorHAnsi" w:hAnsiTheme="minorHAnsi"/>
                <w:szCs w:val="22"/>
              </w:rPr>
            </w:pPr>
            <w:r w:rsidRPr="000B769F">
              <w:rPr>
                <w:rFonts w:asciiTheme="minorHAnsi" w:hAnsiTheme="minorHAnsi"/>
                <w:szCs w:val="22"/>
              </w:rPr>
              <w:t>- zasoby nauki, pod warunkiem ich udostępniania do ponownego wykorzystywania.</w:t>
            </w:r>
          </w:p>
          <w:p w14:paraId="7A528180" w14:textId="77777777" w:rsidR="00B91BA0" w:rsidRDefault="00B91BA0" w:rsidP="00B91BA0">
            <w:pPr>
              <w:spacing w:before="0" w:line="240" w:lineRule="auto"/>
              <w:jc w:val="both"/>
              <w:rPr>
                <w:rFonts w:asciiTheme="minorHAnsi" w:hAnsiTheme="minorHAnsi"/>
                <w:szCs w:val="22"/>
              </w:rPr>
            </w:pPr>
          </w:p>
          <w:p w14:paraId="4A3F10CC" w14:textId="77777777" w:rsidR="00B91BA0" w:rsidRDefault="00B91BA0" w:rsidP="00B91BA0">
            <w:pPr>
              <w:spacing w:before="0" w:line="240" w:lineRule="auto"/>
              <w:jc w:val="both"/>
              <w:rPr>
                <w:rFonts w:asciiTheme="minorHAnsi" w:hAnsiTheme="minorHAnsi"/>
                <w:szCs w:val="22"/>
              </w:rPr>
            </w:pPr>
            <w:r w:rsidRPr="000B769F">
              <w:rPr>
                <w:rFonts w:asciiTheme="minorHAnsi" w:hAnsiTheme="minorHAnsi"/>
                <w:szCs w:val="22"/>
              </w:rPr>
              <w:t>Metoda pomiaru</w:t>
            </w:r>
            <w:r>
              <w:rPr>
                <w:rFonts w:asciiTheme="minorHAnsi" w:hAnsiTheme="minorHAnsi"/>
                <w:szCs w:val="22"/>
              </w:rPr>
              <w:t>:</w:t>
            </w:r>
            <w:r w:rsidRPr="000B769F">
              <w:rPr>
                <w:rFonts w:asciiTheme="minorHAnsi" w:hAnsiTheme="minorHAnsi"/>
                <w:szCs w:val="22"/>
              </w:rPr>
              <w:t xml:space="preserve"> </w:t>
            </w:r>
            <w:r w:rsidRPr="005D6A14">
              <w:rPr>
                <w:rFonts w:asciiTheme="minorHAnsi" w:hAnsiTheme="minorHAnsi"/>
                <w:szCs w:val="22"/>
              </w:rPr>
              <w:t xml:space="preserve">Jeden utwór w rozumieniu ustawy o prawie autorskim i prawach pokrewnych powinien być zliczany jako jeden dokument, niezależnie od liczby części (plików), w których został udostępniony. </w:t>
            </w:r>
          </w:p>
          <w:p w14:paraId="62531F95" w14:textId="77777777" w:rsidR="00B91BA0" w:rsidRPr="00E3647B" w:rsidRDefault="00B91BA0" w:rsidP="00B91BA0">
            <w:pPr>
              <w:spacing w:before="0" w:line="240" w:lineRule="auto"/>
              <w:rPr>
                <w:rFonts w:asciiTheme="minorHAnsi" w:hAnsiTheme="minorHAnsi"/>
                <w:sz w:val="20"/>
              </w:rPr>
            </w:pPr>
          </w:p>
        </w:tc>
        <w:tc>
          <w:tcPr>
            <w:tcW w:w="1049" w:type="pct"/>
          </w:tcPr>
          <w:p w14:paraId="29EF8174" w14:textId="4B17D1BD" w:rsidR="00B91BA0" w:rsidRPr="00217AF8" w:rsidRDefault="00EA0ED3" w:rsidP="00B91BA0">
            <w:pPr>
              <w:spacing w:before="0" w:line="240" w:lineRule="auto"/>
              <w:jc w:val="center"/>
              <w:rPr>
                <w:rFonts w:asciiTheme="minorHAnsi" w:hAnsiTheme="minorHAnsi"/>
                <w:szCs w:val="22"/>
              </w:rPr>
            </w:pPr>
            <w:r>
              <w:rPr>
                <w:rFonts w:asciiTheme="minorHAnsi" w:hAnsiTheme="minorHAnsi"/>
                <w:szCs w:val="22"/>
              </w:rPr>
              <w:lastRenderedPageBreak/>
              <w:t xml:space="preserve">SZOOP </w:t>
            </w:r>
            <w:r w:rsidRPr="00604576">
              <w:rPr>
                <w:rFonts w:asciiTheme="minorHAnsi" w:hAnsiTheme="minorHAnsi"/>
                <w:szCs w:val="22"/>
              </w:rPr>
              <w:t>RPO WD 2014-2020</w:t>
            </w:r>
          </w:p>
        </w:tc>
      </w:tr>
      <w:tr w:rsidR="002456F7" w:rsidRPr="00217AF8" w14:paraId="5EB03B94" w14:textId="77777777" w:rsidTr="00AD5CB0">
        <w:trPr>
          <w:trHeight w:val="20"/>
          <w:jc w:val="center"/>
        </w:trPr>
        <w:tc>
          <w:tcPr>
            <w:tcW w:w="1189" w:type="pct"/>
            <w:shd w:val="clear" w:color="auto" w:fill="auto"/>
          </w:tcPr>
          <w:p w14:paraId="615A622A" w14:textId="77777777"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14:paraId="6374CFE1" w14:textId="77777777"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14:paraId="1357D6CA" w14:textId="77777777" w:rsidR="002456F7" w:rsidRPr="000C4198"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 xml:space="preserve">Gross new working positions in supported enterprises in full time equivalents (FTE). </w:t>
            </w:r>
          </w:p>
          <w:p w14:paraId="2BD7B403" w14:textId="77777777" w:rsidR="002456F7" w:rsidRPr="000C4198"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0D21AC83" w14:textId="77777777" w:rsidR="002456F7" w:rsidRPr="000C4198"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 xml:space="preserve">Gross: Not counting the origin of the jobholder as long as it directly contributes to the increase of total jobs in the </w:t>
            </w:r>
            <w:proofErr w:type="spellStart"/>
            <w:r w:rsidRPr="000C4198">
              <w:rPr>
                <w:rFonts w:asciiTheme="minorHAnsi" w:hAnsiTheme="minorHAnsi"/>
                <w:sz w:val="20"/>
                <w:lang w:val="en-US"/>
              </w:rPr>
              <w:t>organisation</w:t>
            </w:r>
            <w:proofErr w:type="spellEnd"/>
            <w:r w:rsidRPr="000C4198">
              <w:rPr>
                <w:rFonts w:asciiTheme="minorHAnsi" w:hAnsiTheme="minorHAnsi"/>
                <w:sz w:val="20"/>
                <w:lang w:val="en-US"/>
              </w:rPr>
              <w:t xml:space="preserve">. The indicator should be used if the employment increase can plausibly be attributed to the support. </w:t>
            </w:r>
          </w:p>
          <w:p w14:paraId="5FE3D3C3" w14:textId="77777777" w:rsidR="002456F7" w:rsidRPr="000C4198"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 xml:space="preserve">Full-time equivalent: Jobs can be full time, </w:t>
            </w:r>
            <w:proofErr w:type="spellStart"/>
            <w:r w:rsidRPr="000C4198">
              <w:rPr>
                <w:rFonts w:asciiTheme="minorHAnsi" w:hAnsiTheme="minorHAnsi"/>
                <w:sz w:val="20"/>
                <w:lang w:val="en-US"/>
              </w:rPr>
              <w:t>parttime</w:t>
            </w:r>
            <w:proofErr w:type="spellEnd"/>
            <w:r w:rsidRPr="000C4198">
              <w:rPr>
                <w:rFonts w:asciiTheme="minorHAnsi" w:hAnsiTheme="minorHAnsi"/>
                <w:sz w:val="20"/>
                <w:lang w:val="en-US"/>
              </w:rPr>
              <w:t xml:space="preserve"> or seasonal. Seasonal and part time jobs are to be converted to FTE using ILO/statistical/other standards. </w:t>
            </w:r>
          </w:p>
          <w:p w14:paraId="423FC631" w14:textId="77777777" w:rsidR="002456F7" w:rsidRPr="000C4198"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 xml:space="preserve">Durability: Jobs are expected to be permanent, i.e. last for a reasonably long period depending on industrial-technological characteristics; seasonal jobs should be recurring. Figures of enterprises that went bankrupt are registered as a zero employment increase. </w:t>
            </w:r>
          </w:p>
          <w:p w14:paraId="23A3244A" w14:textId="77777777" w:rsidR="002456F7" w:rsidRDefault="002456F7" w:rsidP="008D43F7">
            <w:pPr>
              <w:spacing w:before="0" w:line="240" w:lineRule="auto"/>
              <w:jc w:val="both"/>
              <w:rPr>
                <w:rFonts w:asciiTheme="minorHAnsi" w:hAnsiTheme="minorHAnsi"/>
                <w:sz w:val="20"/>
                <w:lang w:val="en-US"/>
              </w:rPr>
            </w:pPr>
            <w:r w:rsidRPr="000C4198">
              <w:rPr>
                <w:rFonts w:asciiTheme="minorHAnsi" w:hAnsiTheme="minorHAnsi"/>
                <w:sz w:val="20"/>
                <w:lang w:val="en-US"/>
              </w:rPr>
              <w:t xml:space="preserve">Timing: Data is collected before the project starts and after it finishes; MAs are free to </w:t>
            </w:r>
            <w:r w:rsidRPr="000C4198">
              <w:rPr>
                <w:rFonts w:asciiTheme="minorHAnsi" w:hAnsiTheme="minorHAnsi"/>
                <w:sz w:val="20"/>
                <w:lang w:val="en-US"/>
              </w:rPr>
              <w:lastRenderedPageBreak/>
              <w:t>specify the exact timing. Using average employment, based on 6 months or a year, is preferred to employment figures on certain dates.</w:t>
            </w:r>
          </w:p>
          <w:p w14:paraId="44B3E03B" w14:textId="77777777" w:rsidR="000C4198" w:rsidRPr="000C4198" w:rsidRDefault="000C4198" w:rsidP="008D43F7">
            <w:pPr>
              <w:spacing w:before="0" w:line="240" w:lineRule="auto"/>
              <w:jc w:val="both"/>
              <w:rPr>
                <w:rFonts w:asciiTheme="minorHAnsi" w:hAnsiTheme="minorHAnsi"/>
                <w:sz w:val="20"/>
                <w:lang w:val="en-US"/>
              </w:rPr>
            </w:pPr>
          </w:p>
          <w:p w14:paraId="43AE1DDC" w14:textId="77777777" w:rsidR="002456F7" w:rsidRPr="00C36663" w:rsidRDefault="002456F7" w:rsidP="008D43F7">
            <w:pPr>
              <w:spacing w:before="0" w:line="240" w:lineRule="auto"/>
              <w:jc w:val="both"/>
              <w:rPr>
                <w:rFonts w:asciiTheme="minorHAnsi" w:hAnsiTheme="minorHAnsi"/>
              </w:rPr>
            </w:pPr>
            <w:r w:rsidRPr="00DA35B2">
              <w:rPr>
                <w:rFonts w:asciiTheme="minorHAnsi" w:hAnsiTheme="minorHAnsi"/>
              </w:rPr>
              <w:t xml:space="preserve">Tłumaczenie robocze: </w:t>
            </w:r>
            <w:r w:rsidRPr="00C36663">
              <w:rPr>
                <w:rFonts w:asciiTheme="minorHAnsi" w:hAnsiTheme="minorHAnsi"/>
              </w:rPr>
              <w:t xml:space="preserve">Nowe miejsca pracy brutto we wspartych  przedsiębiorstwach wyrażone w ekwiwalencie pełnego czasu pracy (EPC). </w:t>
            </w:r>
          </w:p>
          <w:p w14:paraId="09BC6661" w14:textId="77777777" w:rsidR="002456F7" w:rsidRPr="00C36663" w:rsidRDefault="002456F7" w:rsidP="008D43F7">
            <w:pPr>
              <w:spacing w:before="0" w:line="240" w:lineRule="auto"/>
              <w:jc w:val="both"/>
              <w:rPr>
                <w:rFonts w:asciiTheme="minorHAnsi" w:hAnsiTheme="minorHAnsi"/>
              </w:rPr>
            </w:pPr>
            <w:r w:rsidRPr="00C36663">
              <w:rPr>
                <w:rFonts w:asciiTheme="minorHAnsi" w:hAnsiTheme="minorHAnsi"/>
              </w:rPr>
              <w:t xml:space="preserve">Wskaźnik ukazuje zmianę "przed-po" </w:t>
            </w:r>
            <w:r w:rsidRPr="00C36663">
              <w:rPr>
                <w:rFonts w:asciiTheme="minorHAnsi" w:hAnsiTheme="minorHAnsi"/>
              </w:rPr>
              <w:br/>
              <w:t xml:space="preserve">i obejmuje część wzrostu zatrudnienia </w:t>
            </w:r>
            <w:r w:rsidRPr="00C36663">
              <w:rPr>
                <w:rFonts w:asciiTheme="minorHAnsi" w:hAnsiTheme="minorHAnsi"/>
              </w:rPr>
              <w:br/>
              <w:t xml:space="preserve">w przedsiębiorstwie będącego bezpośrednim skutkiem zakończenia realizacji projektu (nie są wliczani pracownicy zatrudnieni do realizacji projektu). </w:t>
            </w:r>
          </w:p>
          <w:p w14:paraId="1BB04878" w14:textId="77777777" w:rsidR="002456F7" w:rsidRPr="00C36663" w:rsidRDefault="002456F7" w:rsidP="008D43F7">
            <w:pPr>
              <w:spacing w:before="0" w:line="240" w:lineRule="auto"/>
              <w:jc w:val="both"/>
              <w:rPr>
                <w:rFonts w:asciiTheme="minorHAnsi" w:hAnsiTheme="minorHAnsi"/>
              </w:rPr>
            </w:pPr>
            <w:r w:rsidRPr="00C36663">
              <w:rPr>
                <w:rFonts w:asciiTheme="minorHAnsi" w:hAnsiTheme="minorHAnsi"/>
              </w:rPr>
              <w:t xml:space="preserve">Uwzględnia się obsadzone miejsca pracy (wakaty nie są liczone), które zwiększają łączną liczbę miejsc pracy </w:t>
            </w:r>
            <w:r w:rsidRPr="00C36663">
              <w:rPr>
                <w:rFonts w:asciiTheme="minorHAnsi" w:hAnsiTheme="minorHAnsi"/>
              </w:rPr>
              <w:br/>
              <w:t xml:space="preserve">w przedsiębiorstwie. Brak wzrostu </w:t>
            </w:r>
            <w:r w:rsidRPr="00C36663">
              <w:rPr>
                <w:rFonts w:asciiTheme="minorHAnsi" w:hAnsiTheme="minorHAnsi"/>
              </w:rPr>
              <w:br/>
              <w:t xml:space="preserve">w całkowitym zatrudnieniu </w:t>
            </w:r>
            <w:r w:rsidRPr="00C36663">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14:paraId="54D8E408" w14:textId="77777777" w:rsidR="002456F7" w:rsidRPr="00C36663" w:rsidRDefault="002456F7" w:rsidP="008D43F7">
            <w:pPr>
              <w:spacing w:before="0" w:line="240" w:lineRule="auto"/>
              <w:jc w:val="both"/>
              <w:rPr>
                <w:rFonts w:asciiTheme="minorHAnsi" w:hAnsiTheme="minorHAnsi"/>
              </w:rPr>
            </w:pPr>
            <w:r w:rsidRPr="00C36663">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C36663">
              <w:rPr>
                <w:rFonts w:asciiTheme="minorHAnsi" w:hAnsiTheme="minorHAnsi"/>
              </w:rPr>
              <w:br/>
              <w:t>w ramach projektu.</w:t>
            </w:r>
          </w:p>
          <w:p w14:paraId="1FB0E8D7" w14:textId="1E34F8C8" w:rsidR="002456F7" w:rsidRPr="00C36663" w:rsidRDefault="002456F7" w:rsidP="008D43F7">
            <w:pPr>
              <w:spacing w:before="0" w:line="240" w:lineRule="auto"/>
              <w:jc w:val="both"/>
              <w:rPr>
                <w:rFonts w:asciiTheme="minorHAnsi" w:hAnsiTheme="minorHAnsi"/>
              </w:rPr>
            </w:pPr>
            <w:r w:rsidRPr="00C36663">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 </w:t>
            </w:r>
          </w:p>
          <w:p w14:paraId="60E14317" w14:textId="77777777" w:rsidR="002456F7" w:rsidRPr="00DA35B2" w:rsidRDefault="002456F7" w:rsidP="008D43F7">
            <w:pPr>
              <w:spacing w:before="0" w:line="240" w:lineRule="auto"/>
              <w:jc w:val="both"/>
              <w:rPr>
                <w:rFonts w:asciiTheme="minorHAnsi" w:hAnsiTheme="minorHAnsi"/>
              </w:rPr>
            </w:pPr>
            <w:r w:rsidRPr="00DA35B2">
              <w:rPr>
                <w:rFonts w:asciiTheme="minorHAnsi" w:hAnsiTheme="minorHAnsi"/>
              </w:rPr>
              <w:t xml:space="preserve">Trwałość: oczekuje się, że miejsca pracy są trwałe, czyli utrzymywane są odpowiednio długo w zależności od charakteru przemysłowo-technologicznej działalności </w:t>
            </w:r>
            <w:r w:rsidRPr="00DA35B2">
              <w:rPr>
                <w:rFonts w:asciiTheme="minorHAnsi" w:hAnsiTheme="minorHAnsi"/>
              </w:rPr>
              <w:lastRenderedPageBreak/>
              <w:t>przedsiębiorstwa; trwałość sezonowych miejsc pracy powinna być uwzględniana jako ich cykliczność. W przypadku upadłości przedsiębiorstwa wzrost zatrudnienia wynosi „0”.</w:t>
            </w:r>
          </w:p>
          <w:p w14:paraId="3CD7B208" w14:textId="77777777" w:rsidR="002456F7" w:rsidRPr="00DA35B2" w:rsidRDefault="002456F7" w:rsidP="008D43F7">
            <w:pPr>
              <w:spacing w:before="0" w:line="240" w:lineRule="auto"/>
              <w:jc w:val="both"/>
              <w:rPr>
                <w:rFonts w:asciiTheme="minorHAnsi" w:hAnsiTheme="minorHAnsi"/>
              </w:rPr>
            </w:pPr>
            <w:r w:rsidRPr="00DA35B2">
              <w:rPr>
                <w:rFonts w:asciiTheme="minorHAnsi" w:hAnsiTheme="minorHAnsi"/>
              </w:rPr>
              <w:t>Termin: Dane zbierane są przed rozpoczęciem projektu i po jego zakończeniu. IZ określa okres liczenia wskaźnika. Można wyliczyć średnie zatrudnienie w okresie 6 miesięcy albo jednego roku, preferowane jest gromadzenie danych w zakresie zatrudnienia w określonych terminach.</w:t>
            </w:r>
          </w:p>
          <w:p w14:paraId="39D5AD3B" w14:textId="77777777" w:rsidR="002456F7" w:rsidRDefault="002456F7" w:rsidP="008D43F7">
            <w:pPr>
              <w:spacing w:before="0" w:line="240" w:lineRule="auto"/>
              <w:jc w:val="both"/>
              <w:rPr>
                <w:rFonts w:asciiTheme="minorHAnsi" w:hAnsiTheme="minorHAnsi"/>
              </w:rPr>
            </w:pPr>
            <w:r w:rsidRPr="00DA35B2">
              <w:rPr>
                <w:rFonts w:asciiTheme="minorHAnsi" w:hAnsiTheme="minorHAnsi"/>
              </w:rPr>
              <w:t xml:space="preserve">Wskaźnik liczy etaty utworzone </w:t>
            </w:r>
            <w:r>
              <w:rPr>
                <w:rFonts w:asciiTheme="minorHAnsi" w:hAnsiTheme="minorHAnsi"/>
              </w:rPr>
              <w:br/>
            </w:r>
            <w:r w:rsidRPr="00DA35B2">
              <w:rPr>
                <w:rFonts w:asciiTheme="minorHAnsi" w:hAnsiTheme="minorHAnsi"/>
              </w:rPr>
              <w:t>w przedsiębiorstwach w wyniku realizacji projektu; dotyczy zatrudnionych na podstawie umowy o pracę (nie dotyczy umów cywilnoprawnych). Etaty częściowe podlegają sumowaniu lecz nie są zaokrąglane do pełnych jednostek.</w:t>
            </w:r>
          </w:p>
          <w:p w14:paraId="55637F7B" w14:textId="77777777" w:rsidR="0047502D" w:rsidRPr="00D96D24" w:rsidRDefault="0047502D" w:rsidP="008D43F7">
            <w:pPr>
              <w:spacing w:before="0" w:line="240" w:lineRule="auto"/>
              <w:jc w:val="both"/>
              <w:rPr>
                <w:rFonts w:asciiTheme="minorHAnsi" w:hAnsiTheme="minorHAnsi"/>
              </w:rPr>
            </w:pPr>
          </w:p>
        </w:tc>
        <w:tc>
          <w:tcPr>
            <w:tcW w:w="1049" w:type="pct"/>
          </w:tcPr>
          <w:p w14:paraId="651E83B9" w14:textId="2D39C0AB" w:rsidR="002456F7" w:rsidRPr="00217AF8" w:rsidRDefault="00E3647B" w:rsidP="00FA4C5B">
            <w:pPr>
              <w:spacing w:before="0" w:line="240" w:lineRule="auto"/>
              <w:jc w:val="center"/>
              <w:rPr>
                <w:rFonts w:asciiTheme="minorHAnsi" w:hAnsiTheme="minorHAnsi"/>
                <w:szCs w:val="22"/>
              </w:rPr>
            </w:pPr>
            <w:r>
              <w:rPr>
                <w:rFonts w:asciiTheme="minorHAnsi" w:hAnsiTheme="minorHAnsi"/>
                <w:szCs w:val="22"/>
              </w:rPr>
              <w:lastRenderedPageBreak/>
              <w:t>horyzontalny</w:t>
            </w:r>
          </w:p>
        </w:tc>
      </w:tr>
      <w:tr w:rsidR="002456F7" w:rsidRPr="00217AF8" w14:paraId="7664878F" w14:textId="77777777" w:rsidTr="00AD5CB0">
        <w:trPr>
          <w:trHeight w:val="20"/>
          <w:jc w:val="center"/>
        </w:trPr>
        <w:tc>
          <w:tcPr>
            <w:tcW w:w="1189" w:type="pct"/>
            <w:shd w:val="clear" w:color="auto" w:fill="auto"/>
          </w:tcPr>
          <w:p w14:paraId="29EA81C5" w14:textId="77777777"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14:paraId="248136B6" w14:textId="77777777"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14:paraId="0C1CBD49" w14:textId="77777777"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14:paraId="459652D7" w14:textId="77777777" w:rsidR="002456F7" w:rsidRPr="00217AF8" w:rsidRDefault="002456F7" w:rsidP="008D43F7">
            <w:pPr>
              <w:spacing w:before="0"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14:paraId="32F4DA39" w14:textId="77777777"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H</w:t>
            </w:r>
            <w:r w:rsidR="002456F7" w:rsidRPr="00217AF8">
              <w:rPr>
                <w:rFonts w:asciiTheme="minorHAnsi" w:hAnsiTheme="minorHAnsi"/>
                <w:szCs w:val="22"/>
              </w:rPr>
              <w:t>oryzontalny</w:t>
            </w:r>
          </w:p>
        </w:tc>
      </w:tr>
      <w:tr w:rsidR="002456F7" w:rsidRPr="00217AF8" w14:paraId="7E4BDF8B" w14:textId="77777777" w:rsidTr="00AD5CB0">
        <w:trPr>
          <w:trHeight w:val="20"/>
          <w:jc w:val="center"/>
        </w:trPr>
        <w:tc>
          <w:tcPr>
            <w:tcW w:w="1189" w:type="pct"/>
            <w:shd w:val="clear" w:color="auto" w:fill="auto"/>
          </w:tcPr>
          <w:p w14:paraId="09B16466" w14:textId="77777777"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14:paraId="756562CF" w14:textId="77777777"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14:paraId="4D8CA386" w14:textId="77777777" w:rsidR="002456F7" w:rsidRDefault="002456F7" w:rsidP="008D43F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r>
              <w:rPr>
                <w:rFonts w:asciiTheme="minorHAnsi" w:eastAsiaTheme="minorHAnsi" w:hAnsiTheme="minorHAnsi" w:cstheme="minorBidi"/>
                <w:szCs w:val="22"/>
                <w:lang w:eastAsia="en-US"/>
              </w:rPr>
              <w:t>.</w:t>
            </w:r>
          </w:p>
          <w:p w14:paraId="276A1D21" w14:textId="77777777" w:rsidR="0047502D" w:rsidRPr="0047502D" w:rsidRDefault="0047502D" w:rsidP="008D43F7">
            <w:pPr>
              <w:autoSpaceDE w:val="0"/>
              <w:autoSpaceDN w:val="0"/>
              <w:adjustRightInd w:val="0"/>
              <w:spacing w:before="0" w:line="240" w:lineRule="auto"/>
              <w:jc w:val="both"/>
              <w:rPr>
                <w:rFonts w:asciiTheme="minorHAnsi" w:eastAsiaTheme="minorHAnsi" w:hAnsiTheme="minorHAnsi" w:cstheme="minorBidi"/>
                <w:szCs w:val="22"/>
                <w:lang w:eastAsia="en-US"/>
              </w:rPr>
            </w:pPr>
          </w:p>
        </w:tc>
        <w:tc>
          <w:tcPr>
            <w:tcW w:w="1049" w:type="pct"/>
          </w:tcPr>
          <w:p w14:paraId="2CEC3F79" w14:textId="77777777"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H</w:t>
            </w:r>
            <w:r w:rsidR="002456F7" w:rsidRPr="00217AF8">
              <w:rPr>
                <w:rFonts w:asciiTheme="minorHAnsi" w:hAnsiTheme="minorHAnsi"/>
                <w:szCs w:val="22"/>
              </w:rPr>
              <w:t>oryzontalny</w:t>
            </w:r>
          </w:p>
        </w:tc>
      </w:tr>
      <w:tr w:rsidR="002456F7" w:rsidRPr="00217AF8" w14:paraId="450D0BB6" w14:textId="77777777" w:rsidTr="00AD5CB0">
        <w:trPr>
          <w:trHeight w:val="20"/>
          <w:jc w:val="center"/>
        </w:trPr>
        <w:tc>
          <w:tcPr>
            <w:tcW w:w="1189" w:type="pct"/>
            <w:shd w:val="clear" w:color="auto" w:fill="auto"/>
          </w:tcPr>
          <w:p w14:paraId="3FCBC87D" w14:textId="77777777" w:rsidR="002456F7" w:rsidRPr="00217AF8" w:rsidRDefault="002456F7" w:rsidP="00FA4C5B">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14:paraId="07D739F5" w14:textId="77777777" w:rsidR="002456F7" w:rsidRPr="00217AF8" w:rsidRDefault="002456F7" w:rsidP="00FA4C5B">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tcPr>
          <w:p w14:paraId="66D7179C" w14:textId="77777777" w:rsidR="002456F7" w:rsidRDefault="002456F7" w:rsidP="008D43F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np. umowy cywilnoprawne, miejsca pracy do obsługi projektu, nietrwałe miejsca pracy</w:t>
            </w:r>
            <w:r w:rsidR="00575F8D">
              <w:t xml:space="preserve"> </w:t>
            </w:r>
            <w:r w:rsidR="00575F8D" w:rsidRPr="00575F8D">
              <w:rPr>
                <w:rFonts w:asciiTheme="minorHAnsi" w:eastAsiaTheme="minorHAnsi" w:hAnsiTheme="minorHAnsi" w:cs="Verdana"/>
                <w:szCs w:val="22"/>
                <w:lang w:eastAsia="en-US"/>
              </w:rPr>
              <w:t>(wskaźnik ma charakter informacyjny )</w:t>
            </w:r>
            <w:r w:rsidR="00575F8D">
              <w:rPr>
                <w:rFonts w:asciiTheme="minorHAnsi" w:eastAsiaTheme="minorHAnsi" w:hAnsiTheme="minorHAnsi" w:cs="Verdana"/>
                <w:szCs w:val="22"/>
                <w:lang w:eastAsia="en-US"/>
              </w:rPr>
              <w:t xml:space="preserve"> </w:t>
            </w:r>
            <w:r>
              <w:rPr>
                <w:rFonts w:asciiTheme="minorHAnsi" w:eastAsiaTheme="minorHAnsi" w:hAnsiTheme="minorHAnsi" w:cs="Verdana"/>
                <w:szCs w:val="22"/>
                <w:lang w:eastAsia="en-US"/>
              </w:rPr>
              <w:t>.</w:t>
            </w:r>
            <w:r w:rsidRPr="00217AF8">
              <w:rPr>
                <w:rFonts w:asciiTheme="minorHAnsi" w:eastAsiaTheme="minorHAnsi" w:hAnsiTheme="minorHAnsi" w:cs="Verdana"/>
                <w:szCs w:val="22"/>
                <w:lang w:eastAsia="en-US"/>
              </w:rPr>
              <w:t xml:space="preserve"> </w:t>
            </w:r>
          </w:p>
          <w:p w14:paraId="64B1B0EF" w14:textId="77777777" w:rsidR="0047502D" w:rsidRPr="0047502D" w:rsidRDefault="0047502D" w:rsidP="008D43F7">
            <w:pPr>
              <w:autoSpaceDE w:val="0"/>
              <w:autoSpaceDN w:val="0"/>
              <w:adjustRightInd w:val="0"/>
              <w:spacing w:before="0" w:line="240" w:lineRule="auto"/>
              <w:jc w:val="both"/>
              <w:rPr>
                <w:rFonts w:asciiTheme="minorHAnsi" w:eastAsiaTheme="minorHAnsi" w:hAnsiTheme="minorHAnsi" w:cs="Verdana"/>
                <w:szCs w:val="22"/>
                <w:lang w:eastAsia="en-US"/>
              </w:rPr>
            </w:pPr>
          </w:p>
        </w:tc>
        <w:tc>
          <w:tcPr>
            <w:tcW w:w="1049" w:type="pct"/>
          </w:tcPr>
          <w:p w14:paraId="0FDDA4EF" w14:textId="77777777" w:rsidR="002456F7" w:rsidRPr="00217AF8" w:rsidRDefault="00AD5CB0" w:rsidP="00FA4C5B">
            <w:pPr>
              <w:spacing w:before="0" w:line="240" w:lineRule="auto"/>
              <w:jc w:val="center"/>
              <w:rPr>
                <w:rFonts w:asciiTheme="minorHAnsi" w:hAnsiTheme="minorHAnsi"/>
                <w:szCs w:val="22"/>
              </w:rPr>
            </w:pPr>
            <w:r>
              <w:rPr>
                <w:rFonts w:asciiTheme="minorHAnsi" w:hAnsiTheme="minorHAnsi"/>
                <w:szCs w:val="22"/>
              </w:rPr>
              <w:t>H</w:t>
            </w:r>
            <w:r w:rsidR="002456F7" w:rsidRPr="00217AF8">
              <w:rPr>
                <w:rFonts w:asciiTheme="minorHAnsi" w:hAnsiTheme="minorHAnsi"/>
                <w:szCs w:val="22"/>
              </w:rPr>
              <w:t>oryzontalny</w:t>
            </w:r>
          </w:p>
        </w:tc>
      </w:tr>
    </w:tbl>
    <w:p w14:paraId="20872960" w14:textId="77777777" w:rsidR="008554A8" w:rsidRPr="00217AF8" w:rsidRDefault="008554A8" w:rsidP="00710917">
      <w:pPr>
        <w:autoSpaceDE w:val="0"/>
        <w:autoSpaceDN w:val="0"/>
        <w:adjustRightInd w:val="0"/>
        <w:spacing w:before="0" w:line="240" w:lineRule="auto"/>
        <w:jc w:val="both"/>
        <w:rPr>
          <w:rFonts w:asciiTheme="minorHAnsi" w:hAnsiTheme="minorHAnsi"/>
          <w:szCs w:val="22"/>
        </w:rPr>
      </w:pPr>
    </w:p>
    <w:p w14:paraId="7C4AFCB2"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 ramach wniosku o dofinansowanie Wnioskodawca ma obowiązek uwzględnić </w:t>
      </w:r>
      <w:r w:rsidRPr="008914F3">
        <w:rPr>
          <w:rFonts w:asciiTheme="minorHAnsi" w:eastAsiaTheme="minorHAnsi" w:hAnsiTheme="minorHAnsi" w:cs="Arial"/>
          <w:b/>
          <w:szCs w:val="22"/>
          <w:lang w:eastAsia="en-US"/>
        </w:rPr>
        <w:t>wszystkie adekwatne</w:t>
      </w:r>
      <w:r w:rsidRPr="008914F3">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14:paraId="63CD3B0A"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szCs w:val="22"/>
          <w:lang w:eastAsia="en-US"/>
        </w:rPr>
      </w:pPr>
      <w:r w:rsidRPr="008914F3">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14:paraId="535ECA92"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lastRenderedPageBreak/>
        <w:t>Wartość bazowa (tzn. wartość w momencie rozpoczęcia realizacji projektu) w przypadku każdego wskaźnika powinna być wykazana na poziomie „0”.</w:t>
      </w:r>
    </w:p>
    <w:p w14:paraId="768E1801"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O ile w umowie o dofinansowanie projektu nie wskazano inaczej, efekt wsparcia na poziomie projektu występuje: </w:t>
      </w:r>
    </w:p>
    <w:p w14:paraId="443BDDD1"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a) w przypadku wskaźników produktu – w okresie od podpisania umowy o dofinansowanie, przy czym osiągnięte wartości powinny zostać wykazane najpóźniej we wniosku o płatność końcową oraz utrzymane w okresie trwałości projektu, </w:t>
      </w:r>
    </w:p>
    <w:p w14:paraId="47B973B7" w14:textId="77777777" w:rsidR="008914F3" w:rsidRPr="008914F3" w:rsidRDefault="008914F3" w:rsidP="008914F3">
      <w:pPr>
        <w:autoSpaceDE w:val="0"/>
        <w:autoSpaceDN w:val="0"/>
        <w:adjustRightInd w:val="0"/>
        <w:spacing w:before="120" w:after="120" w:line="276" w:lineRule="auto"/>
        <w:jc w:val="both"/>
        <w:rPr>
          <w:rFonts w:asciiTheme="minorHAnsi" w:eastAsiaTheme="minorHAnsi" w:hAnsiTheme="minorHAnsi" w:cs="Arial"/>
          <w:b/>
          <w:szCs w:val="22"/>
          <w:u w:val="single"/>
          <w:lang w:eastAsia="en-US"/>
        </w:rPr>
      </w:pPr>
      <w:r w:rsidRPr="008914F3">
        <w:rPr>
          <w:rFonts w:asciiTheme="minorHAnsi" w:eastAsiaTheme="minorHAnsi" w:hAnsiTheme="minorHAnsi" w:cs="Arial"/>
          <w:b/>
          <w:szCs w:val="22"/>
          <w:u w:val="single"/>
          <w:lang w:eastAsia="en-US"/>
        </w:rPr>
        <w:t xml:space="preserve">b) w przypadku wskaźników rezultatu określonych na poziomie projektu: </w:t>
      </w:r>
    </w:p>
    <w:p w14:paraId="309916B0" w14:textId="77777777" w:rsidR="008914F3" w:rsidRDefault="008914F3" w:rsidP="008914F3">
      <w:pPr>
        <w:pStyle w:val="Akapitzlist"/>
        <w:numPr>
          <w:ilvl w:val="0"/>
          <w:numId w:val="12"/>
        </w:numPr>
        <w:autoSpaceDE w:val="0"/>
        <w:autoSpaceDN w:val="0"/>
        <w:adjustRightInd w:val="0"/>
        <w:spacing w:before="120" w:after="120" w:line="276" w:lineRule="auto"/>
        <w:jc w:val="both"/>
        <w:rPr>
          <w:rFonts w:asciiTheme="minorHAnsi" w:eastAsiaTheme="minorHAnsi" w:hAnsiTheme="minorHAnsi" w:cs="Arial"/>
          <w:b/>
          <w:bCs/>
          <w:szCs w:val="22"/>
          <w:u w:val="single"/>
          <w:lang w:eastAsia="en-US"/>
        </w:rPr>
      </w:pPr>
      <w:r w:rsidRPr="008914F3">
        <w:rPr>
          <w:rFonts w:asciiTheme="minorHAnsi" w:eastAsiaTheme="minorHAnsi" w:hAnsiTheme="minorHAnsi" w:cs="Arial"/>
          <w:b/>
          <w:szCs w:val="22"/>
          <w:u w:val="single"/>
          <w:lang w:eastAsia="en-US"/>
        </w:rPr>
        <w:t xml:space="preserve">co do zasady – w okresie 12 miesięcy od zakończenia okresu realizacji projektu określonego w umowie o dofinansowaniu projektu lub, o ile wynika to ze specyfiki projektu, od uruchomienia przedsięwzięcia, </w:t>
      </w:r>
      <w:r w:rsidRPr="008914F3">
        <w:rPr>
          <w:rFonts w:asciiTheme="minorHAnsi" w:eastAsiaTheme="minorHAnsi" w:hAnsiTheme="minorHAnsi" w:cs="Arial"/>
          <w:b/>
          <w:bCs/>
          <w:szCs w:val="22"/>
          <w:u w:val="single"/>
          <w:lang w:eastAsia="en-US"/>
        </w:rPr>
        <w:t>przy czym osiągnięte wartości wykazywane są we wniosku o płatność końcową lub jego korekcie. Wskaźniki rezultatu powinny być utrzymane w okresie trwałości projektu, lub</w:t>
      </w:r>
    </w:p>
    <w:p w14:paraId="7C08244B" w14:textId="77777777" w:rsidR="008914F3" w:rsidRPr="008914F3" w:rsidRDefault="008914F3" w:rsidP="008914F3">
      <w:pPr>
        <w:pStyle w:val="Akapitzlist"/>
        <w:numPr>
          <w:ilvl w:val="0"/>
          <w:numId w:val="12"/>
        </w:numPr>
        <w:autoSpaceDE w:val="0"/>
        <w:autoSpaceDN w:val="0"/>
        <w:adjustRightInd w:val="0"/>
        <w:spacing w:before="120" w:after="120" w:line="276" w:lineRule="auto"/>
        <w:jc w:val="both"/>
        <w:rPr>
          <w:rFonts w:asciiTheme="minorHAnsi" w:eastAsiaTheme="minorHAnsi" w:hAnsiTheme="minorHAnsi" w:cs="Arial"/>
          <w:b/>
          <w:bCs/>
          <w:szCs w:val="22"/>
          <w:u w:val="single"/>
          <w:lang w:eastAsia="en-US"/>
        </w:rPr>
      </w:pPr>
      <w:r w:rsidRPr="008914F3">
        <w:rPr>
          <w:rFonts w:asciiTheme="minorHAnsi" w:eastAsiaTheme="minorHAnsi" w:hAnsiTheme="minorHAnsi" w:cs="Arial"/>
          <w:b/>
          <w:bCs/>
          <w:szCs w:val="22"/>
          <w:u w:val="single"/>
          <w:lang w:eastAsia="en-US"/>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8914F3" w:rsidRPr="008914F3"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7725" w14:textId="77777777" w:rsidR="006F60AA" w:rsidRDefault="006F60AA" w:rsidP="008C495E">
      <w:pPr>
        <w:spacing w:before="0" w:line="240" w:lineRule="auto"/>
      </w:pPr>
      <w:r>
        <w:separator/>
      </w:r>
    </w:p>
  </w:endnote>
  <w:endnote w:type="continuationSeparator" w:id="0">
    <w:p w14:paraId="31300FCD" w14:textId="77777777" w:rsidR="006F60AA" w:rsidRDefault="006F60AA"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30044"/>
      <w:docPartObj>
        <w:docPartGallery w:val="Page Numbers (Bottom of Page)"/>
        <w:docPartUnique/>
      </w:docPartObj>
    </w:sdtPr>
    <w:sdtEndPr/>
    <w:sdtContent>
      <w:p w14:paraId="1CB3EB9A" w14:textId="77777777" w:rsidR="00A66C0C" w:rsidRDefault="00E4616B">
        <w:pPr>
          <w:pStyle w:val="Stopka"/>
          <w:jc w:val="right"/>
        </w:pPr>
        <w:r>
          <w:fldChar w:fldCharType="begin"/>
        </w:r>
        <w:r w:rsidR="00A66C0C">
          <w:instrText>PAGE   \* MERGEFORMAT</w:instrText>
        </w:r>
        <w:r>
          <w:fldChar w:fldCharType="separate"/>
        </w:r>
        <w:r w:rsidR="00C543EC">
          <w:rPr>
            <w:noProof/>
          </w:rPr>
          <w:t>5</w:t>
        </w:r>
        <w:r>
          <w:fldChar w:fldCharType="end"/>
        </w:r>
      </w:p>
    </w:sdtContent>
  </w:sdt>
  <w:p w14:paraId="3D623063" w14:textId="77777777" w:rsidR="00A66C0C" w:rsidRDefault="00A66C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470"/>
      <w:docPartObj>
        <w:docPartGallery w:val="Page Numbers (Bottom of Page)"/>
        <w:docPartUnique/>
      </w:docPartObj>
    </w:sdtPr>
    <w:sdtEndPr/>
    <w:sdtContent>
      <w:p w14:paraId="2C4A28CD" w14:textId="77777777" w:rsidR="009F3688" w:rsidRDefault="00C02ABB">
        <w:pPr>
          <w:pStyle w:val="Stopka"/>
          <w:jc w:val="right"/>
        </w:pPr>
        <w:r>
          <w:fldChar w:fldCharType="begin"/>
        </w:r>
        <w:r>
          <w:instrText xml:space="preserve"> PAGE   \* MERGEFORMAT </w:instrText>
        </w:r>
        <w:r>
          <w:fldChar w:fldCharType="separate"/>
        </w:r>
        <w:r w:rsidR="009B3A99">
          <w:rPr>
            <w:noProof/>
          </w:rPr>
          <w:t>1</w:t>
        </w:r>
        <w:r>
          <w:rPr>
            <w:noProof/>
          </w:rPr>
          <w:fldChar w:fldCharType="end"/>
        </w:r>
      </w:p>
    </w:sdtContent>
  </w:sdt>
  <w:p w14:paraId="340C06BF" w14:textId="77777777" w:rsidR="009F3688" w:rsidRDefault="009F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EE8F" w14:textId="77777777" w:rsidR="006F60AA" w:rsidRDefault="006F60AA" w:rsidP="008C495E">
      <w:pPr>
        <w:spacing w:before="0" w:line="240" w:lineRule="auto"/>
      </w:pPr>
      <w:r>
        <w:separator/>
      </w:r>
    </w:p>
  </w:footnote>
  <w:footnote w:type="continuationSeparator" w:id="0">
    <w:p w14:paraId="78AA7038" w14:textId="77777777" w:rsidR="006F60AA" w:rsidRDefault="006F60AA"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6715" w14:textId="77777777" w:rsidR="00A66C0C" w:rsidRDefault="00A66C0C">
    <w:pPr>
      <w:pStyle w:val="Nagwek"/>
      <w:jc w:val="right"/>
    </w:pPr>
  </w:p>
  <w:p w14:paraId="48AF7675" w14:textId="77777777"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7722" w14:textId="77777777" w:rsidR="009F3688" w:rsidRDefault="009F3688" w:rsidP="003A3F65">
    <w:pPr>
      <w:pStyle w:val="Nagwek"/>
      <w:jc w:val="right"/>
      <w:rPr>
        <w:sz w:val="16"/>
        <w:szCs w:val="16"/>
      </w:rPr>
    </w:pPr>
    <w:r w:rsidRPr="009F3688">
      <w:rPr>
        <w:noProof/>
        <w:sz w:val="16"/>
        <w:szCs w:val="16"/>
      </w:rPr>
      <w:drawing>
        <wp:anchor distT="0" distB="0" distL="114300" distR="114300" simplePos="0" relativeHeight="251658752" behindDoc="1" locked="0" layoutInCell="1" allowOverlap="1" wp14:anchorId="1F79BD7E" wp14:editId="1C6745BF">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28C606D4" w14:textId="77777777" w:rsidR="009F3688" w:rsidRDefault="009F3688" w:rsidP="003A3F65">
    <w:pPr>
      <w:pStyle w:val="Nagwek"/>
      <w:jc w:val="right"/>
      <w:rPr>
        <w:sz w:val="16"/>
        <w:szCs w:val="16"/>
      </w:rPr>
    </w:pPr>
  </w:p>
  <w:p w14:paraId="5000C4B0" w14:textId="77777777" w:rsidR="009F3688" w:rsidRDefault="009F3688" w:rsidP="009F3688">
    <w:pPr>
      <w:pStyle w:val="Nagwek"/>
      <w:rPr>
        <w:sz w:val="16"/>
        <w:szCs w:val="16"/>
      </w:rPr>
    </w:pPr>
  </w:p>
  <w:p w14:paraId="48866D54" w14:textId="77777777" w:rsidR="009F3688" w:rsidRDefault="009F3688" w:rsidP="003A3F65">
    <w:pPr>
      <w:pStyle w:val="Nagwek"/>
      <w:jc w:val="right"/>
      <w:rPr>
        <w:sz w:val="16"/>
        <w:szCs w:val="16"/>
      </w:rPr>
    </w:pPr>
  </w:p>
  <w:p w14:paraId="681CFDBD" w14:textId="77777777" w:rsidR="009F3688" w:rsidRDefault="009F3688" w:rsidP="003A3F65">
    <w:pPr>
      <w:pStyle w:val="Nagwek"/>
      <w:jc w:val="right"/>
      <w:rPr>
        <w:sz w:val="16"/>
        <w:szCs w:val="16"/>
      </w:rPr>
    </w:pPr>
  </w:p>
  <w:p w14:paraId="3B3F2DC7" w14:textId="77777777" w:rsidR="003A3F65" w:rsidRPr="009A7A3A" w:rsidRDefault="00002A1F" w:rsidP="003A3F65">
    <w:pPr>
      <w:pStyle w:val="Nagwek"/>
      <w:jc w:val="right"/>
      <w:rPr>
        <w:rFonts w:asciiTheme="minorHAnsi" w:hAnsiTheme="minorHAnsi"/>
        <w:sz w:val="16"/>
        <w:szCs w:val="16"/>
      </w:rPr>
    </w:pPr>
    <w:r w:rsidRPr="009A7A3A">
      <w:rPr>
        <w:rFonts w:asciiTheme="minorHAnsi" w:hAnsiTheme="minorHAnsi"/>
        <w:sz w:val="16"/>
        <w:szCs w:val="16"/>
      </w:rPr>
      <w:t>Załącznik</w:t>
    </w:r>
    <w:r w:rsidR="003A3F65" w:rsidRPr="009A7A3A">
      <w:rPr>
        <w:rFonts w:asciiTheme="minorHAnsi" w:hAnsiTheme="minorHAnsi"/>
        <w:sz w:val="16"/>
        <w:szCs w:val="16"/>
      </w:rPr>
      <w:t xml:space="preserve"> nr 2 do Regulaminu konkursu </w:t>
    </w:r>
  </w:p>
  <w:p w14:paraId="01CBF746" w14:textId="767EF0BA" w:rsidR="0083253A" w:rsidRPr="009B235B" w:rsidRDefault="003A3F65" w:rsidP="003A3F65">
    <w:pPr>
      <w:pStyle w:val="Nagwek"/>
      <w:jc w:val="right"/>
      <w:rPr>
        <w:rFonts w:asciiTheme="minorHAnsi" w:hAnsiTheme="minorHAnsi"/>
        <w:sz w:val="16"/>
        <w:szCs w:val="16"/>
      </w:rPr>
    </w:pPr>
    <w:r w:rsidRPr="009A7A3A">
      <w:rPr>
        <w:rFonts w:asciiTheme="minorHAnsi" w:hAnsiTheme="minorHAnsi"/>
        <w:sz w:val="16"/>
        <w:szCs w:val="16"/>
      </w:rPr>
      <w:t xml:space="preserve">Nr naboru </w:t>
    </w:r>
    <w:r w:rsidR="00641C1D" w:rsidRPr="009A7A3A">
      <w:rPr>
        <w:rFonts w:asciiTheme="minorHAnsi" w:hAnsiTheme="minorHAnsi"/>
        <w:sz w:val="16"/>
        <w:szCs w:val="16"/>
      </w:rPr>
      <w:t>RPDS.0</w:t>
    </w:r>
    <w:r w:rsidR="005D2942">
      <w:rPr>
        <w:rFonts w:asciiTheme="minorHAnsi" w:hAnsiTheme="minorHAnsi"/>
        <w:sz w:val="16"/>
        <w:szCs w:val="16"/>
      </w:rPr>
      <w:t>2</w:t>
    </w:r>
    <w:r w:rsidR="00091F42" w:rsidRPr="009A7A3A">
      <w:rPr>
        <w:rFonts w:asciiTheme="minorHAnsi" w:hAnsiTheme="minorHAnsi"/>
        <w:sz w:val="16"/>
        <w:szCs w:val="16"/>
      </w:rPr>
      <w:t>.0</w:t>
    </w:r>
    <w:r w:rsidR="005D2942">
      <w:rPr>
        <w:rFonts w:asciiTheme="minorHAnsi" w:hAnsiTheme="minorHAnsi"/>
        <w:sz w:val="16"/>
        <w:szCs w:val="16"/>
      </w:rPr>
      <w:t>1</w:t>
    </w:r>
    <w:r w:rsidR="00641C1D" w:rsidRPr="009A7A3A">
      <w:rPr>
        <w:rFonts w:asciiTheme="minorHAnsi" w:hAnsiTheme="minorHAnsi"/>
        <w:sz w:val="16"/>
        <w:szCs w:val="16"/>
      </w:rPr>
      <w:t>.0</w:t>
    </w:r>
    <w:r w:rsidR="005D2942">
      <w:rPr>
        <w:rFonts w:asciiTheme="minorHAnsi" w:hAnsiTheme="minorHAnsi"/>
        <w:sz w:val="16"/>
        <w:szCs w:val="16"/>
      </w:rPr>
      <w:t>2</w:t>
    </w:r>
    <w:r w:rsidR="00091F42" w:rsidRPr="009A7A3A">
      <w:rPr>
        <w:rFonts w:asciiTheme="minorHAnsi" w:hAnsiTheme="minorHAnsi"/>
        <w:sz w:val="16"/>
        <w:szCs w:val="16"/>
      </w:rPr>
      <w:t>-IZ.00-02-</w:t>
    </w:r>
    <w:r w:rsidR="0099354F">
      <w:rPr>
        <w:rFonts w:asciiTheme="minorHAnsi" w:hAnsiTheme="minorHAnsi"/>
        <w:sz w:val="16"/>
        <w:szCs w:val="16"/>
      </w:rPr>
      <w:t>409</w:t>
    </w:r>
    <w:r w:rsidR="00C87726" w:rsidRPr="009A7A3A">
      <w:rPr>
        <w:rFonts w:asciiTheme="minorHAnsi" w:hAnsiTheme="minorHAnsi"/>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A73626E"/>
    <w:multiLevelType w:val="hybridMultilevel"/>
    <w:tmpl w:val="05DE9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4"/>
  </w:num>
  <w:num w:numId="8">
    <w:abstractNumId w:val="13"/>
  </w:num>
  <w:num w:numId="9">
    <w:abstractNumId w:val="9"/>
  </w:num>
  <w:num w:numId="10">
    <w:abstractNumId w:val="3"/>
  </w:num>
  <w:num w:numId="11">
    <w:abstractNumId w:val="10"/>
  </w:num>
  <w:num w:numId="12">
    <w:abstractNumId w:val="8"/>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2A1F"/>
    <w:rsid w:val="00002E70"/>
    <w:rsid w:val="000253C7"/>
    <w:rsid w:val="0002798D"/>
    <w:rsid w:val="0003154A"/>
    <w:rsid w:val="000841B0"/>
    <w:rsid w:val="00091F42"/>
    <w:rsid w:val="00094C3F"/>
    <w:rsid w:val="000972D6"/>
    <w:rsid w:val="000B05C7"/>
    <w:rsid w:val="000B5D35"/>
    <w:rsid w:val="000C0A4C"/>
    <w:rsid w:val="000C4198"/>
    <w:rsid w:val="000D655E"/>
    <w:rsid w:val="000F2F7C"/>
    <w:rsid w:val="000F4703"/>
    <w:rsid w:val="000F5C98"/>
    <w:rsid w:val="00136CCD"/>
    <w:rsid w:val="00141571"/>
    <w:rsid w:val="00142395"/>
    <w:rsid w:val="001436DF"/>
    <w:rsid w:val="001437C9"/>
    <w:rsid w:val="001505F2"/>
    <w:rsid w:val="0015486C"/>
    <w:rsid w:val="001813DB"/>
    <w:rsid w:val="00184A53"/>
    <w:rsid w:val="00191605"/>
    <w:rsid w:val="001979DF"/>
    <w:rsid w:val="001B2606"/>
    <w:rsid w:val="001C4F9E"/>
    <w:rsid w:val="001F6637"/>
    <w:rsid w:val="00217AF8"/>
    <w:rsid w:val="00222A42"/>
    <w:rsid w:val="00222CE8"/>
    <w:rsid w:val="002261A4"/>
    <w:rsid w:val="00236206"/>
    <w:rsid w:val="00237177"/>
    <w:rsid w:val="002408B0"/>
    <w:rsid w:val="0024412D"/>
    <w:rsid w:val="002456F7"/>
    <w:rsid w:val="00253FAA"/>
    <w:rsid w:val="002541CD"/>
    <w:rsid w:val="00266D58"/>
    <w:rsid w:val="002972E4"/>
    <w:rsid w:val="002B246A"/>
    <w:rsid w:val="002B5DA0"/>
    <w:rsid w:val="002D3B91"/>
    <w:rsid w:val="002D5507"/>
    <w:rsid w:val="002D7190"/>
    <w:rsid w:val="002F3F1C"/>
    <w:rsid w:val="002F6273"/>
    <w:rsid w:val="00307535"/>
    <w:rsid w:val="003137D3"/>
    <w:rsid w:val="0032765F"/>
    <w:rsid w:val="00333303"/>
    <w:rsid w:val="00335935"/>
    <w:rsid w:val="00340A6B"/>
    <w:rsid w:val="00361CD3"/>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2298C"/>
    <w:rsid w:val="004373ED"/>
    <w:rsid w:val="0044238B"/>
    <w:rsid w:val="00443051"/>
    <w:rsid w:val="0046263E"/>
    <w:rsid w:val="00464453"/>
    <w:rsid w:val="0046493A"/>
    <w:rsid w:val="004661B4"/>
    <w:rsid w:val="00471B0C"/>
    <w:rsid w:val="00474040"/>
    <w:rsid w:val="0047502D"/>
    <w:rsid w:val="00476947"/>
    <w:rsid w:val="00482631"/>
    <w:rsid w:val="00485CDD"/>
    <w:rsid w:val="004A4E30"/>
    <w:rsid w:val="004B18CC"/>
    <w:rsid w:val="004B303A"/>
    <w:rsid w:val="004B7E46"/>
    <w:rsid w:val="004C4747"/>
    <w:rsid w:val="004D11E3"/>
    <w:rsid w:val="004D4772"/>
    <w:rsid w:val="0050202F"/>
    <w:rsid w:val="005025FD"/>
    <w:rsid w:val="00506336"/>
    <w:rsid w:val="00506413"/>
    <w:rsid w:val="00516B06"/>
    <w:rsid w:val="00522930"/>
    <w:rsid w:val="00530A42"/>
    <w:rsid w:val="00530E5D"/>
    <w:rsid w:val="00535E8F"/>
    <w:rsid w:val="005501CD"/>
    <w:rsid w:val="00555321"/>
    <w:rsid w:val="005615C8"/>
    <w:rsid w:val="005657D8"/>
    <w:rsid w:val="00572667"/>
    <w:rsid w:val="00575F8D"/>
    <w:rsid w:val="005A03E6"/>
    <w:rsid w:val="005A1857"/>
    <w:rsid w:val="005C4D94"/>
    <w:rsid w:val="005C6B00"/>
    <w:rsid w:val="005D2942"/>
    <w:rsid w:val="0060140B"/>
    <w:rsid w:val="006050F0"/>
    <w:rsid w:val="0061737E"/>
    <w:rsid w:val="00620A45"/>
    <w:rsid w:val="00620B41"/>
    <w:rsid w:val="00635DB0"/>
    <w:rsid w:val="00641C1D"/>
    <w:rsid w:val="0067179E"/>
    <w:rsid w:val="00671AAA"/>
    <w:rsid w:val="006724A8"/>
    <w:rsid w:val="00677786"/>
    <w:rsid w:val="0069148E"/>
    <w:rsid w:val="006A09F0"/>
    <w:rsid w:val="006A2353"/>
    <w:rsid w:val="006B05A8"/>
    <w:rsid w:val="006C3827"/>
    <w:rsid w:val="006C652C"/>
    <w:rsid w:val="006E714E"/>
    <w:rsid w:val="006F60AA"/>
    <w:rsid w:val="00701E65"/>
    <w:rsid w:val="00704A14"/>
    <w:rsid w:val="00704B1F"/>
    <w:rsid w:val="00710917"/>
    <w:rsid w:val="00717A91"/>
    <w:rsid w:val="00726AC4"/>
    <w:rsid w:val="007300ED"/>
    <w:rsid w:val="00741B27"/>
    <w:rsid w:val="00762D33"/>
    <w:rsid w:val="007650AC"/>
    <w:rsid w:val="00770BD0"/>
    <w:rsid w:val="00782324"/>
    <w:rsid w:val="00784103"/>
    <w:rsid w:val="00785C6B"/>
    <w:rsid w:val="00787387"/>
    <w:rsid w:val="007D1CF1"/>
    <w:rsid w:val="007D7DE7"/>
    <w:rsid w:val="007E025A"/>
    <w:rsid w:val="007E26CB"/>
    <w:rsid w:val="007E2DE8"/>
    <w:rsid w:val="007E4888"/>
    <w:rsid w:val="007E6D53"/>
    <w:rsid w:val="0082033D"/>
    <w:rsid w:val="00830A52"/>
    <w:rsid w:val="00831FC4"/>
    <w:rsid w:val="0083253A"/>
    <w:rsid w:val="008554A8"/>
    <w:rsid w:val="0085713F"/>
    <w:rsid w:val="008573D6"/>
    <w:rsid w:val="008776B8"/>
    <w:rsid w:val="008914F3"/>
    <w:rsid w:val="008942AB"/>
    <w:rsid w:val="008A09D1"/>
    <w:rsid w:val="008A195C"/>
    <w:rsid w:val="008B21E1"/>
    <w:rsid w:val="008B673D"/>
    <w:rsid w:val="008C495E"/>
    <w:rsid w:val="008D43F7"/>
    <w:rsid w:val="008D568E"/>
    <w:rsid w:val="008E3F0D"/>
    <w:rsid w:val="008F0027"/>
    <w:rsid w:val="008F347B"/>
    <w:rsid w:val="009024D3"/>
    <w:rsid w:val="00911273"/>
    <w:rsid w:val="00912A8F"/>
    <w:rsid w:val="00916677"/>
    <w:rsid w:val="009449EE"/>
    <w:rsid w:val="009456DB"/>
    <w:rsid w:val="00946665"/>
    <w:rsid w:val="00957260"/>
    <w:rsid w:val="009609F6"/>
    <w:rsid w:val="009676CA"/>
    <w:rsid w:val="00982504"/>
    <w:rsid w:val="009926BE"/>
    <w:rsid w:val="0099354F"/>
    <w:rsid w:val="009A7A3A"/>
    <w:rsid w:val="009B235B"/>
    <w:rsid w:val="009B3A99"/>
    <w:rsid w:val="009B52F7"/>
    <w:rsid w:val="009D3C56"/>
    <w:rsid w:val="009E65D0"/>
    <w:rsid w:val="009F24AC"/>
    <w:rsid w:val="009F3688"/>
    <w:rsid w:val="00A001AE"/>
    <w:rsid w:val="00A16C6B"/>
    <w:rsid w:val="00A22CE1"/>
    <w:rsid w:val="00A318E7"/>
    <w:rsid w:val="00A459F4"/>
    <w:rsid w:val="00A56EC9"/>
    <w:rsid w:val="00A66C0C"/>
    <w:rsid w:val="00A7445E"/>
    <w:rsid w:val="00A804DB"/>
    <w:rsid w:val="00A80F60"/>
    <w:rsid w:val="00AA5509"/>
    <w:rsid w:val="00AB2F8F"/>
    <w:rsid w:val="00AB45D0"/>
    <w:rsid w:val="00AD2437"/>
    <w:rsid w:val="00AD5CB0"/>
    <w:rsid w:val="00AE4071"/>
    <w:rsid w:val="00AF063E"/>
    <w:rsid w:val="00AF478C"/>
    <w:rsid w:val="00B11CFC"/>
    <w:rsid w:val="00B145AE"/>
    <w:rsid w:val="00B17F26"/>
    <w:rsid w:val="00B204DD"/>
    <w:rsid w:val="00B21CA4"/>
    <w:rsid w:val="00B235B0"/>
    <w:rsid w:val="00B26208"/>
    <w:rsid w:val="00B32BB7"/>
    <w:rsid w:val="00B40F0F"/>
    <w:rsid w:val="00B61B7A"/>
    <w:rsid w:val="00B840A9"/>
    <w:rsid w:val="00B91BA0"/>
    <w:rsid w:val="00BC03CE"/>
    <w:rsid w:val="00BE67F7"/>
    <w:rsid w:val="00BF20D1"/>
    <w:rsid w:val="00BF216F"/>
    <w:rsid w:val="00C0278F"/>
    <w:rsid w:val="00C02ABB"/>
    <w:rsid w:val="00C10532"/>
    <w:rsid w:val="00C14E8A"/>
    <w:rsid w:val="00C27D6D"/>
    <w:rsid w:val="00C40E8D"/>
    <w:rsid w:val="00C43453"/>
    <w:rsid w:val="00C543EC"/>
    <w:rsid w:val="00C645A3"/>
    <w:rsid w:val="00C87726"/>
    <w:rsid w:val="00C90F5E"/>
    <w:rsid w:val="00C9174F"/>
    <w:rsid w:val="00C94E13"/>
    <w:rsid w:val="00C96A75"/>
    <w:rsid w:val="00CA0C00"/>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93881"/>
    <w:rsid w:val="00DB35FF"/>
    <w:rsid w:val="00DB617A"/>
    <w:rsid w:val="00DC184F"/>
    <w:rsid w:val="00DC2292"/>
    <w:rsid w:val="00E0129B"/>
    <w:rsid w:val="00E15AAA"/>
    <w:rsid w:val="00E22477"/>
    <w:rsid w:val="00E232BD"/>
    <w:rsid w:val="00E2517A"/>
    <w:rsid w:val="00E2533A"/>
    <w:rsid w:val="00E32094"/>
    <w:rsid w:val="00E32822"/>
    <w:rsid w:val="00E32B6F"/>
    <w:rsid w:val="00E3647B"/>
    <w:rsid w:val="00E36E96"/>
    <w:rsid w:val="00E40666"/>
    <w:rsid w:val="00E4616B"/>
    <w:rsid w:val="00E46E68"/>
    <w:rsid w:val="00E6017F"/>
    <w:rsid w:val="00E61834"/>
    <w:rsid w:val="00E72468"/>
    <w:rsid w:val="00E7566C"/>
    <w:rsid w:val="00E8519D"/>
    <w:rsid w:val="00E90515"/>
    <w:rsid w:val="00E90CA0"/>
    <w:rsid w:val="00E9600C"/>
    <w:rsid w:val="00E97017"/>
    <w:rsid w:val="00EA0ED3"/>
    <w:rsid w:val="00EA265F"/>
    <w:rsid w:val="00EC12BA"/>
    <w:rsid w:val="00ED5009"/>
    <w:rsid w:val="00F02218"/>
    <w:rsid w:val="00F11106"/>
    <w:rsid w:val="00F15327"/>
    <w:rsid w:val="00F17083"/>
    <w:rsid w:val="00F35A80"/>
    <w:rsid w:val="00F46AF0"/>
    <w:rsid w:val="00F56AFD"/>
    <w:rsid w:val="00F66AA4"/>
    <w:rsid w:val="00F72230"/>
    <w:rsid w:val="00F73362"/>
    <w:rsid w:val="00F80A4D"/>
    <w:rsid w:val="00F866CA"/>
    <w:rsid w:val="00FA4C5B"/>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B0A31"/>
  <w15:docId w15:val="{BCD996AC-EEDE-4EF5-8BB9-FA9F117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character" w:styleId="Hipercze">
    <w:name w:val="Hyperlink"/>
    <w:basedOn w:val="Domylnaczcionkaakapitu"/>
    <w:unhideWhenUsed/>
    <w:rsid w:val="005D2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85FA-341C-40E1-8CDF-925E6B87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2020-09-08T09:55:00Z</cp:lastPrinted>
  <dcterms:created xsi:type="dcterms:W3CDTF">2020-09-01T11:33:00Z</dcterms:created>
  <dcterms:modified xsi:type="dcterms:W3CDTF">2020-09-08T10:10:00Z</dcterms:modified>
</cp:coreProperties>
</file>