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</w:t>
      </w:r>
      <w:r w:rsidR="00E00F4C">
        <w:rPr>
          <w:rFonts w:cs="Arial"/>
          <w:sz w:val="20"/>
          <w:szCs w:val="20"/>
          <w:lang w:eastAsia="en-US"/>
        </w:rPr>
        <w:t>27 sierpień 2020 r.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Internacjonalizacja przedsiębiorstw – projekty, których celem jest </w:t>
            </w:r>
            <w:r w:rsidRPr="00DD0783">
              <w:lastRenderedPageBreak/>
              <w:t>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</w:r>
            <w:r w:rsidRPr="00DD0783">
              <w:lastRenderedPageBreak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 xml:space="preserve">mogą być uwzględniane tylko te ww. osoby, które w co najmniej 25% czasu w danym okresie rozliczeniowym wykonują zadania kwalifikowalne w ramach projektu; wówczas za kwalifikowalną </w:t>
            </w:r>
            <w:r w:rsidRPr="00DD0783">
              <w:lastRenderedPageBreak/>
              <w:t>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</w:t>
            </w:r>
            <w:r w:rsidRPr="00DD0783">
              <w:lastRenderedPageBreak/>
              <w:t xml:space="preserve">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udział w targach/misjach/wystawach poniesione przed złożeniem wniosku o dofinansowanie z wyłączeniem wydatków związanych z wpłatą zaliczki na udział </w:t>
      </w:r>
      <w:r w:rsidRPr="00DD0783">
        <w:rPr>
          <w:rFonts w:eastAsia="Times New Roman" w:cs="Times New Roman"/>
        </w:rPr>
        <w:lastRenderedPageBreak/>
        <w:t>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 xml:space="preserve">koszty utrzymania budynku stanowią łącznie wszystkie </w:t>
      </w:r>
      <w:r w:rsidR="009261C8" w:rsidRPr="00DD0783">
        <w:rPr>
          <w:rFonts w:eastAsia="Calibri" w:cs="Times New Roman"/>
          <w:lang w:eastAsia="en-US"/>
        </w:rPr>
        <w:lastRenderedPageBreak/>
        <w:t>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 xml:space="preserve">w tym dostępności dla osób z niepełnosprawnościami oraz zasady równości szans kobiet i mężczyzn w ramach </w:t>
      </w:r>
      <w:r w:rsidRPr="00782A35">
        <w:rPr>
          <w:rFonts w:cs="Arial"/>
          <w:i/>
        </w:rPr>
        <w:lastRenderedPageBreak/>
        <w:t>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lastRenderedPageBreak/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</w:t>
      </w:r>
      <w:r w:rsidRPr="00DD0783">
        <w:lastRenderedPageBreak/>
        <w:t xml:space="preserve">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lastRenderedPageBreak/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lastRenderedPageBreak/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</w:t>
      </w:r>
      <w:r w:rsidRPr="007C5B38">
        <w:rPr>
          <w:rFonts w:cs="Calibri"/>
        </w:rPr>
        <w:lastRenderedPageBreak/>
        <w:t>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lastRenderedPageBreak/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lastRenderedPageBreak/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</w:t>
      </w:r>
      <w:r>
        <w:rPr>
          <w:rFonts w:cs="Calibri"/>
        </w:rPr>
        <w:lastRenderedPageBreak/>
        <w:t xml:space="preserve">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0F4C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CFE5-D398-4093-BD6E-2F917BF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96B23-D9E8-4F78-B2E1-3F12BFA7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9674</Words>
  <Characters>58045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12</cp:revision>
  <cp:lastPrinted>2020-03-13T08:23:00Z</cp:lastPrinted>
  <dcterms:created xsi:type="dcterms:W3CDTF">2020-05-14T14:25:00Z</dcterms:created>
  <dcterms:modified xsi:type="dcterms:W3CDTF">2020-08-27T09:27:00Z</dcterms:modified>
</cp:coreProperties>
</file>