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108CFC44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D0621F">
        <w:rPr>
          <w:rFonts w:asciiTheme="minorHAnsi" w:hAnsiTheme="minorHAnsi"/>
          <w:sz w:val="20"/>
        </w:rPr>
        <w:t>28 lipca 2020 r</w:t>
      </w:r>
      <w:bookmarkStart w:id="1" w:name="_GoBack"/>
      <w:bookmarkEnd w:id="1"/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D0621F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D0621F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D0621F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D0621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696E51BE" w:rsidR="00967C68" w:rsidRPr="00343D2B" w:rsidRDefault="007818A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liczba stawek jednostkowych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0621F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76F39"/>
  <w15:docId w15:val="{0773333B-CD24-4A02-945C-546D8D5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66FD-BAC2-416C-B78A-8F03336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10930</Words>
  <Characters>65582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</cp:revision>
  <cp:lastPrinted>2020-03-12T09:38:00Z</cp:lastPrinted>
  <dcterms:created xsi:type="dcterms:W3CDTF">2020-07-21T09:25:00Z</dcterms:created>
  <dcterms:modified xsi:type="dcterms:W3CDTF">2020-07-29T09:13:00Z</dcterms:modified>
</cp:coreProperties>
</file>