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5BE3D" w14:textId="77777777" w:rsidR="00FA51D7" w:rsidRPr="00177248" w:rsidRDefault="009D3C56" w:rsidP="0076746F">
      <w:pPr>
        <w:autoSpaceDE w:val="0"/>
        <w:autoSpaceDN w:val="0"/>
        <w:adjustRightInd w:val="0"/>
        <w:spacing w:before="0" w:line="240" w:lineRule="auto"/>
        <w:jc w:val="center"/>
        <w:rPr>
          <w:rFonts w:ascii="Calibri" w:hAnsi="Calibri" w:cs="Calibri"/>
          <w:b/>
          <w:color w:val="000000" w:themeColor="text1"/>
          <w:sz w:val="20"/>
        </w:rPr>
      </w:pPr>
      <w:bookmarkStart w:id="0" w:name="_Toc426632922"/>
      <w:bookmarkStart w:id="1" w:name="_Toc430826826"/>
      <w:bookmarkStart w:id="2" w:name="_Toc432758974"/>
      <w:r w:rsidRPr="00177248">
        <w:rPr>
          <w:rFonts w:ascii="Calibri" w:hAnsi="Calibri" w:cs="Calibri"/>
          <w:b/>
          <w:color w:val="000000" w:themeColor="text1"/>
          <w:sz w:val="20"/>
        </w:rPr>
        <w:t xml:space="preserve">Lista wskaźników na poziomie projektu </w:t>
      </w:r>
      <w:r w:rsidR="00440CD9" w:rsidRPr="00177248">
        <w:rPr>
          <w:rFonts w:ascii="Calibri" w:hAnsi="Calibri" w:cs="Calibri"/>
          <w:b/>
          <w:color w:val="000000" w:themeColor="text1"/>
          <w:sz w:val="20"/>
        </w:rPr>
        <w:t>RPO WD 2014-2020</w:t>
      </w:r>
      <w:r w:rsidR="005C6EFD">
        <w:rPr>
          <w:rFonts w:ascii="Calibri" w:hAnsi="Calibri" w:cs="Calibri"/>
          <w:b/>
          <w:color w:val="000000" w:themeColor="text1"/>
          <w:sz w:val="20"/>
        </w:rPr>
        <w:t xml:space="preserve"> </w:t>
      </w:r>
    </w:p>
    <w:p w14:paraId="155FFBC3" w14:textId="77777777" w:rsidR="00EE0005" w:rsidRPr="00177248" w:rsidRDefault="009D3C56" w:rsidP="0076746F">
      <w:pPr>
        <w:autoSpaceDE w:val="0"/>
        <w:autoSpaceDN w:val="0"/>
        <w:adjustRightInd w:val="0"/>
        <w:spacing w:before="0" w:line="240" w:lineRule="auto"/>
        <w:jc w:val="center"/>
        <w:rPr>
          <w:rFonts w:ascii="Calibri" w:hAnsi="Calibri" w:cs="Calibri"/>
          <w:b/>
          <w:color w:val="000000" w:themeColor="text1"/>
          <w:sz w:val="20"/>
        </w:rPr>
      </w:pPr>
      <w:r w:rsidRPr="00177248">
        <w:rPr>
          <w:rFonts w:ascii="Calibri" w:hAnsi="Calibri" w:cs="Calibri"/>
          <w:b/>
          <w:color w:val="000000" w:themeColor="text1"/>
          <w:sz w:val="20"/>
        </w:rPr>
        <w:t xml:space="preserve">dla </w:t>
      </w:r>
      <w:r w:rsidR="00FA51D7" w:rsidRPr="00177248">
        <w:rPr>
          <w:rFonts w:ascii="Calibri" w:hAnsi="Calibri" w:cs="Calibri"/>
          <w:b/>
          <w:color w:val="000000" w:themeColor="text1"/>
          <w:sz w:val="20"/>
        </w:rPr>
        <w:t xml:space="preserve">Działania </w:t>
      </w:r>
      <w:r w:rsidR="00352B50" w:rsidRPr="00177248">
        <w:rPr>
          <w:rFonts w:ascii="Calibri" w:hAnsi="Calibri" w:cs="Calibri"/>
          <w:b/>
          <w:color w:val="000000" w:themeColor="text1"/>
          <w:sz w:val="20"/>
        </w:rPr>
        <w:t>3.</w:t>
      </w:r>
      <w:r w:rsidRPr="00177248">
        <w:rPr>
          <w:rFonts w:ascii="Calibri" w:hAnsi="Calibri" w:cs="Calibri"/>
          <w:b/>
          <w:color w:val="000000" w:themeColor="text1"/>
          <w:sz w:val="20"/>
        </w:rPr>
        <w:t>4</w:t>
      </w:r>
      <w:r w:rsidR="00FA51D7" w:rsidRPr="00177248">
        <w:rPr>
          <w:rFonts w:ascii="Calibri" w:hAnsi="Calibri" w:cs="Calibri"/>
          <w:b/>
          <w:color w:val="000000" w:themeColor="text1"/>
          <w:sz w:val="20"/>
        </w:rPr>
        <w:t xml:space="preserve"> </w:t>
      </w:r>
      <w:r w:rsidR="00352B50" w:rsidRPr="00177248">
        <w:rPr>
          <w:rFonts w:ascii="Calibri" w:hAnsi="Calibri" w:cs="Calibri"/>
          <w:b/>
          <w:color w:val="000000" w:themeColor="text1"/>
          <w:sz w:val="20"/>
        </w:rPr>
        <w:t xml:space="preserve">Wdrażanie strategii niskoemisyjnych </w:t>
      </w:r>
    </w:p>
    <w:p w14:paraId="1E4A13E6" w14:textId="77777777" w:rsidR="009D3C56" w:rsidRPr="00177248" w:rsidRDefault="009E60AF" w:rsidP="0076746F">
      <w:pPr>
        <w:autoSpaceDE w:val="0"/>
        <w:autoSpaceDN w:val="0"/>
        <w:adjustRightInd w:val="0"/>
        <w:spacing w:before="0" w:line="240" w:lineRule="auto"/>
        <w:jc w:val="center"/>
        <w:rPr>
          <w:rFonts w:ascii="Calibri" w:hAnsi="Calibri" w:cs="Arial"/>
          <w:b/>
          <w:bCs/>
          <w:color w:val="000000" w:themeColor="text1"/>
          <w:sz w:val="20"/>
        </w:rPr>
      </w:pPr>
      <w:r w:rsidRPr="00177248">
        <w:rPr>
          <w:rFonts w:ascii="Calibri" w:hAnsi="Calibri" w:cs="Calibri"/>
          <w:b/>
          <w:color w:val="000000" w:themeColor="text1"/>
          <w:sz w:val="20"/>
        </w:rPr>
        <w:t>P</w:t>
      </w:r>
      <w:r w:rsidR="00EE0005" w:rsidRPr="00177248">
        <w:rPr>
          <w:rFonts w:ascii="Calibri" w:hAnsi="Calibri" w:cs="Calibri"/>
          <w:b/>
          <w:color w:val="000000" w:themeColor="text1"/>
          <w:sz w:val="20"/>
        </w:rPr>
        <w:t>oddziałani</w:t>
      </w:r>
      <w:r w:rsidR="00440CD9" w:rsidRPr="00177248">
        <w:rPr>
          <w:rFonts w:ascii="Calibri" w:hAnsi="Calibri" w:cs="Calibri"/>
          <w:b/>
          <w:color w:val="000000" w:themeColor="text1"/>
          <w:sz w:val="20"/>
        </w:rPr>
        <w:t>e</w:t>
      </w:r>
      <w:r w:rsidR="00EE0005" w:rsidRPr="00177248">
        <w:rPr>
          <w:rFonts w:ascii="Calibri" w:eastAsia="Droid Sans Fallback" w:hAnsi="Calibri" w:cs="Calibri"/>
          <w:b/>
          <w:color w:val="000000" w:themeColor="text1"/>
          <w:sz w:val="20"/>
        </w:rPr>
        <w:t xml:space="preserve"> 3.4.</w:t>
      </w:r>
      <w:r w:rsidR="00177248" w:rsidRPr="00177248">
        <w:rPr>
          <w:rFonts w:ascii="Calibri" w:eastAsia="Droid Sans Fallback" w:hAnsi="Calibri" w:cs="Calibri"/>
          <w:b/>
          <w:color w:val="000000" w:themeColor="text1"/>
          <w:sz w:val="20"/>
        </w:rPr>
        <w:t>1</w:t>
      </w:r>
      <w:r w:rsidR="00EE0005" w:rsidRPr="00177248">
        <w:rPr>
          <w:rFonts w:ascii="Calibri" w:eastAsia="Droid Sans Fallback" w:hAnsi="Calibri" w:cs="Calibri"/>
          <w:b/>
          <w:color w:val="000000" w:themeColor="text1"/>
          <w:sz w:val="20"/>
        </w:rPr>
        <w:t xml:space="preserve"> </w:t>
      </w:r>
      <w:r w:rsidR="00EE0005" w:rsidRPr="00177248">
        <w:rPr>
          <w:rFonts w:ascii="Calibri" w:hAnsi="Calibri" w:cs="Arial"/>
          <w:b/>
          <w:bCs/>
          <w:color w:val="000000" w:themeColor="text1"/>
          <w:sz w:val="20"/>
        </w:rPr>
        <w:t xml:space="preserve">Wdrażanie strategii niskoemisyjnych - </w:t>
      </w:r>
      <w:r w:rsidR="00177248" w:rsidRPr="00177248">
        <w:rPr>
          <w:rFonts w:ascii="Calibri" w:hAnsi="Calibri" w:cs="Arial"/>
          <w:b/>
          <w:bCs/>
          <w:color w:val="000000" w:themeColor="text1"/>
          <w:sz w:val="20"/>
        </w:rPr>
        <w:t>OSI</w:t>
      </w:r>
      <w:r w:rsidR="00440CD9" w:rsidRPr="00177248">
        <w:rPr>
          <w:rFonts w:ascii="Calibri" w:hAnsi="Calibri" w:cs="Arial"/>
          <w:b/>
          <w:bCs/>
          <w:color w:val="000000" w:themeColor="text1"/>
          <w:sz w:val="20"/>
        </w:rPr>
        <w:t>:</w:t>
      </w:r>
    </w:p>
    <w:p w14:paraId="1AEA30E7" w14:textId="77777777" w:rsidR="00440CD9" w:rsidRPr="00BA387E" w:rsidRDefault="00440CD9" w:rsidP="0076746F">
      <w:pPr>
        <w:autoSpaceDE w:val="0"/>
        <w:autoSpaceDN w:val="0"/>
        <w:adjustRightInd w:val="0"/>
        <w:spacing w:before="0" w:line="240" w:lineRule="auto"/>
        <w:jc w:val="center"/>
        <w:rPr>
          <w:rFonts w:ascii="Calibri" w:hAnsi="Calibri" w:cs="Arial"/>
          <w:b/>
          <w:bCs/>
          <w:color w:val="FF0000"/>
          <w:sz w:val="20"/>
        </w:rPr>
      </w:pPr>
    </w:p>
    <w:p w14:paraId="2562D94C" w14:textId="77777777" w:rsidR="00440CD9" w:rsidRPr="005C6EFD" w:rsidRDefault="00440CD9" w:rsidP="005C6EFD">
      <w:pPr>
        <w:autoSpaceDE w:val="0"/>
        <w:autoSpaceDN w:val="0"/>
        <w:adjustRightInd w:val="0"/>
        <w:spacing w:before="0" w:line="240" w:lineRule="auto"/>
        <w:jc w:val="both"/>
        <w:rPr>
          <w:rFonts w:ascii="Calibri" w:hAnsi="Calibri"/>
          <w:b/>
          <w:color w:val="000000" w:themeColor="text1"/>
          <w:sz w:val="20"/>
        </w:rPr>
      </w:pPr>
      <w:r w:rsidRPr="005C6EFD">
        <w:rPr>
          <w:rFonts w:ascii="Calibri" w:hAnsi="Calibri"/>
          <w:b/>
          <w:color w:val="000000" w:themeColor="text1"/>
          <w:sz w:val="20"/>
        </w:rPr>
        <w:t xml:space="preserve">3.4 </w:t>
      </w:r>
      <w:r w:rsidR="005C6EFD" w:rsidRPr="005C6EFD">
        <w:rPr>
          <w:rFonts w:ascii="Calibri" w:hAnsi="Calibri"/>
          <w:b/>
          <w:color w:val="000000" w:themeColor="text1"/>
          <w:sz w:val="20"/>
        </w:rPr>
        <w:t>e</w:t>
      </w:r>
      <w:r w:rsidRPr="005C6EFD">
        <w:rPr>
          <w:rFonts w:ascii="Calibri" w:hAnsi="Calibri"/>
          <w:b/>
          <w:color w:val="000000" w:themeColor="text1"/>
          <w:sz w:val="20"/>
        </w:rPr>
        <w:t xml:space="preserve"> </w:t>
      </w:r>
      <w:r w:rsidR="005C6EFD" w:rsidRPr="005C6EFD">
        <w:rPr>
          <w:rFonts w:ascii="Calibri" w:hAnsi="Calibri"/>
          <w:b/>
          <w:color w:val="000000" w:themeColor="text1"/>
          <w:sz w:val="20"/>
        </w:rPr>
        <w:t xml:space="preserve">samodzielne inwestycje związane z energooszczędnym oświetleniem ulicznym i drogowym przy drogach publicznych </w:t>
      </w:r>
    </w:p>
    <w:bookmarkEnd w:id="0"/>
    <w:bookmarkEnd w:id="1"/>
    <w:bookmarkEnd w:id="2"/>
    <w:p w14:paraId="5C37081B" w14:textId="77777777" w:rsidR="00A81480" w:rsidRPr="005C6EFD" w:rsidRDefault="00A81480" w:rsidP="0076746F">
      <w:pPr>
        <w:autoSpaceDE w:val="0"/>
        <w:autoSpaceDN w:val="0"/>
        <w:spacing w:before="120" w:after="120" w:line="240" w:lineRule="auto"/>
        <w:jc w:val="both"/>
        <w:rPr>
          <w:rFonts w:asciiTheme="minorHAnsi" w:eastAsiaTheme="minorHAnsi" w:hAnsiTheme="minorHAnsi" w:cs="Calibri"/>
          <w:color w:val="000000" w:themeColor="text1"/>
          <w:sz w:val="20"/>
          <w:lang w:eastAsia="en-US"/>
        </w:rPr>
      </w:pPr>
      <w:r w:rsidRPr="005C6EFD">
        <w:rPr>
          <w:rFonts w:asciiTheme="minorHAnsi" w:eastAsiaTheme="minorHAnsi" w:hAnsiTheme="minorHAnsi" w:cs="Calibri"/>
          <w:color w:val="000000" w:themeColor="text1"/>
          <w:sz w:val="20"/>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463EE94C" w14:textId="77777777" w:rsidR="00A81480" w:rsidRPr="005C6EFD" w:rsidRDefault="00A81480" w:rsidP="0076746F">
      <w:pPr>
        <w:autoSpaceDE w:val="0"/>
        <w:autoSpaceDN w:val="0"/>
        <w:spacing w:before="120" w:after="120" w:line="240" w:lineRule="auto"/>
        <w:jc w:val="both"/>
        <w:rPr>
          <w:rFonts w:asciiTheme="minorHAnsi" w:hAnsiTheme="minorHAnsi"/>
          <w:color w:val="000000" w:themeColor="text1"/>
          <w:sz w:val="20"/>
        </w:rPr>
      </w:pPr>
      <w:r w:rsidRPr="005C6EFD">
        <w:rPr>
          <w:rFonts w:asciiTheme="minorHAnsi" w:eastAsiaTheme="minorHAnsi" w:hAnsiTheme="minorHAnsi" w:cs="Calibri"/>
          <w:color w:val="000000" w:themeColor="text1"/>
          <w:sz w:val="20"/>
          <w:lang w:eastAsia="en-US"/>
        </w:rPr>
        <w:t xml:space="preserve">Wybór wskaźników projektu powinien być powiązany z typem realizowanego przedsięwzięcia i planowanymi działaniami, które wnioskodawca zamierza podjąć w ramach projektu. </w:t>
      </w:r>
      <w:r w:rsidRPr="005C6EFD">
        <w:rPr>
          <w:rFonts w:asciiTheme="minorHAnsi" w:eastAsiaTheme="minorHAnsi" w:hAnsiTheme="minorHAnsi" w:cs="Calibri"/>
          <w:bCs/>
          <w:color w:val="000000" w:themeColor="text1"/>
          <w:sz w:val="20"/>
          <w:lang w:eastAsia="en-US"/>
        </w:rPr>
        <w:t>Do celu głównego projektu wnioskodawca powinien dobrać odpowiednie wskaźniki, produktu i rezultatu</w:t>
      </w:r>
      <w:r w:rsidRPr="005C6EFD">
        <w:rPr>
          <w:rFonts w:asciiTheme="minorHAnsi" w:eastAsiaTheme="minorHAnsi" w:hAnsiTheme="minorHAnsi" w:cs="Calibri"/>
          <w:color w:val="000000" w:themeColor="text1"/>
          <w:sz w:val="20"/>
          <w:lang w:eastAsia="en-US"/>
        </w:rPr>
        <w:t xml:space="preserve"> bezpośredniego. Muszą być logicznie powiązane z projektem i spójne. </w:t>
      </w:r>
    </w:p>
    <w:p w14:paraId="7688DB41" w14:textId="77777777" w:rsidR="00A81480" w:rsidRPr="005C6EFD" w:rsidRDefault="00A81480" w:rsidP="0076746F">
      <w:pPr>
        <w:autoSpaceDE w:val="0"/>
        <w:autoSpaceDN w:val="0"/>
        <w:spacing w:before="120" w:after="120" w:line="240" w:lineRule="auto"/>
        <w:jc w:val="both"/>
        <w:rPr>
          <w:rFonts w:asciiTheme="minorHAnsi" w:eastAsiaTheme="minorHAnsi" w:hAnsiTheme="minorHAnsi" w:cs="Calibri"/>
          <w:color w:val="000000" w:themeColor="text1"/>
          <w:sz w:val="20"/>
          <w:lang w:eastAsia="en-US"/>
        </w:rPr>
      </w:pPr>
      <w:r w:rsidRPr="005C6EFD">
        <w:rPr>
          <w:rFonts w:asciiTheme="minorHAnsi" w:hAnsiTheme="minorHAnsi"/>
          <w:color w:val="000000" w:themeColor="text1"/>
          <w:sz w:val="20"/>
        </w:rPr>
        <w:t>Każdy ze wskaźników powinien posiadać następujące cechy:</w:t>
      </w:r>
    </w:p>
    <w:p w14:paraId="7B5033DC"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adekwatność – wskaźnik powinien być dostosowany do charakteru projektu oraz oczekiwanych efektów związanych z jego realizacją;</w:t>
      </w:r>
    </w:p>
    <w:p w14:paraId="4EE28AD0"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mierzalność – wskaźnik powinien być kwantyfikowalny, tj. wyrażony w wartościach liczbowych bądź finansowych;</w:t>
      </w:r>
    </w:p>
    <w:p w14:paraId="63F42C32"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wiarygodność – wskaźnik powinien być zdefiniowany w taki sposób, aby jego weryfikacja nie powodowała utrudnień;</w:t>
      </w:r>
    </w:p>
    <w:p w14:paraId="295063D1"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dostępność – wskaźnik powinien być łatwy do określenia w wyniku realizacji projektu;</w:t>
      </w:r>
    </w:p>
    <w:p w14:paraId="0C1200C0"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określony w czasie – wartość wskaźnika powinna zostać określona w czasie, tj. określony rok osiągnięcia wartości docelowej wskaźnika oraz okres, w którym będzie mierzony wskaźnik.</w:t>
      </w:r>
    </w:p>
    <w:p w14:paraId="29B38597" w14:textId="77777777" w:rsidR="00A81480" w:rsidRPr="005C6EFD" w:rsidRDefault="00A81480" w:rsidP="0076746F">
      <w:pPr>
        <w:autoSpaceDE w:val="0"/>
        <w:autoSpaceDN w:val="0"/>
        <w:adjustRightInd w:val="0"/>
        <w:spacing w:before="120" w:line="240" w:lineRule="auto"/>
        <w:jc w:val="both"/>
        <w:rPr>
          <w:rFonts w:asciiTheme="minorHAnsi" w:eastAsiaTheme="minorHAnsi" w:hAnsiTheme="minorHAnsi" w:cs="Calibri"/>
          <w:color w:val="000000" w:themeColor="text1"/>
          <w:sz w:val="20"/>
          <w:lang w:eastAsia="en-US"/>
        </w:rPr>
      </w:pPr>
      <w:r w:rsidRPr="005C6EFD">
        <w:rPr>
          <w:rFonts w:asciiTheme="minorHAnsi" w:eastAsiaTheme="minorHAnsi" w:hAnsiTheme="minorHAnsi" w:cs="Calibri"/>
          <w:color w:val="000000" w:themeColor="text1"/>
          <w:sz w:val="20"/>
          <w:lang w:eastAsia="en-US"/>
        </w:rPr>
        <w:t>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w:t>
      </w:r>
    </w:p>
    <w:p w14:paraId="6718C267" w14:textId="77777777" w:rsidR="00A81480" w:rsidRPr="005C6EFD" w:rsidRDefault="00A81480" w:rsidP="0076746F">
      <w:pPr>
        <w:spacing w:before="120" w:after="120" w:line="240" w:lineRule="auto"/>
        <w:jc w:val="both"/>
        <w:rPr>
          <w:rFonts w:asciiTheme="minorHAnsi" w:hAnsiTheme="minorHAnsi"/>
          <w:b/>
          <w:color w:val="000000" w:themeColor="text1"/>
          <w:sz w:val="20"/>
        </w:rPr>
      </w:pPr>
      <w:r w:rsidRPr="005C6EFD">
        <w:rPr>
          <w:rFonts w:asciiTheme="minorHAnsi" w:hAnsiTheme="minorHAnsi"/>
          <w:b/>
          <w:color w:val="000000" w:themeColor="text1"/>
          <w:sz w:val="20"/>
        </w:rPr>
        <w:t>W ramach RPO WD 2014-2020 rozróżnia się następujące wskaźniki:</w:t>
      </w:r>
    </w:p>
    <w:p w14:paraId="3BE6CD5F"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obligatoryjne – wskaźniki ujęte w RPO WD 2014-2020, SZOOP RPO WD 2014-2020;</w:t>
      </w:r>
    </w:p>
    <w:p w14:paraId="20619B31"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horyzontalne;</w:t>
      </w:r>
    </w:p>
    <w:p w14:paraId="5B8B6CEF"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dodatkowe – wskaźniki projektowe.</w:t>
      </w:r>
    </w:p>
    <w:p w14:paraId="0EDEE744" w14:textId="77777777" w:rsidR="00A81480" w:rsidRPr="005C6EFD" w:rsidRDefault="00A81480" w:rsidP="0076746F">
      <w:pPr>
        <w:pStyle w:val="Nagwek1"/>
        <w:spacing w:before="120" w:after="120" w:line="240" w:lineRule="auto"/>
        <w:jc w:val="both"/>
        <w:rPr>
          <w:rFonts w:asciiTheme="minorHAnsi" w:hAnsiTheme="minorHAnsi"/>
          <w:color w:val="000000" w:themeColor="text1"/>
          <w:sz w:val="20"/>
          <w:szCs w:val="20"/>
        </w:rPr>
      </w:pPr>
      <w:r w:rsidRPr="005C6EFD">
        <w:rPr>
          <w:rFonts w:asciiTheme="minorHAnsi" w:hAnsiTheme="minorHAnsi"/>
          <w:color w:val="000000" w:themeColor="text1"/>
          <w:sz w:val="20"/>
          <w:szCs w:val="20"/>
        </w:rPr>
        <w:t>Wymagania w zakresie wskaźników w projekcie:</w:t>
      </w:r>
    </w:p>
    <w:p w14:paraId="185AD866" w14:textId="77777777" w:rsidR="00A81480" w:rsidRPr="005C6EFD" w:rsidRDefault="00A81480" w:rsidP="0076746F">
      <w:pPr>
        <w:pStyle w:val="Default"/>
        <w:jc w:val="both"/>
        <w:rPr>
          <w:rFonts w:asciiTheme="minorHAnsi" w:eastAsiaTheme="minorHAnsi" w:hAnsiTheme="minorHAnsi" w:cs="Calibri"/>
          <w:color w:val="000000" w:themeColor="text1"/>
          <w:lang w:eastAsia="en-US"/>
        </w:rPr>
      </w:pPr>
      <w:r w:rsidRPr="005C6EFD">
        <w:rPr>
          <w:rFonts w:asciiTheme="minorHAnsi" w:eastAsiaTheme="minorHAnsi" w:hAnsiTheme="minorHAnsi" w:cs="Calibri"/>
          <w:color w:val="000000" w:themeColor="text1"/>
          <w:lang w:eastAsia="en-US"/>
        </w:rPr>
        <w:t xml:space="preserve">W ramach wniosku o dofinansowanie projektu wnioskodawca określa </w:t>
      </w:r>
      <w:r w:rsidRPr="005C6EFD">
        <w:rPr>
          <w:rFonts w:asciiTheme="minorHAnsi" w:eastAsiaTheme="minorHAnsi" w:hAnsiTheme="minorHAnsi" w:cs="Calibri"/>
          <w:b/>
          <w:bCs/>
          <w:color w:val="000000" w:themeColor="text1"/>
          <w:lang w:eastAsia="en-US"/>
        </w:rPr>
        <w:t>wskaźniki służące pomiarowi działań i celów założonych w projekcie.</w:t>
      </w:r>
      <w:r w:rsidRPr="005C6EFD">
        <w:rPr>
          <w:rFonts w:asciiTheme="minorHAnsi" w:eastAsiaTheme="minorHAnsi" w:hAnsiTheme="minorHAnsi" w:cs="Calibri"/>
          <w:color w:val="000000" w:themeColor="text1"/>
          <w:lang w:eastAsia="en-US"/>
        </w:rPr>
        <w:t xml:space="preserve"> Wskaźniki w ramach projektu należy określić mając w szczególności na uwadze zapisy niniejszego Regulaminu.</w:t>
      </w:r>
    </w:p>
    <w:p w14:paraId="702C7979" w14:textId="77777777" w:rsidR="00A81480" w:rsidRPr="005C6EFD" w:rsidRDefault="00A81480" w:rsidP="0076746F">
      <w:pPr>
        <w:pStyle w:val="Default"/>
        <w:jc w:val="both"/>
        <w:rPr>
          <w:rFonts w:asciiTheme="minorHAnsi" w:eastAsiaTheme="minorHAnsi" w:hAnsiTheme="minorHAnsi" w:cs="Calibri"/>
          <w:color w:val="000000" w:themeColor="text1"/>
          <w:lang w:eastAsia="en-US"/>
        </w:rPr>
      </w:pPr>
    </w:p>
    <w:p w14:paraId="753D0E8A" w14:textId="77777777" w:rsidR="00A81480" w:rsidRPr="005C6EFD" w:rsidRDefault="00A81480" w:rsidP="0076746F">
      <w:pPr>
        <w:pStyle w:val="Default"/>
        <w:jc w:val="both"/>
        <w:rPr>
          <w:rFonts w:asciiTheme="minorHAnsi" w:hAnsiTheme="minorHAnsi"/>
          <w:b/>
          <w:color w:val="000000" w:themeColor="text1"/>
        </w:rPr>
      </w:pPr>
      <w:r w:rsidRPr="005C6EFD">
        <w:rPr>
          <w:rFonts w:asciiTheme="minorHAnsi" w:hAnsiTheme="minorHAnsi"/>
          <w:b/>
          <w:color w:val="000000" w:themeColor="text1"/>
        </w:rPr>
        <w:t>W przypadku, gdy w ramach danego Działania uwzględniony został wskaźnik z RPO WD 2014-2020, SZOOP RPO WD 2014-2020, który odzwierciedla zakres projektu, jego wykazanie dla wnioskodawcy jest obligatoryjne</w:t>
      </w:r>
      <w:r w:rsidR="00970181" w:rsidRPr="005C6EFD">
        <w:rPr>
          <w:rFonts w:asciiTheme="minorHAnsi" w:hAnsiTheme="minorHAnsi"/>
          <w:b/>
          <w:color w:val="000000" w:themeColor="text1"/>
        </w:rPr>
        <w:t xml:space="preserve"> (także wskaźników horyzontalnych)</w:t>
      </w:r>
      <w:r w:rsidRPr="005C6EFD">
        <w:rPr>
          <w:rFonts w:asciiTheme="minorHAnsi" w:hAnsiTheme="minorHAnsi"/>
          <w:b/>
          <w:color w:val="000000" w:themeColor="text1"/>
        </w:rPr>
        <w:t>.</w:t>
      </w:r>
    </w:p>
    <w:p w14:paraId="4263C070" w14:textId="77777777" w:rsidR="00A81480" w:rsidRPr="005C6EFD" w:rsidRDefault="00A81480" w:rsidP="0076746F">
      <w:pPr>
        <w:autoSpaceDE w:val="0"/>
        <w:autoSpaceDN w:val="0"/>
        <w:adjustRightInd w:val="0"/>
        <w:spacing w:line="240" w:lineRule="auto"/>
        <w:jc w:val="both"/>
        <w:rPr>
          <w:rFonts w:asciiTheme="minorHAnsi" w:hAnsiTheme="minorHAnsi" w:cs="Arial"/>
          <w:color w:val="000000" w:themeColor="text1"/>
          <w:sz w:val="20"/>
        </w:rPr>
      </w:pPr>
      <w:r w:rsidRPr="005C6EFD">
        <w:rPr>
          <w:rFonts w:asciiTheme="minorHAnsi" w:hAnsiTheme="minorHAnsi" w:cs="Arial"/>
          <w:b/>
          <w:color w:val="000000" w:themeColor="text1"/>
          <w:sz w:val="20"/>
        </w:rPr>
        <w:t>W</w:t>
      </w:r>
      <w:r w:rsidRPr="005C6EFD">
        <w:rPr>
          <w:rFonts w:asciiTheme="minorHAnsi" w:hAnsiTheme="minorHAnsi" w:cs="Arial"/>
          <w:b/>
          <w:bCs/>
          <w:color w:val="000000" w:themeColor="text1"/>
          <w:sz w:val="20"/>
        </w:rPr>
        <w:t>skaźniki produktu</w:t>
      </w:r>
      <w:r w:rsidRPr="005C6EFD">
        <w:rPr>
          <w:rFonts w:asciiTheme="minorHAnsi" w:hAnsiTheme="minorHAnsi" w:cs="Arial"/>
          <w:bCs/>
          <w:color w:val="000000" w:themeColor="text1"/>
          <w:sz w:val="20"/>
        </w:rPr>
        <w:t xml:space="preserve"> są to wskaźniki powiązane bezpośrednio z wydatkami ponoszonymi w projekcie</w:t>
      </w:r>
      <w:r w:rsidRPr="005C6EFD">
        <w:rPr>
          <w:rFonts w:asciiTheme="minorHAnsi" w:hAnsiTheme="minorHAnsi" w:cs="Arial"/>
          <w:color w:val="000000" w:themeColor="text1"/>
          <w:sz w:val="20"/>
        </w:rPr>
        <w:t>, mierzone konkretnymi wielkościami. Liczone są w jednostkach fizycznych lub monetarnych. Wybrane przez wnioskodawcę wskaźniki muszą być adekwatne do zakresu projektu oraz mają być powiązane z głównymi kategoriami wydatków w projekcie.</w:t>
      </w:r>
    </w:p>
    <w:p w14:paraId="07DA6FB8" w14:textId="77777777" w:rsidR="00440CD9" w:rsidRPr="005C6EFD" w:rsidRDefault="00440CD9" w:rsidP="0076746F">
      <w:pPr>
        <w:pStyle w:val="Default"/>
        <w:spacing w:after="120"/>
        <w:jc w:val="both"/>
        <w:rPr>
          <w:rFonts w:asciiTheme="minorHAnsi" w:hAnsiTheme="minorHAnsi"/>
          <w:color w:val="000000" w:themeColor="text1"/>
        </w:rPr>
      </w:pPr>
      <w:r w:rsidRPr="005C6EFD">
        <w:rPr>
          <w:rFonts w:asciiTheme="minorHAnsi" w:hAnsiTheme="minorHAnsi"/>
          <w:color w:val="000000" w:themeColor="text1"/>
        </w:rPr>
        <w:t xml:space="preserve">Dla każdego z wybranych wskaźników wnioskodawca zobowiązany jest do wskazania </w:t>
      </w:r>
      <w:r w:rsidRPr="005C6EFD">
        <w:rPr>
          <w:rFonts w:asciiTheme="minorHAnsi" w:hAnsiTheme="minorHAnsi"/>
          <w:i/>
          <w:color w:val="000000" w:themeColor="text1"/>
        </w:rPr>
        <w:t>„Jednostki miary”</w:t>
      </w:r>
      <w:r w:rsidRPr="005C6EFD">
        <w:rPr>
          <w:rFonts w:asciiTheme="minorHAnsi" w:hAnsiTheme="minorHAnsi"/>
          <w:color w:val="000000" w:themeColor="text1"/>
        </w:rPr>
        <w:t xml:space="preserve">, </w:t>
      </w:r>
      <w:r w:rsidRPr="005C6EFD">
        <w:rPr>
          <w:rFonts w:asciiTheme="minorHAnsi" w:hAnsiTheme="minorHAnsi"/>
          <w:i/>
          <w:color w:val="000000" w:themeColor="text1"/>
        </w:rPr>
        <w:t>„Wartości bazowej”</w:t>
      </w:r>
      <w:r w:rsidRPr="005C6EFD">
        <w:rPr>
          <w:rFonts w:asciiTheme="minorHAnsi" w:hAnsiTheme="minorHAnsi"/>
          <w:color w:val="000000" w:themeColor="text1"/>
        </w:rPr>
        <w:t xml:space="preserve">, </w:t>
      </w:r>
      <w:r w:rsidRPr="005C6EFD">
        <w:rPr>
          <w:rFonts w:asciiTheme="minorHAnsi" w:hAnsiTheme="minorHAnsi"/>
          <w:i/>
          <w:color w:val="000000" w:themeColor="text1"/>
        </w:rPr>
        <w:t>„Wartości docelowej wskaźnika”</w:t>
      </w:r>
      <w:r w:rsidRPr="005C6EFD">
        <w:rPr>
          <w:rFonts w:asciiTheme="minorHAnsi" w:hAnsiTheme="minorHAnsi"/>
          <w:color w:val="000000" w:themeColor="text1"/>
        </w:rPr>
        <w:t xml:space="preserve">, a także </w:t>
      </w:r>
      <w:r w:rsidRPr="005C6EFD">
        <w:rPr>
          <w:rFonts w:asciiTheme="minorHAnsi" w:hAnsiTheme="minorHAnsi"/>
          <w:i/>
          <w:color w:val="000000" w:themeColor="text1"/>
        </w:rPr>
        <w:t>„Źródła informacji o wskaźniku”</w:t>
      </w:r>
      <w:r w:rsidRPr="005C6EFD">
        <w:rPr>
          <w:rFonts w:asciiTheme="minorHAnsi" w:hAnsiTheme="minorHAnsi"/>
          <w:color w:val="000000" w:themeColor="text1"/>
        </w:rPr>
        <w:t xml:space="preserve">. </w:t>
      </w:r>
    </w:p>
    <w:p w14:paraId="61FC8FF4" w14:textId="77777777" w:rsidR="00440CD9" w:rsidRPr="005C6EFD" w:rsidRDefault="00440CD9" w:rsidP="0076746F">
      <w:pPr>
        <w:pStyle w:val="Default"/>
        <w:spacing w:after="120"/>
        <w:jc w:val="both"/>
        <w:rPr>
          <w:rFonts w:asciiTheme="minorHAnsi" w:hAnsiTheme="minorHAnsi"/>
          <w:color w:val="000000" w:themeColor="text1"/>
        </w:rPr>
      </w:pPr>
      <w:r w:rsidRPr="005C6EFD">
        <w:rPr>
          <w:rFonts w:asciiTheme="minorHAnsi" w:hAnsiTheme="minorHAnsi"/>
          <w:color w:val="000000" w:themeColor="text1"/>
        </w:rPr>
        <w:t xml:space="preserve">Wartość docelowa dla wskaźnika produktu to wyrażony liczbowo stan danego wskaźnika na moment zakończenia rzeczowej realizacji projektu. </w:t>
      </w:r>
    </w:p>
    <w:p w14:paraId="312B60A1" w14:textId="77777777" w:rsidR="00440CD9" w:rsidRPr="005C6EFD" w:rsidRDefault="00440CD9" w:rsidP="0076746F">
      <w:pPr>
        <w:pStyle w:val="Default"/>
        <w:jc w:val="both"/>
        <w:rPr>
          <w:rFonts w:asciiTheme="minorHAnsi" w:hAnsiTheme="minorHAnsi"/>
          <w:color w:val="000000" w:themeColor="text1"/>
          <w:highlight w:val="yellow"/>
        </w:rPr>
      </w:pPr>
      <w:r w:rsidRPr="005C6EFD">
        <w:rPr>
          <w:rFonts w:asciiTheme="minorHAnsi" w:hAnsiTheme="minorHAnsi"/>
          <w:color w:val="000000" w:themeColor="text1"/>
        </w:rPr>
        <w:t>Jako źródło informacji o wskaźniku wskazać należy odpowiedni dokument (np. protokół odbioru robót).</w:t>
      </w:r>
      <w:r w:rsidRPr="005C6EFD">
        <w:rPr>
          <w:rFonts w:asciiTheme="minorHAnsi" w:hAnsiTheme="minorHAnsi"/>
          <w:color w:val="000000" w:themeColor="text1"/>
          <w:highlight w:val="yellow"/>
        </w:rPr>
        <w:t xml:space="preserve"> </w:t>
      </w:r>
    </w:p>
    <w:p w14:paraId="6826C3EC" w14:textId="77777777" w:rsidR="00440CD9" w:rsidRPr="005C6EFD" w:rsidRDefault="00440CD9" w:rsidP="0076746F">
      <w:pPr>
        <w:autoSpaceDE w:val="0"/>
        <w:autoSpaceDN w:val="0"/>
        <w:adjustRightInd w:val="0"/>
        <w:spacing w:before="120" w:after="120" w:line="240" w:lineRule="auto"/>
        <w:jc w:val="both"/>
        <w:rPr>
          <w:rFonts w:asciiTheme="minorHAnsi" w:eastAsiaTheme="minorHAnsi" w:hAnsiTheme="minorHAnsi" w:cs="Arial"/>
          <w:color w:val="000000" w:themeColor="text1"/>
          <w:sz w:val="20"/>
          <w:lang w:eastAsia="en-US"/>
        </w:rPr>
      </w:pPr>
      <w:r w:rsidRPr="005C6EFD">
        <w:rPr>
          <w:rFonts w:asciiTheme="minorHAnsi" w:eastAsiaTheme="minorHAnsi" w:hAnsiTheme="minorHAnsi" w:cs="Arial"/>
          <w:color w:val="000000" w:themeColor="text1"/>
          <w:sz w:val="20"/>
          <w:lang w:eastAsia="en-US"/>
        </w:rPr>
        <w:lastRenderedPageBreak/>
        <w:t xml:space="preserve">W ramach wniosku o dofinansowanie wnioskodawca ma obowiązek uwzględnić </w:t>
      </w:r>
      <w:r w:rsidRPr="005C6EFD">
        <w:rPr>
          <w:rFonts w:asciiTheme="minorHAnsi" w:eastAsiaTheme="minorHAnsi" w:hAnsiTheme="minorHAnsi" w:cs="Arial"/>
          <w:b/>
          <w:color w:val="000000" w:themeColor="text1"/>
          <w:sz w:val="20"/>
          <w:lang w:eastAsia="en-US"/>
        </w:rPr>
        <w:t>wszystkie adekwatne</w:t>
      </w:r>
      <w:r w:rsidRPr="005C6EFD">
        <w:rPr>
          <w:rFonts w:asciiTheme="minorHAnsi" w:eastAsiaTheme="minorHAnsi" w:hAnsiTheme="minorHAnsi" w:cs="Arial"/>
          <w:color w:val="000000" w:themeColor="text1"/>
          <w:sz w:val="20"/>
          <w:lang w:eastAsia="en-US"/>
        </w:rPr>
        <w:t xml:space="preserve"> wskaźniki produktu z listy przedstawionej </w:t>
      </w:r>
      <w:r w:rsidR="005C6EFD" w:rsidRPr="005C6EFD">
        <w:rPr>
          <w:rFonts w:asciiTheme="minorHAnsi" w:eastAsiaTheme="minorHAnsi" w:hAnsiTheme="minorHAnsi" w:cs="Arial"/>
          <w:color w:val="000000" w:themeColor="text1"/>
          <w:sz w:val="20"/>
          <w:lang w:eastAsia="en-US"/>
        </w:rPr>
        <w:t>w</w:t>
      </w:r>
      <w:r w:rsidRPr="005C6EFD">
        <w:rPr>
          <w:rFonts w:asciiTheme="minorHAnsi" w:eastAsiaTheme="minorHAnsi" w:hAnsiTheme="minorHAnsi" w:cs="Arial"/>
          <w:color w:val="000000" w:themeColor="text1"/>
          <w:sz w:val="20"/>
          <w:lang w:eastAsia="en-US"/>
        </w:rPr>
        <w:t xml:space="preserve"> po</w:t>
      </w:r>
      <w:r w:rsidR="005C6EFD" w:rsidRPr="005C6EFD">
        <w:rPr>
          <w:rFonts w:asciiTheme="minorHAnsi" w:eastAsiaTheme="minorHAnsi" w:hAnsiTheme="minorHAnsi" w:cs="Arial"/>
          <w:color w:val="000000" w:themeColor="text1"/>
          <w:sz w:val="20"/>
          <w:lang w:eastAsia="en-US"/>
        </w:rPr>
        <w:t>ni</w:t>
      </w:r>
      <w:r w:rsidRPr="005C6EFD">
        <w:rPr>
          <w:rFonts w:asciiTheme="minorHAnsi" w:eastAsiaTheme="minorHAnsi" w:hAnsiTheme="minorHAnsi" w:cs="Arial"/>
          <w:color w:val="000000" w:themeColor="text1"/>
          <w:sz w:val="20"/>
          <w:lang w:eastAsia="en-US"/>
        </w:rPr>
        <w:t xml:space="preserve">ższej  tabeli, odpowiadające celowi projektu </w:t>
      </w:r>
      <w:r w:rsidRPr="005C6EFD">
        <w:rPr>
          <w:rFonts w:asciiTheme="minorHAnsi" w:hAnsiTheme="minorHAnsi"/>
          <w:color w:val="000000" w:themeColor="text1"/>
          <w:sz w:val="20"/>
        </w:rPr>
        <w:t>(także wskaźniki horyzontalne)</w:t>
      </w:r>
      <w:r w:rsidRPr="005C6EFD">
        <w:rPr>
          <w:rFonts w:asciiTheme="minorHAnsi" w:eastAsiaTheme="minorHAnsi" w:hAnsiTheme="minorHAnsi" w:cs="Arial"/>
          <w:color w:val="000000" w:themeColor="text1"/>
          <w:sz w:val="20"/>
          <w:lang w:eastAsia="en-US"/>
        </w:rPr>
        <w:t xml:space="preserve">. </w:t>
      </w:r>
    </w:p>
    <w:p w14:paraId="323720DB" w14:textId="77777777" w:rsidR="00DF6D97" w:rsidRPr="005C6EFD" w:rsidRDefault="00DF6D97" w:rsidP="0076746F">
      <w:pPr>
        <w:autoSpaceDE w:val="0"/>
        <w:autoSpaceDN w:val="0"/>
        <w:adjustRightInd w:val="0"/>
        <w:spacing w:before="120" w:after="120" w:line="240" w:lineRule="auto"/>
        <w:jc w:val="both"/>
        <w:rPr>
          <w:rFonts w:asciiTheme="minorHAnsi" w:hAnsiTheme="minorHAnsi"/>
          <w:b/>
          <w:color w:val="000000" w:themeColor="text1"/>
          <w:sz w:val="20"/>
        </w:rPr>
      </w:pPr>
      <w:r w:rsidRPr="005C6EFD">
        <w:rPr>
          <w:rFonts w:asciiTheme="minorHAnsi" w:hAnsiTheme="minorHAnsi"/>
          <w:color w:val="000000" w:themeColor="text1"/>
          <w:sz w:val="20"/>
        </w:rPr>
        <w:t xml:space="preserve">W ramach Działania </w:t>
      </w:r>
      <w:r w:rsidR="00352B50" w:rsidRPr="005C6EFD">
        <w:rPr>
          <w:rFonts w:asciiTheme="minorHAnsi" w:hAnsiTheme="minorHAnsi"/>
          <w:color w:val="000000" w:themeColor="text1"/>
          <w:sz w:val="20"/>
        </w:rPr>
        <w:t>3.</w:t>
      </w:r>
      <w:r w:rsidRPr="005C6EFD">
        <w:rPr>
          <w:rFonts w:asciiTheme="minorHAnsi" w:hAnsiTheme="minorHAnsi"/>
          <w:color w:val="000000" w:themeColor="text1"/>
          <w:sz w:val="20"/>
        </w:rPr>
        <w:t xml:space="preserve">4 określono poniższe wskaźniki </w:t>
      </w:r>
      <w:r w:rsidRPr="005C6EFD">
        <w:rPr>
          <w:rFonts w:asciiTheme="minorHAnsi" w:hAnsiTheme="minorHAnsi"/>
          <w:b/>
          <w:color w:val="000000" w:themeColor="text1"/>
          <w:sz w:val="20"/>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80"/>
        <w:gridCol w:w="827"/>
        <w:gridCol w:w="4562"/>
        <w:gridCol w:w="1483"/>
      </w:tblGrid>
      <w:tr w:rsidR="00746B5A" w:rsidRPr="00746B5A" w14:paraId="056A2C45" w14:textId="77777777" w:rsidTr="007E2D2C">
        <w:trPr>
          <w:cantSplit/>
          <w:trHeight w:val="20"/>
          <w:jc w:val="center"/>
        </w:trPr>
        <w:tc>
          <w:tcPr>
            <w:tcW w:w="1204" w:type="pct"/>
            <w:shd w:val="clear" w:color="auto" w:fill="auto"/>
            <w:vAlign w:val="center"/>
          </w:tcPr>
          <w:p w14:paraId="07F44F86" w14:textId="77777777" w:rsidR="005657D8" w:rsidRPr="00746B5A" w:rsidRDefault="005657D8" w:rsidP="0076746F">
            <w:pPr>
              <w:spacing w:before="0" w:line="240" w:lineRule="auto"/>
              <w:jc w:val="center"/>
              <w:rPr>
                <w:rFonts w:asciiTheme="minorHAnsi" w:hAnsiTheme="minorHAnsi"/>
                <w:b/>
                <w:color w:val="000000" w:themeColor="text1"/>
                <w:sz w:val="20"/>
              </w:rPr>
            </w:pPr>
            <w:r w:rsidRPr="00746B5A">
              <w:rPr>
                <w:rFonts w:asciiTheme="minorHAnsi" w:hAnsiTheme="minorHAnsi"/>
                <w:b/>
                <w:color w:val="000000" w:themeColor="text1"/>
                <w:sz w:val="20"/>
              </w:rPr>
              <w:t>Nazwa wskaźnika produktu</w:t>
            </w:r>
          </w:p>
        </w:tc>
        <w:tc>
          <w:tcPr>
            <w:tcW w:w="457" w:type="pct"/>
            <w:vAlign w:val="center"/>
          </w:tcPr>
          <w:p w14:paraId="429B729D" w14:textId="77777777" w:rsidR="005657D8" w:rsidRPr="00746B5A" w:rsidRDefault="005657D8" w:rsidP="0076746F">
            <w:pPr>
              <w:suppressAutoHyphens/>
              <w:spacing w:before="0" w:line="240" w:lineRule="auto"/>
              <w:jc w:val="center"/>
              <w:rPr>
                <w:rFonts w:asciiTheme="minorHAnsi" w:hAnsiTheme="minorHAnsi"/>
                <w:b/>
                <w:bCs/>
                <w:color w:val="000000" w:themeColor="text1"/>
                <w:sz w:val="20"/>
              </w:rPr>
            </w:pPr>
            <w:r w:rsidRPr="00746B5A">
              <w:rPr>
                <w:rFonts w:asciiTheme="minorHAnsi" w:hAnsiTheme="minorHAnsi"/>
                <w:b/>
                <w:bCs/>
                <w:color w:val="000000" w:themeColor="text1"/>
                <w:sz w:val="20"/>
              </w:rPr>
              <w:t>Jedn</w:t>
            </w:r>
            <w:r w:rsidR="00FD702E" w:rsidRPr="00746B5A">
              <w:rPr>
                <w:rFonts w:asciiTheme="minorHAnsi" w:hAnsiTheme="minorHAnsi"/>
                <w:b/>
                <w:bCs/>
                <w:color w:val="000000" w:themeColor="text1"/>
                <w:sz w:val="20"/>
              </w:rPr>
              <w:t>.</w:t>
            </w:r>
            <w:r w:rsidRPr="00746B5A">
              <w:rPr>
                <w:rFonts w:asciiTheme="minorHAnsi" w:hAnsiTheme="minorHAnsi"/>
                <w:b/>
                <w:bCs/>
                <w:color w:val="000000" w:themeColor="text1"/>
                <w:sz w:val="20"/>
              </w:rPr>
              <w:t xml:space="preserve"> miary</w:t>
            </w:r>
          </w:p>
        </w:tc>
        <w:tc>
          <w:tcPr>
            <w:tcW w:w="2520" w:type="pct"/>
            <w:shd w:val="clear" w:color="auto" w:fill="auto"/>
            <w:vAlign w:val="center"/>
          </w:tcPr>
          <w:p w14:paraId="6088CDF2" w14:textId="77777777" w:rsidR="005657D8" w:rsidRPr="00746B5A" w:rsidRDefault="005657D8" w:rsidP="0076746F">
            <w:pPr>
              <w:suppressAutoHyphens/>
              <w:spacing w:before="0" w:line="240" w:lineRule="auto"/>
              <w:jc w:val="center"/>
              <w:rPr>
                <w:rFonts w:asciiTheme="minorHAnsi" w:hAnsiTheme="minorHAnsi"/>
                <w:b/>
                <w:color w:val="000000" w:themeColor="text1"/>
                <w:sz w:val="20"/>
              </w:rPr>
            </w:pPr>
            <w:r w:rsidRPr="00746B5A">
              <w:rPr>
                <w:rFonts w:asciiTheme="minorHAnsi" w:hAnsiTheme="minorHAnsi"/>
                <w:b/>
                <w:bCs/>
                <w:color w:val="000000" w:themeColor="text1"/>
                <w:sz w:val="20"/>
              </w:rPr>
              <w:t>Definicja wskaźnika</w:t>
            </w:r>
          </w:p>
        </w:tc>
        <w:tc>
          <w:tcPr>
            <w:tcW w:w="819" w:type="pct"/>
            <w:vAlign w:val="center"/>
          </w:tcPr>
          <w:p w14:paraId="7B519FBE" w14:textId="77777777" w:rsidR="005657D8" w:rsidRPr="00746B5A" w:rsidRDefault="005657D8" w:rsidP="0076746F">
            <w:pPr>
              <w:suppressAutoHyphens/>
              <w:spacing w:before="0" w:line="240" w:lineRule="auto"/>
              <w:jc w:val="center"/>
              <w:rPr>
                <w:rFonts w:asciiTheme="minorHAnsi" w:hAnsiTheme="minorHAnsi"/>
                <w:b/>
                <w:bCs/>
                <w:color w:val="000000" w:themeColor="text1"/>
                <w:sz w:val="20"/>
              </w:rPr>
            </w:pPr>
            <w:r w:rsidRPr="00746B5A">
              <w:rPr>
                <w:rFonts w:asciiTheme="minorHAnsi" w:hAnsiTheme="minorHAnsi"/>
                <w:b/>
                <w:bCs/>
                <w:color w:val="000000" w:themeColor="text1"/>
                <w:sz w:val="20"/>
              </w:rPr>
              <w:t>Rodzaj dokumentu, w</w:t>
            </w:r>
            <w:r w:rsidR="007E025A" w:rsidRPr="00746B5A">
              <w:rPr>
                <w:rFonts w:asciiTheme="minorHAnsi" w:hAnsiTheme="minorHAnsi"/>
                <w:b/>
                <w:bCs/>
                <w:color w:val="000000" w:themeColor="text1"/>
                <w:sz w:val="20"/>
              </w:rPr>
              <w:t> </w:t>
            </w:r>
            <w:r w:rsidRPr="00746B5A">
              <w:rPr>
                <w:rFonts w:asciiTheme="minorHAnsi" w:hAnsiTheme="minorHAnsi"/>
                <w:b/>
                <w:bCs/>
                <w:color w:val="000000" w:themeColor="text1"/>
                <w:sz w:val="20"/>
              </w:rPr>
              <w:t>którym określono wskaźnik</w:t>
            </w:r>
          </w:p>
        </w:tc>
      </w:tr>
      <w:tr w:rsidR="00531AB4" w:rsidRPr="00531AB4" w14:paraId="5E88525D" w14:textId="77777777" w:rsidTr="007E2D2C">
        <w:trPr>
          <w:cantSplit/>
          <w:trHeight w:val="20"/>
          <w:jc w:val="center"/>
        </w:trPr>
        <w:tc>
          <w:tcPr>
            <w:tcW w:w="1204" w:type="pct"/>
            <w:shd w:val="clear" w:color="auto" w:fill="auto"/>
          </w:tcPr>
          <w:p w14:paraId="55310A70" w14:textId="77777777" w:rsidR="00EE0005" w:rsidRPr="00531AB4" w:rsidRDefault="005C6EFD" w:rsidP="0076746F">
            <w:pPr>
              <w:spacing w:before="60" w:after="60" w:line="240" w:lineRule="auto"/>
              <w:rPr>
                <w:rFonts w:asciiTheme="minorHAnsi" w:hAnsiTheme="minorHAnsi" w:cs="TimesNewRoman,Bold"/>
                <w:sz w:val="20"/>
              </w:rPr>
            </w:pPr>
            <w:r w:rsidRPr="00531AB4">
              <w:rPr>
                <w:rFonts w:asciiTheme="minorHAnsi" w:hAnsiTheme="minorHAnsi" w:cs="TimesNewRoman,Bold"/>
                <w:sz w:val="20"/>
              </w:rPr>
              <w:t>Liczba wspartych energooszczędnych punktów świetlnych</w:t>
            </w:r>
          </w:p>
        </w:tc>
        <w:tc>
          <w:tcPr>
            <w:tcW w:w="457" w:type="pct"/>
          </w:tcPr>
          <w:p w14:paraId="556A4D71" w14:textId="77777777" w:rsidR="00EE0005" w:rsidRPr="00531AB4" w:rsidRDefault="005C6EFD" w:rsidP="0076746F">
            <w:pPr>
              <w:spacing w:line="240" w:lineRule="auto"/>
              <w:jc w:val="both"/>
              <w:rPr>
                <w:rFonts w:asciiTheme="minorHAnsi" w:hAnsiTheme="minorHAnsi"/>
                <w:sz w:val="20"/>
              </w:rPr>
            </w:pPr>
            <w:r w:rsidRPr="00531AB4">
              <w:rPr>
                <w:rFonts w:asciiTheme="minorHAnsi" w:hAnsiTheme="minorHAnsi"/>
                <w:sz w:val="20"/>
              </w:rPr>
              <w:t>szt.</w:t>
            </w:r>
          </w:p>
        </w:tc>
        <w:tc>
          <w:tcPr>
            <w:tcW w:w="2520" w:type="pct"/>
            <w:shd w:val="clear" w:color="auto" w:fill="auto"/>
          </w:tcPr>
          <w:p w14:paraId="6A29D153" w14:textId="77777777" w:rsidR="00EE0005" w:rsidRPr="00531AB4" w:rsidRDefault="00C540E4" w:rsidP="0076746F">
            <w:pPr>
              <w:spacing w:before="0" w:line="240" w:lineRule="auto"/>
              <w:jc w:val="both"/>
              <w:rPr>
                <w:rFonts w:asciiTheme="minorHAnsi" w:eastAsiaTheme="minorHAnsi" w:hAnsiTheme="minorHAnsi" w:cs="Arial"/>
                <w:sz w:val="20"/>
                <w:lang w:eastAsia="en-US"/>
              </w:rPr>
            </w:pPr>
            <w:r w:rsidRPr="00531AB4">
              <w:rPr>
                <w:rFonts w:asciiTheme="minorHAnsi" w:eastAsiaTheme="minorHAnsi" w:hAnsiTheme="minorHAnsi" w:cs="Arial"/>
                <w:sz w:val="20"/>
                <w:lang w:eastAsia="en-US"/>
              </w:rPr>
              <w:t xml:space="preserve">Wskaźnik mierzy liczbę wybudowanych lub </w:t>
            </w:r>
            <w:r w:rsidR="000C5B9C" w:rsidRPr="00531AB4">
              <w:rPr>
                <w:rFonts w:asciiTheme="minorHAnsi" w:eastAsiaTheme="minorHAnsi" w:hAnsiTheme="minorHAnsi" w:cs="Arial"/>
                <w:sz w:val="20"/>
                <w:lang w:eastAsia="en-US"/>
              </w:rPr>
              <w:t>przebudowanych</w:t>
            </w:r>
            <w:r w:rsidRPr="00531AB4">
              <w:rPr>
                <w:rFonts w:asciiTheme="minorHAnsi" w:eastAsiaTheme="minorHAnsi" w:hAnsiTheme="minorHAnsi" w:cs="Arial"/>
                <w:sz w:val="20"/>
                <w:lang w:eastAsia="en-US"/>
              </w:rPr>
              <w:t xml:space="preserve"> punktów świetlnych, które charakteryzują się większą niż przed projektem efektywnością energetyczną</w:t>
            </w:r>
            <w:r w:rsidR="00142CDB" w:rsidRPr="00531AB4">
              <w:rPr>
                <w:rFonts w:asciiTheme="minorHAnsi" w:eastAsiaTheme="minorHAnsi" w:hAnsiTheme="minorHAnsi" w:cs="Arial"/>
                <w:sz w:val="20"/>
                <w:lang w:eastAsia="en-US"/>
              </w:rPr>
              <w:t xml:space="preserve">. Należy wziąć pod uwagę wszystkie wsparte w projekcie punkty świetlne, nawet nowo wybudowane (jeśli budowa wynika z przepisów prawa lub wymogów normy - zagęszczanie). </w:t>
            </w:r>
            <w:r w:rsidR="00702992" w:rsidRPr="00531AB4">
              <w:rPr>
                <w:rFonts w:asciiTheme="minorHAnsi" w:eastAsiaTheme="minorHAnsi" w:hAnsiTheme="minorHAnsi" w:cs="Arial"/>
                <w:sz w:val="20"/>
                <w:lang w:eastAsia="en-US"/>
              </w:rPr>
              <w:t xml:space="preserve">Sumaryczne zużycie energii elektrycznej przez wszystkie punkty świetlne musi </w:t>
            </w:r>
            <w:r w:rsidR="00142CDB" w:rsidRPr="00531AB4">
              <w:rPr>
                <w:rFonts w:asciiTheme="minorHAnsi" w:eastAsiaTheme="minorHAnsi" w:hAnsiTheme="minorHAnsi" w:cs="Arial"/>
                <w:sz w:val="20"/>
                <w:lang w:eastAsia="en-US"/>
              </w:rPr>
              <w:t>dawać minimum 25% oszczędności energii względem stanu sprzed rozpoczęcia inwestycji</w:t>
            </w:r>
            <w:r w:rsidR="00702992" w:rsidRPr="00531AB4">
              <w:rPr>
                <w:rFonts w:asciiTheme="minorHAnsi" w:eastAsiaTheme="minorHAnsi" w:hAnsiTheme="minorHAnsi" w:cs="Arial"/>
                <w:sz w:val="20"/>
                <w:lang w:eastAsia="en-US"/>
              </w:rPr>
              <w:t>.</w:t>
            </w:r>
          </w:p>
        </w:tc>
        <w:tc>
          <w:tcPr>
            <w:tcW w:w="819" w:type="pct"/>
          </w:tcPr>
          <w:p w14:paraId="61503EDB" w14:textId="77777777" w:rsidR="00EE0005" w:rsidRPr="00531AB4" w:rsidRDefault="00EE0005" w:rsidP="0076746F">
            <w:pPr>
              <w:autoSpaceDE w:val="0"/>
              <w:autoSpaceDN w:val="0"/>
              <w:adjustRightInd w:val="0"/>
              <w:spacing w:before="0" w:line="240" w:lineRule="auto"/>
              <w:jc w:val="both"/>
              <w:rPr>
                <w:rFonts w:asciiTheme="minorHAnsi" w:hAnsiTheme="minorHAnsi"/>
                <w:sz w:val="20"/>
              </w:rPr>
            </w:pPr>
            <w:proofErr w:type="spellStart"/>
            <w:r w:rsidRPr="00531AB4">
              <w:rPr>
                <w:rFonts w:asciiTheme="minorHAnsi" w:hAnsiTheme="minorHAnsi"/>
                <w:sz w:val="20"/>
              </w:rPr>
              <w:t>SzOOP</w:t>
            </w:r>
            <w:proofErr w:type="spellEnd"/>
          </w:p>
        </w:tc>
      </w:tr>
      <w:tr w:rsidR="00784191" w:rsidRPr="00784191" w14:paraId="6C487280" w14:textId="77777777" w:rsidTr="0035693E">
        <w:trPr>
          <w:trHeight w:val="20"/>
          <w:jc w:val="center"/>
        </w:trPr>
        <w:tc>
          <w:tcPr>
            <w:tcW w:w="1204" w:type="pct"/>
            <w:shd w:val="clear" w:color="auto" w:fill="auto"/>
            <w:vAlign w:val="center"/>
          </w:tcPr>
          <w:p w14:paraId="2ECCAED3" w14:textId="77777777" w:rsidR="00EE0005" w:rsidRPr="00784191" w:rsidRDefault="00EE0005" w:rsidP="0076746F">
            <w:pPr>
              <w:spacing w:before="0" w:line="240" w:lineRule="auto"/>
              <w:rPr>
                <w:rFonts w:asciiTheme="minorHAnsi" w:eastAsiaTheme="minorHAnsi" w:hAnsiTheme="minorHAnsi" w:cs="Arial"/>
                <w:sz w:val="20"/>
                <w:lang w:eastAsia="en-US"/>
              </w:rPr>
            </w:pPr>
            <w:r w:rsidRPr="00784191">
              <w:rPr>
                <w:rFonts w:asciiTheme="minorHAnsi" w:eastAsiaTheme="minorHAnsi" w:hAnsiTheme="minorHAnsi" w:cs="Arial"/>
                <w:sz w:val="20"/>
                <w:lang w:eastAsia="en-US"/>
              </w:rPr>
              <w:t>Liczba przedsiębiorstw otrzymujących wsparcie (CI 1)</w:t>
            </w:r>
          </w:p>
          <w:p w14:paraId="7D5BA3D9" w14:textId="77777777" w:rsidR="00EE0005" w:rsidRPr="00784191" w:rsidRDefault="00EE0005" w:rsidP="0076746F">
            <w:pPr>
              <w:spacing w:before="0" w:line="240" w:lineRule="auto"/>
              <w:rPr>
                <w:rFonts w:asciiTheme="minorHAnsi" w:eastAsiaTheme="minorHAnsi" w:hAnsiTheme="minorHAnsi"/>
                <w:sz w:val="20"/>
                <w:lang w:eastAsia="en-US"/>
              </w:rPr>
            </w:pPr>
          </w:p>
        </w:tc>
        <w:tc>
          <w:tcPr>
            <w:tcW w:w="457" w:type="pct"/>
            <w:vAlign w:val="center"/>
          </w:tcPr>
          <w:p w14:paraId="3FA9BBCF"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sz w:val="20"/>
                <w:lang w:eastAsia="en-US"/>
              </w:rPr>
              <w:t>przedsiębiorstwo</w:t>
            </w:r>
          </w:p>
        </w:tc>
        <w:tc>
          <w:tcPr>
            <w:tcW w:w="2520" w:type="pct"/>
            <w:shd w:val="clear" w:color="auto" w:fill="auto"/>
          </w:tcPr>
          <w:p w14:paraId="6D96D754" w14:textId="77777777" w:rsidR="0068088E" w:rsidRPr="00784191" w:rsidRDefault="0068088E" w:rsidP="0076746F">
            <w:pPr>
              <w:spacing w:before="0" w:line="240" w:lineRule="auto"/>
              <w:jc w:val="both"/>
              <w:rPr>
                <w:rFonts w:asciiTheme="minorHAnsi" w:eastAsiaTheme="minorHAnsi" w:hAnsiTheme="minorHAnsi" w:cs="Arial"/>
                <w:sz w:val="20"/>
                <w:lang w:val="en-US" w:eastAsia="en-US"/>
              </w:rPr>
            </w:pPr>
            <w:proofErr w:type="spellStart"/>
            <w:r w:rsidRPr="00784191">
              <w:rPr>
                <w:rFonts w:asciiTheme="minorHAnsi" w:eastAsiaTheme="minorHAnsi" w:hAnsiTheme="minorHAnsi" w:cs="Arial"/>
                <w:sz w:val="20"/>
                <w:lang w:val="en-US" w:eastAsia="en-US"/>
              </w:rPr>
              <w:t>Liczba</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przedsiębiorstw</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otrzymujących</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wsparcie</w:t>
            </w:r>
            <w:proofErr w:type="spellEnd"/>
            <w:r w:rsidRPr="00784191">
              <w:rPr>
                <w:rFonts w:asciiTheme="minorHAnsi" w:eastAsiaTheme="minorHAnsi" w:hAnsiTheme="minorHAnsi" w:cs="Arial"/>
                <w:sz w:val="20"/>
                <w:lang w:val="en-US" w:eastAsia="en-US"/>
              </w:rPr>
              <w:t xml:space="preserve"> w </w:t>
            </w:r>
            <w:proofErr w:type="spellStart"/>
            <w:r w:rsidRPr="00784191">
              <w:rPr>
                <w:rFonts w:asciiTheme="minorHAnsi" w:eastAsiaTheme="minorHAnsi" w:hAnsiTheme="minorHAnsi" w:cs="Arial"/>
                <w:sz w:val="20"/>
                <w:lang w:val="en-US" w:eastAsia="en-US"/>
              </w:rPr>
              <w:t>dowolnej</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formie</w:t>
            </w:r>
            <w:proofErr w:type="spellEnd"/>
            <w:r w:rsidRPr="00784191">
              <w:rPr>
                <w:rFonts w:asciiTheme="minorHAnsi" w:eastAsiaTheme="minorHAnsi" w:hAnsiTheme="minorHAnsi" w:cs="Arial"/>
                <w:sz w:val="20"/>
                <w:lang w:val="en-US" w:eastAsia="en-US"/>
              </w:rPr>
              <w:t xml:space="preserve"> z </w:t>
            </w:r>
            <w:proofErr w:type="spellStart"/>
            <w:r w:rsidRPr="00784191">
              <w:rPr>
                <w:rFonts w:asciiTheme="minorHAnsi" w:eastAsiaTheme="minorHAnsi" w:hAnsiTheme="minorHAnsi" w:cs="Arial"/>
                <w:sz w:val="20"/>
                <w:lang w:val="en-US" w:eastAsia="en-US"/>
              </w:rPr>
              <w:t>funduszy</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strukturalnych</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niezależnie</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od</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tego</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czy</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wsparcie</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stanowi</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pomoc</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państwa</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czy</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nie</w:t>
            </w:r>
            <w:proofErr w:type="spellEnd"/>
            <w:r w:rsidRPr="00784191">
              <w:rPr>
                <w:rFonts w:asciiTheme="minorHAnsi" w:eastAsiaTheme="minorHAnsi" w:hAnsiTheme="minorHAnsi" w:cs="Arial"/>
                <w:sz w:val="20"/>
                <w:lang w:val="en-US" w:eastAsia="en-US"/>
              </w:rPr>
              <w:t>).</w:t>
            </w:r>
          </w:p>
          <w:p w14:paraId="4ECF9745" w14:textId="77777777" w:rsidR="0068088E" w:rsidRPr="00784191" w:rsidRDefault="0068088E" w:rsidP="0076746F">
            <w:pPr>
              <w:spacing w:before="0" w:line="240" w:lineRule="auto"/>
              <w:jc w:val="both"/>
              <w:rPr>
                <w:rFonts w:asciiTheme="minorHAnsi" w:eastAsiaTheme="minorHAnsi" w:hAnsiTheme="minorHAnsi" w:cs="Arial"/>
                <w:sz w:val="20"/>
                <w:lang w:val="en-US" w:eastAsia="en-US"/>
              </w:rPr>
            </w:pPr>
          </w:p>
          <w:p w14:paraId="0CEAFF52" w14:textId="77777777" w:rsidR="0068088E" w:rsidRPr="00784191" w:rsidRDefault="0068088E" w:rsidP="0076746F">
            <w:pPr>
              <w:spacing w:before="0" w:line="240" w:lineRule="auto"/>
              <w:jc w:val="both"/>
              <w:rPr>
                <w:rFonts w:asciiTheme="minorHAnsi" w:eastAsiaTheme="minorHAnsi" w:hAnsiTheme="minorHAnsi" w:cs="Arial"/>
                <w:sz w:val="20"/>
                <w:lang w:val="en-US" w:eastAsia="en-US"/>
              </w:rPr>
            </w:pPr>
            <w:proofErr w:type="spellStart"/>
            <w:r w:rsidRPr="00784191">
              <w:rPr>
                <w:rFonts w:asciiTheme="minorHAnsi" w:eastAsiaTheme="minorHAnsi" w:hAnsiTheme="minorHAnsi" w:cs="Arial"/>
                <w:sz w:val="20"/>
                <w:lang w:val="en-US" w:eastAsia="en-US"/>
              </w:rPr>
              <w:t>Przedsiębiorstwo</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organizacja</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produkująca</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produkty</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lub</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usługi</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zaspokajające</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potrzeby</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rynku</w:t>
            </w:r>
            <w:proofErr w:type="spellEnd"/>
            <w:r w:rsidRPr="00784191">
              <w:rPr>
                <w:rFonts w:asciiTheme="minorHAnsi" w:eastAsiaTheme="minorHAnsi" w:hAnsiTheme="minorHAnsi" w:cs="Arial"/>
                <w:sz w:val="20"/>
                <w:lang w:val="en-US" w:eastAsia="en-US"/>
              </w:rPr>
              <w:t xml:space="preserve"> w </w:t>
            </w:r>
            <w:proofErr w:type="spellStart"/>
            <w:r w:rsidRPr="00784191">
              <w:rPr>
                <w:rFonts w:asciiTheme="minorHAnsi" w:eastAsiaTheme="minorHAnsi" w:hAnsiTheme="minorHAnsi" w:cs="Arial"/>
                <w:sz w:val="20"/>
                <w:lang w:val="en-US" w:eastAsia="en-US"/>
              </w:rPr>
              <w:t>celu</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osiągnięcia</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zysku</w:t>
            </w:r>
            <w:proofErr w:type="spellEnd"/>
            <w:r w:rsidRPr="00784191">
              <w:rPr>
                <w:rFonts w:asciiTheme="minorHAnsi" w:eastAsiaTheme="minorHAnsi" w:hAnsiTheme="minorHAnsi" w:cs="Arial"/>
                <w:sz w:val="20"/>
                <w:lang w:val="en-US" w:eastAsia="en-US"/>
              </w:rPr>
              <w:t xml:space="preserve">. Forma </w:t>
            </w:r>
            <w:proofErr w:type="spellStart"/>
            <w:r w:rsidRPr="00784191">
              <w:rPr>
                <w:rFonts w:asciiTheme="minorHAnsi" w:eastAsiaTheme="minorHAnsi" w:hAnsiTheme="minorHAnsi" w:cs="Arial"/>
                <w:sz w:val="20"/>
                <w:lang w:val="en-US" w:eastAsia="en-US"/>
              </w:rPr>
              <w:t>prawna</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przedsiębiorstwa</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może</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być</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różna</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osoby</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pracujące</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na</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własny</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rachunek</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spółki</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osobowe</w:t>
            </w:r>
            <w:proofErr w:type="spellEnd"/>
            <w:r w:rsidRPr="00784191">
              <w:rPr>
                <w:rFonts w:asciiTheme="minorHAnsi" w:eastAsiaTheme="minorHAnsi" w:hAnsiTheme="minorHAnsi" w:cs="Arial"/>
                <w:sz w:val="20"/>
                <w:lang w:val="en-US" w:eastAsia="en-US"/>
              </w:rPr>
              <w:t xml:space="preserve"> </w:t>
            </w:r>
            <w:proofErr w:type="spellStart"/>
            <w:r w:rsidRPr="00784191">
              <w:rPr>
                <w:rFonts w:asciiTheme="minorHAnsi" w:eastAsiaTheme="minorHAnsi" w:hAnsiTheme="minorHAnsi" w:cs="Arial"/>
                <w:sz w:val="20"/>
                <w:lang w:val="en-US" w:eastAsia="en-US"/>
              </w:rPr>
              <w:t>itp</w:t>
            </w:r>
            <w:proofErr w:type="spellEnd"/>
            <w:r w:rsidRPr="00784191">
              <w:rPr>
                <w:rFonts w:asciiTheme="minorHAnsi" w:eastAsiaTheme="minorHAnsi" w:hAnsiTheme="minorHAnsi" w:cs="Arial"/>
                <w:sz w:val="20"/>
                <w:lang w:val="en-US" w:eastAsia="en-US"/>
              </w:rPr>
              <w:t>.).</w:t>
            </w:r>
          </w:p>
          <w:p w14:paraId="2E51AAAE" w14:textId="77777777" w:rsidR="0068088E" w:rsidRPr="00784191" w:rsidRDefault="0068088E" w:rsidP="0076746F">
            <w:pPr>
              <w:spacing w:before="0" w:line="240" w:lineRule="auto"/>
              <w:jc w:val="both"/>
              <w:rPr>
                <w:rFonts w:asciiTheme="minorHAnsi" w:eastAsiaTheme="minorHAnsi" w:hAnsiTheme="minorHAnsi" w:cs="Arial"/>
                <w:sz w:val="20"/>
                <w:lang w:val="en-US" w:eastAsia="en-US"/>
              </w:rPr>
            </w:pPr>
          </w:p>
          <w:p w14:paraId="0E0DB067" w14:textId="77777777" w:rsidR="00EE0005" w:rsidRPr="00784191" w:rsidRDefault="00EE0005" w:rsidP="0076746F">
            <w:pPr>
              <w:spacing w:before="0" w:line="240" w:lineRule="auto"/>
              <w:jc w:val="both"/>
              <w:rPr>
                <w:rFonts w:asciiTheme="minorHAnsi" w:eastAsiaTheme="minorHAnsi" w:hAnsiTheme="minorHAnsi" w:cs="Arial"/>
                <w:sz w:val="20"/>
                <w:lang w:val="en-US" w:eastAsia="en-US"/>
              </w:rPr>
            </w:pPr>
            <w:r w:rsidRPr="00784191">
              <w:rPr>
                <w:rFonts w:asciiTheme="minorHAnsi" w:eastAsiaTheme="minorHAnsi" w:hAnsiTheme="minorHAnsi" w:cs="Arial"/>
                <w:sz w:val="20"/>
                <w:lang w:val="en-US" w:eastAsia="en-US"/>
              </w:rPr>
              <w:t xml:space="preserve">Number of enterprises receiving support in any form from Structural Funds (whether the support represents state aid or not). </w:t>
            </w:r>
          </w:p>
          <w:p w14:paraId="3E351511" w14:textId="77777777" w:rsidR="00EE0005" w:rsidRPr="00784191" w:rsidRDefault="00EE0005" w:rsidP="0076746F">
            <w:pPr>
              <w:spacing w:before="120" w:line="240" w:lineRule="auto"/>
              <w:jc w:val="both"/>
              <w:rPr>
                <w:rFonts w:asciiTheme="minorHAnsi" w:eastAsiaTheme="minorHAnsi" w:hAnsiTheme="minorHAnsi" w:cs="Arial"/>
                <w:sz w:val="20"/>
                <w:lang w:val="en-US" w:eastAsia="en-US"/>
              </w:rPr>
            </w:pPr>
            <w:r w:rsidRPr="00784191">
              <w:rPr>
                <w:rFonts w:asciiTheme="minorHAnsi" w:eastAsiaTheme="minorHAnsi" w:hAnsiTheme="minorHAnsi" w:cs="Arial"/>
                <w:sz w:val="20"/>
                <w:lang w:val="en-US" w:eastAsia="en-US"/>
              </w:rPr>
              <w:t xml:space="preserve">Enterprise: </w:t>
            </w:r>
            <w:proofErr w:type="spellStart"/>
            <w:r w:rsidRPr="00784191">
              <w:rPr>
                <w:rFonts w:asciiTheme="minorHAnsi" w:eastAsiaTheme="minorHAnsi" w:hAnsiTheme="minorHAnsi" w:cs="Arial"/>
                <w:sz w:val="20"/>
                <w:lang w:val="en-US" w:eastAsia="en-US"/>
              </w:rPr>
              <w:t>Organisation</w:t>
            </w:r>
            <w:proofErr w:type="spellEnd"/>
            <w:r w:rsidRPr="00784191">
              <w:rPr>
                <w:rFonts w:asciiTheme="minorHAnsi" w:eastAsiaTheme="minorHAnsi" w:hAnsiTheme="minorHAnsi" w:cs="Arial"/>
                <w:sz w:val="20"/>
                <w:lang w:val="en-US" w:eastAsia="en-US"/>
              </w:rPr>
              <w:t xml:space="preserve"> producing products or services to satisfy market needs in order to reach profit. The legal form of enterprise may be various (self-employed persons, partnerships, etc.). </w:t>
            </w:r>
          </w:p>
        </w:tc>
        <w:tc>
          <w:tcPr>
            <w:tcW w:w="819" w:type="pct"/>
          </w:tcPr>
          <w:p w14:paraId="1576091E" w14:textId="77777777" w:rsidR="00EE0005" w:rsidRPr="00784191" w:rsidRDefault="00EE0005" w:rsidP="0076746F">
            <w:pPr>
              <w:spacing w:line="240" w:lineRule="auto"/>
              <w:rPr>
                <w:rFonts w:asciiTheme="minorHAnsi" w:hAnsiTheme="minorHAnsi"/>
                <w:sz w:val="20"/>
              </w:rPr>
            </w:pPr>
            <w:proofErr w:type="spellStart"/>
            <w:r w:rsidRPr="00784191">
              <w:rPr>
                <w:rFonts w:asciiTheme="minorHAnsi" w:hAnsiTheme="minorHAnsi"/>
                <w:sz w:val="20"/>
              </w:rPr>
              <w:t>SzOOP</w:t>
            </w:r>
            <w:proofErr w:type="spellEnd"/>
          </w:p>
        </w:tc>
      </w:tr>
      <w:tr w:rsidR="00784191" w:rsidRPr="00784191" w14:paraId="18381F0B" w14:textId="77777777" w:rsidTr="007E2D2C">
        <w:trPr>
          <w:trHeight w:val="20"/>
          <w:jc w:val="center"/>
        </w:trPr>
        <w:tc>
          <w:tcPr>
            <w:tcW w:w="1204" w:type="pct"/>
            <w:shd w:val="clear" w:color="auto" w:fill="auto"/>
          </w:tcPr>
          <w:p w14:paraId="325D97F4"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sz w:val="20"/>
                <w:lang w:eastAsia="en-US"/>
              </w:rPr>
              <w:t>Liczba obiektów dostosowanych do potrzeb osób z niepełnosprawnościami</w:t>
            </w:r>
          </w:p>
        </w:tc>
        <w:tc>
          <w:tcPr>
            <w:tcW w:w="457" w:type="pct"/>
          </w:tcPr>
          <w:p w14:paraId="4B9B446E"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szt.</w:t>
            </w:r>
          </w:p>
        </w:tc>
        <w:tc>
          <w:tcPr>
            <w:tcW w:w="2520" w:type="pct"/>
            <w:shd w:val="clear" w:color="auto" w:fill="auto"/>
          </w:tcPr>
          <w:p w14:paraId="1E9D132B"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 xml:space="preserve">Wskaźnik odnosi się do liczby obiektów, które zaopatrzono w specjalne podjazdy, windy, urządzenia głośnomówiące, bądź inne </w:t>
            </w:r>
            <w:r w:rsidRPr="00784191">
              <w:rPr>
                <w:rFonts w:asciiTheme="minorHAnsi" w:eastAsiaTheme="minorHAnsi" w:hAnsiTheme="minorHAnsi" w:cs="Arial"/>
                <w:sz w:val="20"/>
                <w:lang w:eastAsia="en-US"/>
              </w:rPr>
              <w:t xml:space="preserve"> rozwiązania umożliwiające dostęp </w:t>
            </w:r>
            <w:r w:rsidRPr="00784191">
              <w:rPr>
                <w:rFonts w:asciiTheme="minorHAnsi" w:eastAsiaTheme="minorHAnsi" w:hAnsiTheme="minorHAnsi"/>
                <w:sz w:val="20"/>
                <w:lang w:eastAsia="en-US"/>
              </w:rPr>
              <w:t>(tj. usunięcie barier w dostępie, w szczególności barier architektonicznych) do tych obiektów i poruszanie się po nich osobom niepełnosprawnym ruchowo czy sensorycznie.</w:t>
            </w:r>
          </w:p>
          <w:p w14:paraId="0AF51EFB"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Jako obiekty budowlane należy rozumieć konstrukcje połączone z gruntem w sposób trwały, wykonane z materiałów budowlanych i elementów składowych, będące wynikiem prac budowlanych (wg. def. PKOB).</w:t>
            </w:r>
          </w:p>
          <w:p w14:paraId="78B24C29"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 xml:space="preserve">Należy podać liczbę </w:t>
            </w:r>
            <w:r w:rsidRPr="00784191">
              <w:rPr>
                <w:rFonts w:asciiTheme="minorHAnsi" w:eastAsiaTheme="minorHAnsi" w:hAnsiTheme="minorHAnsi" w:cs="Arial"/>
                <w:sz w:val="20"/>
                <w:lang w:eastAsia="en-US"/>
              </w:rPr>
              <w:t>wspartych lub zaopatrzonych w sprzęt obiektów</w:t>
            </w:r>
            <w:r w:rsidRPr="00784191">
              <w:rPr>
                <w:rFonts w:asciiTheme="minorHAnsi" w:eastAsiaTheme="minorHAnsi" w:hAnsiTheme="minorHAnsi"/>
                <w:sz w:val="20"/>
                <w:lang w:eastAsia="en-US"/>
              </w:rPr>
              <w:t>, a nie liczbę sprzętów, urządzeń itp., w które obiekty zaopatrzono.</w:t>
            </w:r>
          </w:p>
          <w:p w14:paraId="6B20BDF3"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819" w:type="pct"/>
          </w:tcPr>
          <w:p w14:paraId="6223F342"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t>Horyzontalny</w:t>
            </w:r>
          </w:p>
        </w:tc>
      </w:tr>
      <w:tr w:rsidR="00784191" w:rsidRPr="00784191" w14:paraId="3DE0A59A" w14:textId="77777777" w:rsidTr="007E2D2C">
        <w:trPr>
          <w:trHeight w:val="20"/>
          <w:jc w:val="center"/>
        </w:trPr>
        <w:tc>
          <w:tcPr>
            <w:tcW w:w="1204" w:type="pct"/>
            <w:shd w:val="clear" w:color="auto" w:fill="auto"/>
          </w:tcPr>
          <w:p w14:paraId="3C0BAA56"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sz w:val="20"/>
                <w:lang w:eastAsia="en-US"/>
              </w:rPr>
              <w:lastRenderedPageBreak/>
              <w:t>Liczba podmiotów wykorzystujących technologie informacyjno-komunikacyjne (TIK)</w:t>
            </w:r>
          </w:p>
        </w:tc>
        <w:tc>
          <w:tcPr>
            <w:tcW w:w="457" w:type="pct"/>
          </w:tcPr>
          <w:p w14:paraId="269267B5"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szt.</w:t>
            </w:r>
          </w:p>
        </w:tc>
        <w:tc>
          <w:tcPr>
            <w:tcW w:w="2520" w:type="pct"/>
            <w:shd w:val="clear" w:color="auto" w:fill="auto"/>
          </w:tcPr>
          <w:p w14:paraId="59A142A6"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1A86C77A" w14:textId="77777777" w:rsidR="00EE0005" w:rsidRPr="00784191" w:rsidRDefault="00EE0005" w:rsidP="0076746F">
            <w:pPr>
              <w:spacing w:before="0" w:line="240" w:lineRule="auto"/>
              <w:jc w:val="both"/>
              <w:rPr>
                <w:rFonts w:asciiTheme="minorHAnsi" w:eastAsiaTheme="minorHAnsi" w:hAnsiTheme="minorHAnsi"/>
                <w:sz w:val="20"/>
                <w:lang w:eastAsia="en-US"/>
              </w:rPr>
            </w:pPr>
          </w:p>
          <w:p w14:paraId="3F9F5FBF"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602906B7" w14:textId="77777777" w:rsidR="00EE0005" w:rsidRPr="00784191" w:rsidRDefault="00EE0005" w:rsidP="0076746F">
            <w:pPr>
              <w:spacing w:before="0" w:line="240" w:lineRule="auto"/>
              <w:jc w:val="both"/>
              <w:rPr>
                <w:rFonts w:asciiTheme="minorHAnsi" w:eastAsiaTheme="minorHAnsi" w:hAnsiTheme="minorHAnsi"/>
                <w:sz w:val="20"/>
                <w:lang w:eastAsia="en-US"/>
              </w:rPr>
            </w:pPr>
          </w:p>
          <w:p w14:paraId="20F37CA4"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801511B" w14:textId="77777777" w:rsidR="00EE0005" w:rsidRPr="00784191" w:rsidRDefault="00EE0005" w:rsidP="0076746F">
            <w:pPr>
              <w:spacing w:before="0" w:line="240" w:lineRule="auto"/>
              <w:jc w:val="both"/>
              <w:rPr>
                <w:rFonts w:asciiTheme="minorHAnsi" w:eastAsiaTheme="minorHAnsi" w:hAnsiTheme="minorHAnsi"/>
                <w:sz w:val="20"/>
                <w:lang w:eastAsia="en-US"/>
              </w:rPr>
            </w:pPr>
          </w:p>
          <w:p w14:paraId="2591551F"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19" w:type="pct"/>
          </w:tcPr>
          <w:p w14:paraId="537B57B5"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t>horyzontalny</w:t>
            </w:r>
          </w:p>
        </w:tc>
      </w:tr>
      <w:tr w:rsidR="00784191" w:rsidRPr="00784191" w14:paraId="5D62797C" w14:textId="77777777" w:rsidTr="007E2D2C">
        <w:trPr>
          <w:trHeight w:val="20"/>
          <w:jc w:val="center"/>
        </w:trPr>
        <w:tc>
          <w:tcPr>
            <w:tcW w:w="1204" w:type="pct"/>
            <w:shd w:val="clear" w:color="auto" w:fill="auto"/>
          </w:tcPr>
          <w:p w14:paraId="6E3DDF88"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sz w:val="20"/>
                <w:lang w:eastAsia="en-US"/>
              </w:rPr>
              <w:t>Liczba osób objętych szkoleniami / doradztwem w zakresie kompetencji cyfrowych O/K/M</w:t>
            </w:r>
          </w:p>
        </w:tc>
        <w:tc>
          <w:tcPr>
            <w:tcW w:w="457" w:type="pct"/>
          </w:tcPr>
          <w:p w14:paraId="56B55566"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os.</w:t>
            </w:r>
          </w:p>
        </w:tc>
        <w:tc>
          <w:tcPr>
            <w:tcW w:w="2520" w:type="pct"/>
            <w:shd w:val="clear" w:color="auto" w:fill="auto"/>
          </w:tcPr>
          <w:p w14:paraId="059A009A"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Wskaźnik mierzy liczbę osób objętych szkoleniami</w:t>
            </w:r>
            <w:r w:rsidR="00AF7EBE" w:rsidRPr="00784191">
              <w:rPr>
                <w:rFonts w:asciiTheme="minorHAnsi" w:eastAsiaTheme="minorHAnsi" w:hAnsiTheme="minorHAnsi"/>
                <w:sz w:val="20"/>
                <w:lang w:eastAsia="en-US"/>
              </w:rPr>
              <w:t xml:space="preserve"> </w:t>
            </w:r>
            <w:r w:rsidRPr="00784191">
              <w:rPr>
                <w:rFonts w:asciiTheme="minorHAnsi" w:eastAsiaTheme="minorHAnsi" w:hAnsiTheme="minorHAnsi"/>
                <w:sz w:val="20"/>
                <w:lang w:eastAsia="en-US"/>
              </w:rPr>
              <w:t>/</w:t>
            </w:r>
            <w:r w:rsidR="00AF7EBE" w:rsidRPr="00784191">
              <w:rPr>
                <w:rFonts w:asciiTheme="minorHAnsi" w:eastAsiaTheme="minorHAnsi" w:hAnsiTheme="minorHAnsi"/>
                <w:sz w:val="20"/>
                <w:lang w:eastAsia="en-US"/>
              </w:rPr>
              <w:t xml:space="preserve"> </w:t>
            </w:r>
            <w:r w:rsidRPr="00784191">
              <w:rPr>
                <w:rFonts w:asciiTheme="minorHAnsi" w:eastAsiaTheme="minorHAnsi" w:hAnsiTheme="minorHAnsi"/>
                <w:sz w:val="20"/>
                <w:lang w:eastAsia="en-US"/>
              </w:rPr>
              <w:t>doradztwem w zakresie nabywania /</w:t>
            </w:r>
            <w:r w:rsidR="00AF7EBE" w:rsidRPr="00784191">
              <w:rPr>
                <w:rFonts w:asciiTheme="minorHAnsi" w:eastAsiaTheme="minorHAnsi" w:hAnsiTheme="minorHAnsi"/>
                <w:sz w:val="20"/>
                <w:lang w:eastAsia="en-US"/>
              </w:rPr>
              <w:t xml:space="preserve"> </w:t>
            </w:r>
            <w:r w:rsidRPr="00784191">
              <w:rPr>
                <w:rFonts w:asciiTheme="minorHAnsi" w:eastAsiaTheme="minorHAnsi" w:hAnsiTheme="minorHAnsi"/>
                <w:sz w:val="20"/>
                <w:lang w:eastAsia="en-US"/>
              </w:rPr>
              <w:t xml:space="preserve">doskonalenia umiejętności warunkujących efektywne korzystanie z mediów elektronicznych tj. m.in. korzystania z komputera, różnych rodzajów oprogramowania, </w:t>
            </w:r>
            <w:proofErr w:type="spellStart"/>
            <w:r w:rsidRPr="00784191">
              <w:rPr>
                <w:rFonts w:asciiTheme="minorHAnsi" w:eastAsiaTheme="minorHAnsi" w:hAnsiTheme="minorHAnsi"/>
                <w:sz w:val="20"/>
                <w:lang w:eastAsia="en-US"/>
              </w:rPr>
              <w:t>internetu</w:t>
            </w:r>
            <w:proofErr w:type="spellEnd"/>
            <w:r w:rsidRPr="00784191">
              <w:rPr>
                <w:rFonts w:asciiTheme="minorHAnsi" w:eastAsiaTheme="minorHAnsi" w:hAnsiTheme="minorHAnsi"/>
                <w:sz w:val="20"/>
                <w:lang w:eastAsia="en-US"/>
              </w:rPr>
              <w:t xml:space="preserve"> oraz kompetencji ściśle informatycznych (np. programowanie, zarządzanie bazami danych, administracja sieciami, administracja witrynami internetowymi).</w:t>
            </w:r>
          </w:p>
        </w:tc>
        <w:tc>
          <w:tcPr>
            <w:tcW w:w="819" w:type="pct"/>
          </w:tcPr>
          <w:p w14:paraId="0015BF8F"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t>Horyzontalny</w:t>
            </w:r>
          </w:p>
        </w:tc>
      </w:tr>
      <w:tr w:rsidR="00784191" w:rsidRPr="00784191" w14:paraId="429817D8" w14:textId="77777777" w:rsidTr="007E2D2C">
        <w:trPr>
          <w:trHeight w:val="20"/>
          <w:jc w:val="center"/>
        </w:trPr>
        <w:tc>
          <w:tcPr>
            <w:tcW w:w="1204" w:type="pct"/>
            <w:shd w:val="clear" w:color="auto" w:fill="auto"/>
          </w:tcPr>
          <w:p w14:paraId="25DB6E28"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cs="Arial"/>
                <w:sz w:val="20"/>
                <w:lang w:eastAsia="en-US"/>
              </w:rPr>
              <w:t>Liczba projektów, w których sfinansowano koszty racjonalnych usprawnień dla osób z niepełnosprawnościami</w:t>
            </w:r>
          </w:p>
        </w:tc>
        <w:tc>
          <w:tcPr>
            <w:tcW w:w="457" w:type="pct"/>
          </w:tcPr>
          <w:p w14:paraId="6E1DA90E"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szt.</w:t>
            </w:r>
          </w:p>
        </w:tc>
        <w:tc>
          <w:tcPr>
            <w:tcW w:w="2520" w:type="pct"/>
            <w:shd w:val="clear" w:color="auto" w:fill="auto"/>
          </w:tcPr>
          <w:p w14:paraId="02EB6498" w14:textId="77777777" w:rsidR="00EE0005" w:rsidRPr="00784191" w:rsidRDefault="00EE0005" w:rsidP="0076746F">
            <w:pPr>
              <w:autoSpaceDE w:val="0"/>
              <w:autoSpaceDN w:val="0"/>
              <w:adjustRightInd w:val="0"/>
              <w:spacing w:before="0" w:line="240" w:lineRule="auto"/>
              <w:jc w:val="both"/>
              <w:rPr>
                <w:rFonts w:asciiTheme="minorHAnsi" w:eastAsiaTheme="minorHAnsi" w:hAnsiTheme="minorHAnsi" w:cs="Arial"/>
                <w:sz w:val="20"/>
                <w:lang w:eastAsia="en-US"/>
              </w:rPr>
            </w:pPr>
            <w:r w:rsidRPr="00784191">
              <w:rPr>
                <w:rFonts w:asciiTheme="minorHAnsi" w:eastAsiaTheme="minorHAnsi" w:hAnsiTheme="minorHAnsi" w:cs="Arial"/>
                <w:sz w:val="20"/>
                <w:lang w:eastAsia="en-US"/>
              </w:rPr>
              <w:t xml:space="preserve">Racjonalne usprawnienie oznacza konieczne </w:t>
            </w:r>
            <w:r w:rsidR="00C357EC" w:rsidRPr="00784191">
              <w:rPr>
                <w:rFonts w:asciiTheme="minorHAnsi" w:eastAsiaTheme="minorHAnsi" w:hAnsiTheme="minorHAnsi" w:cs="Arial"/>
                <w:sz w:val="20"/>
                <w:lang w:eastAsia="en-US"/>
              </w:rPr>
              <w:br/>
            </w:r>
            <w:r w:rsidRPr="00784191">
              <w:rPr>
                <w:rFonts w:asciiTheme="minorHAnsi" w:eastAsiaTheme="minorHAnsi" w:hAnsiTheme="minorHAnsi" w:cs="Arial"/>
                <w:sz w:val="20"/>
                <w:lang w:eastAsia="en-US"/>
              </w:rPr>
              <w:t>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p>
          <w:p w14:paraId="1B7EBAEA" w14:textId="77777777" w:rsidR="00EE0005" w:rsidRPr="00784191" w:rsidRDefault="00EE0005" w:rsidP="0076746F">
            <w:pPr>
              <w:autoSpaceDE w:val="0"/>
              <w:autoSpaceDN w:val="0"/>
              <w:adjustRightInd w:val="0"/>
              <w:spacing w:before="0" w:line="240" w:lineRule="auto"/>
              <w:jc w:val="both"/>
              <w:rPr>
                <w:rFonts w:asciiTheme="minorHAnsi" w:eastAsiaTheme="minorHAnsi" w:hAnsiTheme="minorHAnsi" w:cs="Arial"/>
                <w:sz w:val="20"/>
                <w:lang w:eastAsia="en-US"/>
              </w:rPr>
            </w:pPr>
            <w:r w:rsidRPr="00784191">
              <w:rPr>
                <w:rFonts w:asciiTheme="minorHAnsi" w:eastAsiaTheme="minorHAnsi" w:hAnsiTheme="minorHAnsi" w:cs="Arial"/>
                <w:sz w:val="20"/>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67D5767A"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cs="Arial"/>
                <w:sz w:val="20"/>
                <w:lang w:eastAsia="en-US"/>
              </w:rPr>
              <w:lastRenderedPageBreak/>
              <w:t xml:space="preserve">Definicja na podstawie </w:t>
            </w:r>
            <w:r w:rsidRPr="00784191">
              <w:rPr>
                <w:rFonts w:asciiTheme="minorHAnsi" w:eastAsiaTheme="minorHAnsi" w:hAnsiTheme="minorHAnsi" w:cs="Arial"/>
                <w:i/>
                <w:iCs/>
                <w:sz w:val="20"/>
                <w:lang w:eastAsia="en-US"/>
              </w:rPr>
              <w:t>Wytycznych w zakresie realizacji zasady równości szans i niedyskryminacji, w tym dostępności dla osób z niepełnosprawnościami oraz równości szans kobiet i mężczyzn w ramach funduszy unijnych na lata 2014-2020</w:t>
            </w:r>
            <w:r w:rsidRPr="00784191">
              <w:rPr>
                <w:rFonts w:asciiTheme="minorHAnsi" w:eastAsiaTheme="minorHAnsi" w:hAnsiTheme="minorHAnsi" w:cs="Arial"/>
                <w:sz w:val="20"/>
                <w:lang w:eastAsia="en-US"/>
              </w:rPr>
              <w:t>.</w:t>
            </w:r>
          </w:p>
        </w:tc>
        <w:tc>
          <w:tcPr>
            <w:tcW w:w="819" w:type="pct"/>
          </w:tcPr>
          <w:p w14:paraId="032F2481"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lastRenderedPageBreak/>
              <w:t>Horyzontalny</w:t>
            </w:r>
          </w:p>
        </w:tc>
      </w:tr>
    </w:tbl>
    <w:p w14:paraId="5FD78F0A" w14:textId="77777777" w:rsidR="00C912B2" w:rsidRPr="00BA387E" w:rsidRDefault="00C912B2" w:rsidP="0076746F">
      <w:pPr>
        <w:pStyle w:val="Default"/>
        <w:spacing w:after="120"/>
        <w:jc w:val="both"/>
        <w:rPr>
          <w:rFonts w:asciiTheme="minorHAnsi" w:hAnsiTheme="minorHAnsi"/>
          <w:color w:val="FF0000"/>
        </w:rPr>
      </w:pPr>
    </w:p>
    <w:p w14:paraId="6B974DBE" w14:textId="77777777" w:rsidR="00A81480" w:rsidRPr="009C50CC" w:rsidRDefault="00A81480" w:rsidP="0076746F">
      <w:pPr>
        <w:spacing w:line="240" w:lineRule="auto"/>
        <w:jc w:val="both"/>
        <w:rPr>
          <w:rFonts w:asciiTheme="minorHAnsi" w:hAnsiTheme="minorHAnsi" w:cs="Arial"/>
          <w:sz w:val="20"/>
        </w:rPr>
      </w:pPr>
      <w:r w:rsidRPr="009C50CC">
        <w:rPr>
          <w:rFonts w:asciiTheme="minorHAnsi" w:hAnsiTheme="minorHAnsi"/>
          <w:b/>
          <w:sz w:val="20"/>
        </w:rPr>
        <w:t>Wskaźniki rezultatu bezpośredniego</w:t>
      </w:r>
      <w:r w:rsidRPr="009C50CC">
        <w:rPr>
          <w:rFonts w:asciiTheme="minorHAnsi" w:hAnsiTheme="minorHAnsi"/>
          <w:sz w:val="20"/>
        </w:rPr>
        <w:t xml:space="preserve"> są to w</w:t>
      </w:r>
      <w:r w:rsidRPr="009C50CC">
        <w:rPr>
          <w:rFonts w:asciiTheme="minorHAnsi" w:hAnsiTheme="minorHAnsi" w:cs="Arial"/>
          <w:sz w:val="20"/>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268E6D6F" w14:textId="77777777" w:rsidR="00A81480" w:rsidRPr="009C50CC" w:rsidRDefault="00A81480" w:rsidP="0076746F">
      <w:pPr>
        <w:pStyle w:val="Default"/>
        <w:jc w:val="both"/>
      </w:pPr>
    </w:p>
    <w:p w14:paraId="4108F518" w14:textId="77777777" w:rsidR="00A81480" w:rsidRPr="009C50CC" w:rsidRDefault="00A81480" w:rsidP="0076746F">
      <w:pPr>
        <w:pStyle w:val="Default"/>
        <w:spacing w:after="120"/>
        <w:jc w:val="both"/>
        <w:rPr>
          <w:rFonts w:asciiTheme="minorHAnsi" w:hAnsiTheme="minorHAnsi"/>
        </w:rPr>
      </w:pPr>
      <w:r w:rsidRPr="009C50CC">
        <w:rPr>
          <w:rFonts w:asciiTheme="minorHAnsi" w:hAnsiTheme="minorHAnsi"/>
        </w:rPr>
        <w:t xml:space="preserve">Dla każdego z wybranych wskaźników wnioskodawca zobowiązany jest do wskazania </w:t>
      </w:r>
      <w:r w:rsidRPr="009C50CC">
        <w:rPr>
          <w:rFonts w:asciiTheme="minorHAnsi" w:hAnsiTheme="minorHAnsi"/>
          <w:i/>
        </w:rPr>
        <w:t>„Jednostki miary”</w:t>
      </w:r>
      <w:r w:rsidRPr="009C50CC">
        <w:rPr>
          <w:rFonts w:asciiTheme="minorHAnsi" w:hAnsiTheme="minorHAnsi"/>
        </w:rPr>
        <w:t xml:space="preserve">, </w:t>
      </w:r>
      <w:r w:rsidRPr="009C50CC">
        <w:rPr>
          <w:rFonts w:asciiTheme="minorHAnsi" w:hAnsiTheme="minorHAnsi"/>
          <w:i/>
        </w:rPr>
        <w:t>„Wartości bazowej”</w:t>
      </w:r>
      <w:r w:rsidRPr="009C50CC">
        <w:rPr>
          <w:rFonts w:asciiTheme="minorHAnsi" w:hAnsiTheme="minorHAnsi"/>
        </w:rPr>
        <w:t xml:space="preserve">, </w:t>
      </w:r>
      <w:r w:rsidRPr="009C50CC">
        <w:rPr>
          <w:rFonts w:asciiTheme="minorHAnsi" w:hAnsiTheme="minorHAnsi"/>
          <w:i/>
        </w:rPr>
        <w:t>„Wartości docelowej wskaźnika”</w:t>
      </w:r>
      <w:r w:rsidRPr="009C50CC">
        <w:rPr>
          <w:rFonts w:asciiTheme="minorHAnsi" w:hAnsiTheme="minorHAnsi"/>
        </w:rPr>
        <w:t xml:space="preserve">, a także </w:t>
      </w:r>
      <w:r w:rsidRPr="009C50CC">
        <w:rPr>
          <w:rFonts w:asciiTheme="minorHAnsi" w:hAnsiTheme="minorHAnsi"/>
          <w:i/>
        </w:rPr>
        <w:t>„Źródła informacji</w:t>
      </w:r>
      <w:r w:rsidR="008940B1" w:rsidRPr="009C50CC">
        <w:rPr>
          <w:rFonts w:asciiTheme="minorHAnsi" w:hAnsiTheme="minorHAnsi"/>
          <w:i/>
        </w:rPr>
        <w:t xml:space="preserve"> </w:t>
      </w:r>
      <w:r w:rsidRPr="009C50CC">
        <w:rPr>
          <w:rFonts w:asciiTheme="minorHAnsi" w:hAnsiTheme="minorHAnsi"/>
          <w:i/>
        </w:rPr>
        <w:t>o wskaźniku”</w:t>
      </w:r>
      <w:r w:rsidRPr="009C50CC">
        <w:rPr>
          <w:rFonts w:asciiTheme="minorHAnsi" w:hAnsiTheme="minorHAnsi"/>
        </w:rPr>
        <w:t xml:space="preserve">. </w:t>
      </w:r>
    </w:p>
    <w:p w14:paraId="0FAF7549" w14:textId="77777777" w:rsidR="00A81480" w:rsidRPr="009C50CC" w:rsidRDefault="00A81480" w:rsidP="0076746F">
      <w:pPr>
        <w:pStyle w:val="Default"/>
        <w:spacing w:after="120"/>
        <w:jc w:val="both"/>
        <w:rPr>
          <w:rFonts w:asciiTheme="minorHAnsi" w:hAnsiTheme="minorHAnsi"/>
        </w:rPr>
      </w:pPr>
      <w:r w:rsidRPr="009C50CC">
        <w:rPr>
          <w:rFonts w:asciiTheme="minorHAnsi" w:hAnsiTheme="minorHAnsi"/>
        </w:rPr>
        <w:t>Wartość docelowa dla wskaźnika rezultatu to wyrażony liczbowo stan danego wskaźnika uzyskany w efekcie realizacji projektu.</w:t>
      </w:r>
    </w:p>
    <w:p w14:paraId="593323A5" w14:textId="77777777" w:rsidR="00A81480" w:rsidRPr="009C50CC" w:rsidRDefault="00A81480" w:rsidP="0076746F">
      <w:pPr>
        <w:autoSpaceDE w:val="0"/>
        <w:autoSpaceDN w:val="0"/>
        <w:adjustRightInd w:val="0"/>
        <w:spacing w:before="0" w:line="240" w:lineRule="auto"/>
        <w:jc w:val="both"/>
        <w:rPr>
          <w:rFonts w:asciiTheme="minorHAnsi" w:hAnsiTheme="minorHAnsi"/>
          <w:sz w:val="20"/>
        </w:rPr>
      </w:pPr>
      <w:r w:rsidRPr="009C50CC">
        <w:rPr>
          <w:rFonts w:asciiTheme="minorHAnsi" w:hAnsiTheme="minorHAnsi"/>
          <w:sz w:val="20"/>
        </w:rPr>
        <w:t>Jako źródło informacji o wskaźniku wskazać należy odpowiedni dokument.</w:t>
      </w:r>
    </w:p>
    <w:p w14:paraId="19EB5EA4" w14:textId="77777777" w:rsidR="00A81480" w:rsidRPr="009C50CC" w:rsidRDefault="00A81480" w:rsidP="0076746F">
      <w:pPr>
        <w:autoSpaceDE w:val="0"/>
        <w:autoSpaceDN w:val="0"/>
        <w:adjustRightInd w:val="0"/>
        <w:spacing w:before="120" w:after="120" w:line="240" w:lineRule="auto"/>
        <w:jc w:val="both"/>
        <w:rPr>
          <w:rFonts w:asciiTheme="minorHAnsi" w:hAnsiTheme="minorHAnsi"/>
          <w:b/>
          <w:sz w:val="20"/>
        </w:rPr>
      </w:pPr>
      <w:r w:rsidRPr="009C50CC">
        <w:rPr>
          <w:rFonts w:asciiTheme="minorHAnsi" w:hAnsiTheme="minorHAnsi"/>
          <w:b/>
          <w:sz w:val="20"/>
        </w:rPr>
        <w:t>Wszyscy wnioskodawcy są zobligowani do określenia poniższych wskaźników o charakterze rezultatu bezpośredniego – także horyzontalnych, jeśli są adekwatne do celu projektu</w:t>
      </w:r>
      <w:r w:rsidR="00AF1D78" w:rsidRPr="009C50CC">
        <w:rPr>
          <w:rFonts w:asciiTheme="minorHAnsi" w:hAnsiTheme="minorHAnsi"/>
          <w:b/>
          <w:sz w:val="20"/>
        </w:rPr>
        <w:t>.</w:t>
      </w:r>
    </w:p>
    <w:p w14:paraId="759A6A0E" w14:textId="77777777" w:rsidR="0037462D" w:rsidRPr="00BA387E" w:rsidRDefault="0037462D">
      <w:pPr>
        <w:spacing w:before="0" w:after="200" w:line="276" w:lineRule="auto"/>
        <w:rPr>
          <w:rFonts w:asciiTheme="minorHAnsi" w:hAnsiTheme="minorHAnsi"/>
          <w:color w:val="FF0000"/>
          <w:sz w:val="20"/>
        </w:rPr>
      </w:pPr>
    </w:p>
    <w:p w14:paraId="3FE388EE" w14:textId="77777777" w:rsidR="008C495E" w:rsidRPr="009C50CC" w:rsidRDefault="003D3BC5" w:rsidP="0076746F">
      <w:pPr>
        <w:autoSpaceDE w:val="0"/>
        <w:autoSpaceDN w:val="0"/>
        <w:adjustRightInd w:val="0"/>
        <w:spacing w:before="120" w:after="120" w:line="240" w:lineRule="auto"/>
        <w:jc w:val="both"/>
        <w:rPr>
          <w:rFonts w:asciiTheme="minorHAnsi" w:hAnsiTheme="minorHAnsi"/>
          <w:sz w:val="20"/>
        </w:rPr>
      </w:pPr>
      <w:r w:rsidRPr="009C50CC">
        <w:rPr>
          <w:rFonts w:asciiTheme="minorHAnsi" w:hAnsiTheme="minorHAnsi"/>
          <w:sz w:val="20"/>
        </w:rPr>
        <w:t xml:space="preserve">W ramach Działania </w:t>
      </w:r>
      <w:r w:rsidR="00352B50" w:rsidRPr="009C50CC">
        <w:rPr>
          <w:rFonts w:asciiTheme="minorHAnsi" w:hAnsiTheme="minorHAnsi"/>
          <w:sz w:val="20"/>
        </w:rPr>
        <w:t>3.</w:t>
      </w:r>
      <w:r w:rsidRPr="009C50CC">
        <w:rPr>
          <w:rFonts w:asciiTheme="minorHAnsi" w:hAnsiTheme="minorHAnsi"/>
          <w:sz w:val="20"/>
        </w:rPr>
        <w:t>4 określono poniższe wskaźniki</w:t>
      </w:r>
      <w:r w:rsidRPr="009C50CC">
        <w:rPr>
          <w:rFonts w:asciiTheme="minorHAnsi" w:hAnsiTheme="minorHAnsi"/>
          <w:b/>
          <w:sz w:val="20"/>
        </w:rPr>
        <w:t xml:space="preserve"> rezultatu bezpośredniego</w:t>
      </w:r>
      <w:r w:rsidRPr="009C50CC">
        <w:rPr>
          <w:rFonts w:asciiTheme="minorHAnsi" w:hAnsiTheme="minorHAnsi"/>
          <w:sz w:val="20"/>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9C50CC" w:rsidRPr="009C50CC" w14:paraId="42CCB72C" w14:textId="77777777" w:rsidTr="007E2D2C">
        <w:trPr>
          <w:trHeight w:val="20"/>
          <w:jc w:val="center"/>
        </w:trPr>
        <w:tc>
          <w:tcPr>
            <w:tcW w:w="1189" w:type="pct"/>
            <w:shd w:val="clear" w:color="auto" w:fill="auto"/>
            <w:vAlign w:val="center"/>
          </w:tcPr>
          <w:p w14:paraId="1708F764" w14:textId="77777777" w:rsidR="005657D8" w:rsidRPr="009C50CC" w:rsidRDefault="005657D8" w:rsidP="0076746F">
            <w:pPr>
              <w:spacing w:before="0" w:line="240" w:lineRule="auto"/>
              <w:jc w:val="center"/>
              <w:rPr>
                <w:rFonts w:asciiTheme="minorHAnsi" w:hAnsiTheme="minorHAnsi"/>
                <w:b/>
                <w:sz w:val="20"/>
              </w:rPr>
            </w:pPr>
            <w:r w:rsidRPr="009C50CC">
              <w:rPr>
                <w:rFonts w:asciiTheme="minorHAnsi" w:hAnsiTheme="minorHAnsi"/>
                <w:b/>
                <w:sz w:val="20"/>
              </w:rPr>
              <w:t>Nazwa wskaźnika rezultatu bezpośredniego</w:t>
            </w:r>
          </w:p>
        </w:tc>
        <w:tc>
          <w:tcPr>
            <w:tcW w:w="701" w:type="pct"/>
            <w:vAlign w:val="center"/>
          </w:tcPr>
          <w:p w14:paraId="4E078481" w14:textId="77777777" w:rsidR="005657D8" w:rsidRPr="009C50CC" w:rsidRDefault="005657D8" w:rsidP="0076746F">
            <w:pPr>
              <w:suppressAutoHyphens/>
              <w:spacing w:before="0" w:line="240" w:lineRule="auto"/>
              <w:jc w:val="center"/>
              <w:rPr>
                <w:rFonts w:asciiTheme="minorHAnsi" w:hAnsiTheme="minorHAnsi"/>
                <w:b/>
                <w:bCs/>
                <w:sz w:val="20"/>
              </w:rPr>
            </w:pPr>
            <w:r w:rsidRPr="009C50CC">
              <w:rPr>
                <w:rFonts w:asciiTheme="minorHAnsi" w:hAnsiTheme="minorHAnsi"/>
                <w:b/>
                <w:bCs/>
                <w:sz w:val="20"/>
              </w:rPr>
              <w:t>Jednostka miary</w:t>
            </w:r>
          </w:p>
        </w:tc>
        <w:tc>
          <w:tcPr>
            <w:tcW w:w="2061" w:type="pct"/>
            <w:shd w:val="clear" w:color="auto" w:fill="auto"/>
            <w:vAlign w:val="center"/>
          </w:tcPr>
          <w:p w14:paraId="11732627" w14:textId="77777777" w:rsidR="005657D8" w:rsidRPr="009C50CC" w:rsidRDefault="005657D8" w:rsidP="0076746F">
            <w:pPr>
              <w:suppressAutoHyphens/>
              <w:spacing w:before="0" w:line="240" w:lineRule="auto"/>
              <w:jc w:val="center"/>
              <w:rPr>
                <w:rFonts w:asciiTheme="minorHAnsi" w:hAnsiTheme="minorHAnsi"/>
                <w:b/>
                <w:sz w:val="20"/>
              </w:rPr>
            </w:pPr>
            <w:r w:rsidRPr="009C50CC">
              <w:rPr>
                <w:rFonts w:asciiTheme="minorHAnsi" w:hAnsiTheme="minorHAnsi"/>
                <w:b/>
                <w:bCs/>
                <w:sz w:val="20"/>
              </w:rPr>
              <w:t>Definicja wskaźnika</w:t>
            </w:r>
          </w:p>
        </w:tc>
        <w:tc>
          <w:tcPr>
            <w:tcW w:w="1049" w:type="pct"/>
            <w:vAlign w:val="center"/>
          </w:tcPr>
          <w:p w14:paraId="098B5F1E" w14:textId="77777777" w:rsidR="005657D8" w:rsidRPr="009C50CC" w:rsidRDefault="007E025A" w:rsidP="0076746F">
            <w:pPr>
              <w:suppressAutoHyphens/>
              <w:spacing w:before="0" w:line="240" w:lineRule="auto"/>
              <w:jc w:val="center"/>
              <w:rPr>
                <w:rFonts w:asciiTheme="minorHAnsi" w:hAnsiTheme="minorHAnsi"/>
                <w:b/>
                <w:bCs/>
                <w:sz w:val="20"/>
              </w:rPr>
            </w:pPr>
            <w:r w:rsidRPr="009C50CC">
              <w:rPr>
                <w:rFonts w:asciiTheme="minorHAnsi" w:hAnsiTheme="minorHAnsi"/>
                <w:b/>
                <w:bCs/>
                <w:sz w:val="20"/>
              </w:rPr>
              <w:t>Rodzaj dokumentu, w </w:t>
            </w:r>
            <w:r w:rsidR="005657D8" w:rsidRPr="009C50CC">
              <w:rPr>
                <w:rFonts w:asciiTheme="minorHAnsi" w:hAnsiTheme="minorHAnsi"/>
                <w:b/>
                <w:bCs/>
                <w:sz w:val="20"/>
              </w:rPr>
              <w:t>którym określono wskaźnik</w:t>
            </w:r>
          </w:p>
        </w:tc>
      </w:tr>
      <w:tr w:rsidR="00F11BCC" w:rsidRPr="00F11BCC" w14:paraId="22A4ECE7" w14:textId="77777777" w:rsidTr="008940B1">
        <w:trPr>
          <w:trHeight w:val="20"/>
          <w:jc w:val="center"/>
        </w:trPr>
        <w:tc>
          <w:tcPr>
            <w:tcW w:w="1189" w:type="pct"/>
            <w:shd w:val="clear" w:color="auto" w:fill="auto"/>
          </w:tcPr>
          <w:p w14:paraId="429BF271" w14:textId="77777777" w:rsidR="00BC18C8" w:rsidRPr="00F11BCC" w:rsidRDefault="009C50CC" w:rsidP="0076746F">
            <w:pPr>
              <w:spacing w:before="40" w:after="40" w:line="240" w:lineRule="auto"/>
              <w:contextualSpacing/>
              <w:jc w:val="both"/>
              <w:rPr>
                <w:rFonts w:asciiTheme="minorHAnsi" w:hAnsiTheme="minorHAnsi" w:cs="Arial"/>
                <w:sz w:val="20"/>
              </w:rPr>
            </w:pPr>
            <w:r w:rsidRPr="00F11BCC">
              <w:rPr>
                <w:rFonts w:asciiTheme="minorHAnsi" w:hAnsiTheme="minorHAnsi" w:cs="Arial"/>
                <w:sz w:val="20"/>
              </w:rPr>
              <w:t>Ilość zaoszczędzonej energii elektrycznej</w:t>
            </w:r>
          </w:p>
        </w:tc>
        <w:tc>
          <w:tcPr>
            <w:tcW w:w="701" w:type="pct"/>
          </w:tcPr>
          <w:p w14:paraId="73B0C29F" w14:textId="77777777" w:rsidR="00BC18C8" w:rsidRPr="00F11BCC" w:rsidRDefault="009C50CC" w:rsidP="0076746F">
            <w:pPr>
              <w:spacing w:before="0" w:line="240" w:lineRule="auto"/>
              <w:rPr>
                <w:rFonts w:asciiTheme="minorHAnsi" w:hAnsiTheme="minorHAnsi" w:cs="ArialNarrow"/>
                <w:sz w:val="20"/>
              </w:rPr>
            </w:pPr>
            <w:r w:rsidRPr="00F11BCC">
              <w:rPr>
                <w:rFonts w:asciiTheme="minorHAnsi" w:hAnsiTheme="minorHAnsi" w:cs="ArialNarrow"/>
                <w:sz w:val="20"/>
              </w:rPr>
              <w:t>MWh/rok</w:t>
            </w:r>
          </w:p>
        </w:tc>
        <w:tc>
          <w:tcPr>
            <w:tcW w:w="2061" w:type="pct"/>
            <w:shd w:val="clear" w:color="auto" w:fill="auto"/>
          </w:tcPr>
          <w:p w14:paraId="5F274B57" w14:textId="77777777" w:rsidR="00F11BCC"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t xml:space="preserve">Ilość zaoszczędzonej w wyniku realizacji projektu energii elektrycznej w dystrybucji w ciągu pełnego roku po zakończeniu projektu w stosunku do roku bazowego. </w:t>
            </w:r>
          </w:p>
          <w:p w14:paraId="018232EF" w14:textId="77777777" w:rsidR="00F11BCC"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t>W przypadku przedsiębiorstw produkcyjnych: różnica między rocznym zużyciem energii elektrycznej</w:t>
            </w:r>
          </w:p>
          <w:p w14:paraId="7AE8A4A2" w14:textId="77777777" w:rsidR="00F11BCC"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t xml:space="preserve">w roku bazowym w stosunku do rocznego zużycia energii elektrycznej po zakończeniu projektu, skorygowana w przypadku zmiany wielkości produkcji. </w:t>
            </w:r>
          </w:p>
          <w:p w14:paraId="4A00C254" w14:textId="77777777" w:rsidR="00BC18C8"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t>W przypadku modernizacji energetycznej budynków: różnica między rocznym zużyciem energii elektrycznej w roku bazowym w stosunku do rocznego zużycia energii elektrycznej po zakończeniu projektu.</w:t>
            </w:r>
          </w:p>
        </w:tc>
        <w:tc>
          <w:tcPr>
            <w:tcW w:w="1049" w:type="pct"/>
          </w:tcPr>
          <w:p w14:paraId="1A2BF00D" w14:textId="563AC9A8" w:rsidR="00BC18C8" w:rsidRPr="00F11BCC" w:rsidRDefault="00B35610" w:rsidP="0076746F">
            <w:pPr>
              <w:spacing w:before="0" w:line="240" w:lineRule="auto"/>
              <w:jc w:val="center"/>
              <w:rPr>
                <w:rFonts w:asciiTheme="minorHAnsi" w:hAnsiTheme="minorHAnsi"/>
                <w:sz w:val="20"/>
              </w:rPr>
            </w:pPr>
            <w:r>
              <w:rPr>
                <w:rFonts w:asciiTheme="minorHAnsi" w:hAnsiTheme="minorHAnsi"/>
                <w:sz w:val="20"/>
              </w:rPr>
              <w:t>RPO</w:t>
            </w:r>
          </w:p>
        </w:tc>
      </w:tr>
      <w:tr w:rsidR="009C50CC" w:rsidRPr="009C50CC" w14:paraId="1B8560DB" w14:textId="77777777" w:rsidTr="002F3353">
        <w:trPr>
          <w:trHeight w:val="20"/>
          <w:jc w:val="center"/>
        </w:trPr>
        <w:tc>
          <w:tcPr>
            <w:tcW w:w="1189" w:type="pct"/>
            <w:shd w:val="clear" w:color="auto" w:fill="auto"/>
          </w:tcPr>
          <w:p w14:paraId="2C212D04" w14:textId="77777777" w:rsidR="00BC18C8" w:rsidRPr="009C50CC" w:rsidRDefault="00BC18C8" w:rsidP="0076746F">
            <w:pPr>
              <w:spacing w:before="0" w:line="240" w:lineRule="auto"/>
              <w:rPr>
                <w:rFonts w:asciiTheme="minorHAnsi" w:hAnsiTheme="minorHAnsi"/>
                <w:sz w:val="20"/>
              </w:rPr>
            </w:pPr>
            <w:r w:rsidRPr="009C50CC">
              <w:rPr>
                <w:rFonts w:asciiTheme="minorHAnsi" w:hAnsiTheme="minorHAnsi"/>
                <w:sz w:val="20"/>
              </w:rPr>
              <w:t xml:space="preserve">Szacowany roczny spadek emisji gazów cieplarnianych (CI 34) </w:t>
            </w:r>
          </w:p>
        </w:tc>
        <w:tc>
          <w:tcPr>
            <w:tcW w:w="701" w:type="pct"/>
          </w:tcPr>
          <w:p w14:paraId="0FC8B6CA" w14:textId="77777777" w:rsidR="00BC18C8" w:rsidRPr="009C50CC" w:rsidRDefault="00BC18C8" w:rsidP="0076746F">
            <w:pPr>
              <w:spacing w:before="0" w:line="240" w:lineRule="auto"/>
              <w:rPr>
                <w:rFonts w:asciiTheme="minorHAnsi" w:hAnsiTheme="minorHAnsi" w:cs="ArialNarrow"/>
                <w:sz w:val="20"/>
              </w:rPr>
            </w:pPr>
            <w:r w:rsidRPr="009C50CC">
              <w:rPr>
                <w:rFonts w:asciiTheme="minorHAnsi" w:hAnsiTheme="minorHAnsi"/>
                <w:sz w:val="20"/>
              </w:rPr>
              <w:t>tony równoważnika CO</w:t>
            </w:r>
            <w:r w:rsidRPr="009C50CC">
              <w:rPr>
                <w:rFonts w:asciiTheme="minorHAnsi" w:hAnsiTheme="minorHAnsi"/>
                <w:sz w:val="20"/>
                <w:vertAlign w:val="subscript"/>
              </w:rPr>
              <w:t>2</w:t>
            </w:r>
          </w:p>
        </w:tc>
        <w:tc>
          <w:tcPr>
            <w:tcW w:w="2061" w:type="pct"/>
            <w:shd w:val="clear" w:color="auto" w:fill="auto"/>
            <w:vAlign w:val="center"/>
          </w:tcPr>
          <w:p w14:paraId="22193009"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Tłumaczenie robocze:</w:t>
            </w:r>
          </w:p>
          <w:p w14:paraId="3B549C24" w14:textId="77777777" w:rsidR="00BC18C8" w:rsidRPr="009C50CC" w:rsidRDefault="00BC18C8" w:rsidP="0076746F">
            <w:pPr>
              <w:spacing w:line="240" w:lineRule="auto"/>
              <w:jc w:val="both"/>
              <w:rPr>
                <w:rFonts w:asciiTheme="minorHAnsi" w:hAnsiTheme="minorHAnsi"/>
                <w:sz w:val="20"/>
              </w:rPr>
            </w:pPr>
            <w:r w:rsidRPr="009C50CC">
              <w:rPr>
                <w:rFonts w:asciiTheme="minorHAnsi" w:hAnsiTheme="minorHAnsi"/>
                <w:sz w:val="20"/>
              </w:rPr>
              <w:t xml:space="preserve">Wskaźnik ten jest liczony dla interwencji bezpośrednio zwiększających produkcję energii ze źródeł odnawialnych (patrz wskaźnik 30) lub zmniejszających zużycie energii za pomocą działań uzyskujących oszczędność energii (patrz wskaźniki 31 i 32), dlatego też jego stosowanie jest obowiązkowe tylko w przypadkach, gdzie wskaźniki te są istotne. Stosowanie </w:t>
            </w:r>
            <w:r w:rsidRPr="009C50CC">
              <w:rPr>
                <w:rFonts w:asciiTheme="minorHAnsi" w:hAnsiTheme="minorHAnsi"/>
                <w:sz w:val="20"/>
              </w:rPr>
              <w:lastRenderedPageBreak/>
              <w:t>wskaźnika w przypadku innych interwencji, gdzie możliwe są skutki emisji gazów cieplarnianych, jest opcjonalne przy użyciu metodologii opracowanej przez IZ. Wskaźnik pokaże całkowity szacowany roczny spadek na koniec okresu, a nie całkowity spadek w całym okresie.</w:t>
            </w:r>
          </w:p>
          <w:p w14:paraId="37F6E6DF" w14:textId="77777777" w:rsidR="00BC18C8" w:rsidRPr="009C50CC" w:rsidRDefault="00BC18C8" w:rsidP="0076746F">
            <w:pPr>
              <w:spacing w:line="240" w:lineRule="auto"/>
              <w:jc w:val="both"/>
              <w:rPr>
                <w:rFonts w:asciiTheme="minorHAnsi" w:hAnsiTheme="minorHAnsi"/>
                <w:sz w:val="20"/>
              </w:rPr>
            </w:pPr>
            <w:r w:rsidRPr="009C50CC">
              <w:rPr>
                <w:rFonts w:asciiTheme="minorHAnsi" w:hAnsiTheme="minorHAnsi"/>
                <w:sz w:val="20"/>
              </w:rPr>
              <w:t>W przypadku produkcji energii odnawialnej, prognoza opiera się na ilości energii pierwotnej produkowanej przez wsparte przedsiębiorstwa/ podmioty w danym roku (albo rok po zakończeniu projektu lub rok 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14:paraId="1603D208" w14:textId="77777777" w:rsidR="00BC18C8" w:rsidRPr="009C50CC" w:rsidRDefault="00BC18C8" w:rsidP="0076746F">
            <w:pPr>
              <w:spacing w:line="240" w:lineRule="auto"/>
              <w:jc w:val="both"/>
              <w:rPr>
                <w:rFonts w:asciiTheme="minorHAnsi" w:hAnsiTheme="minorHAnsi"/>
                <w:sz w:val="20"/>
              </w:rPr>
            </w:pPr>
            <w:r w:rsidRPr="009C50CC">
              <w:rPr>
                <w:rFonts w:asciiTheme="minorHAnsi" w:hAnsiTheme="minorHAnsi"/>
                <w:sz w:val="20"/>
              </w:rPr>
              <w:t>W przypadku działań uzyskujących oszczędność energii, prognoza opiera się na ilości energii pierwotnej oszczędzonej w danym roku w ramach wspieranych operacji (albo rok po zakończeniu projektu, albo rok kalendarzowy po zakończeniu projektu). Zaoszczędzona energia ma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14:paraId="2B9D284B" w14:textId="77777777" w:rsidR="00BC18C8" w:rsidRPr="009C50CC" w:rsidRDefault="00BC18C8" w:rsidP="0076746F">
            <w:pPr>
              <w:spacing w:line="240" w:lineRule="auto"/>
              <w:jc w:val="both"/>
              <w:rPr>
                <w:rFonts w:asciiTheme="minorHAnsi" w:hAnsiTheme="minorHAnsi"/>
                <w:sz w:val="20"/>
                <w:lang w:val="en-US"/>
              </w:rPr>
            </w:pPr>
            <w:r w:rsidRPr="009C50CC">
              <w:rPr>
                <w:rFonts w:asciiTheme="minorHAnsi" w:hAnsiTheme="minorHAnsi"/>
                <w:sz w:val="20"/>
                <w:lang w:val="en-US"/>
              </w:rPr>
              <w:t>This indicator is calculated for interventions directly aiming to increase renewable energy production (see indicator 30) or to decrease energy consumption through energy saving measures (see indicators 31 and 32), thus its use is mandatory only where these indicators are relevant. Uses for other interventions with possible GHG impact are optional with methodology developed by the MA. The indicator will show the total estimated of annual decrease by the end of the period, not the total decrease throughout the period.</w:t>
            </w:r>
          </w:p>
          <w:p w14:paraId="471F7F3E" w14:textId="77777777" w:rsidR="00BC18C8" w:rsidRPr="009C50CC" w:rsidRDefault="00BC18C8" w:rsidP="0076746F">
            <w:pPr>
              <w:spacing w:line="240" w:lineRule="auto"/>
              <w:jc w:val="both"/>
              <w:rPr>
                <w:rFonts w:asciiTheme="minorHAnsi" w:hAnsiTheme="minorHAnsi"/>
                <w:sz w:val="20"/>
                <w:lang w:val="en-US"/>
              </w:rPr>
            </w:pPr>
            <w:r w:rsidRPr="009C50CC">
              <w:rPr>
                <w:rFonts w:asciiTheme="minorHAnsi" w:hAnsiTheme="minorHAnsi"/>
                <w:sz w:val="20"/>
                <w:lang w:val="en-US"/>
              </w:rPr>
              <w:lastRenderedPageBreak/>
              <w:t>In case of renewable energy production, the estimate is based on the amount of primary energy produced by supported facilities in a given year (either one year following project completion or the calendar year after project completion). Renewable energy is supposed to be GHG neutral and replacing non-renewable energy production. GHG impact of nonrenewable energy is estimated through the MS total GHG emission per unit of non-renewable energy production.</w:t>
            </w:r>
          </w:p>
          <w:p w14:paraId="1E6137A1" w14:textId="77777777" w:rsidR="00BC18C8" w:rsidRPr="009C50CC" w:rsidRDefault="00BC18C8" w:rsidP="0076746F">
            <w:pPr>
              <w:spacing w:line="240" w:lineRule="auto"/>
              <w:jc w:val="both"/>
              <w:rPr>
                <w:rFonts w:asciiTheme="minorHAnsi" w:hAnsiTheme="minorHAnsi"/>
                <w:sz w:val="20"/>
                <w:lang w:val="en-US"/>
              </w:rPr>
            </w:pPr>
            <w:r w:rsidRPr="009C50CC">
              <w:rPr>
                <w:rFonts w:asciiTheme="minorHAnsi" w:hAnsiTheme="minorHAnsi"/>
                <w:sz w:val="20"/>
                <w:lang w:val="en-US"/>
              </w:rPr>
              <w:t>In case of energy saving measures, the estimate is based on the amount of primary energy saved through in a given year supported operations (either one year following project completion or the calendar year after project completion). Saved energy is supposed to be replacing non-renewable energy production. GHG impact of non-renewable energy is estimated through the MS total GHG emission per unit of non-renewable energy production.</w:t>
            </w:r>
          </w:p>
        </w:tc>
        <w:tc>
          <w:tcPr>
            <w:tcW w:w="1049" w:type="pct"/>
          </w:tcPr>
          <w:p w14:paraId="129FE79E" w14:textId="52CE4E88" w:rsidR="00BC18C8" w:rsidRPr="009C50CC" w:rsidRDefault="00B35610" w:rsidP="0076746F">
            <w:pPr>
              <w:spacing w:before="0" w:line="240" w:lineRule="auto"/>
              <w:jc w:val="center"/>
              <w:rPr>
                <w:rFonts w:asciiTheme="minorHAnsi" w:hAnsiTheme="minorHAnsi"/>
                <w:sz w:val="20"/>
              </w:rPr>
            </w:pPr>
            <w:r>
              <w:rPr>
                <w:rFonts w:asciiTheme="minorHAnsi" w:hAnsiTheme="minorHAnsi"/>
                <w:sz w:val="20"/>
              </w:rPr>
              <w:lastRenderedPageBreak/>
              <w:t>RPO</w:t>
            </w:r>
          </w:p>
        </w:tc>
      </w:tr>
      <w:tr w:rsidR="009C50CC" w:rsidRPr="009C50CC" w14:paraId="3A7E636F" w14:textId="77777777" w:rsidTr="007E2D2C">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66E17DD5" w14:textId="77777777" w:rsidR="00BC18C8" w:rsidRPr="009C50CC"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lastRenderedPageBreak/>
              <w:t>Wzrost zatrudnienia we wspieranych podmiotach (innych niż przedsiębiorstwa)</w:t>
            </w:r>
          </w:p>
          <w:p w14:paraId="73A55122" w14:textId="77777777" w:rsidR="00BC18C8" w:rsidRPr="009C50CC"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66FC0" w14:textId="77777777" w:rsidR="00BC18C8" w:rsidRPr="009C50CC" w:rsidRDefault="00BC18C8" w:rsidP="0076746F">
            <w:pPr>
              <w:spacing w:before="0" w:line="240" w:lineRule="auto"/>
              <w:jc w:val="center"/>
              <w:rPr>
                <w:rFonts w:asciiTheme="minorHAnsi" w:hAnsiTheme="minorHAnsi" w:cs="ArialNarrow"/>
                <w:sz w:val="20"/>
              </w:rPr>
            </w:pPr>
            <w:r w:rsidRPr="009C50CC">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599EFE4"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 xml:space="preserve">Nowe miejsca pracy brutto we wspartych  podmiotach wyrażone w ekwiwalencie pełnego czasu pracy (EPC). </w:t>
            </w:r>
          </w:p>
          <w:p w14:paraId="5D94E12E"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 xml:space="preserve">Wskaźnik ukazuje zmianę "przed-po" </w:t>
            </w:r>
            <w:r w:rsidRPr="009C50CC">
              <w:rPr>
                <w:rFonts w:asciiTheme="minorHAnsi" w:hAnsiTheme="minorHAnsi"/>
                <w:sz w:val="20"/>
              </w:rPr>
              <w:br/>
              <w:t xml:space="preserve">i obejmuje część wzrostu zatrudnienia </w:t>
            </w:r>
            <w:r w:rsidRPr="009C50CC">
              <w:rPr>
                <w:rFonts w:asciiTheme="minorHAnsi" w:hAnsiTheme="minorHAnsi"/>
                <w:sz w:val="20"/>
              </w:rPr>
              <w:br/>
              <w:t xml:space="preserve">w podmiocie będącego bezpośrednim skutkiem zakończenia realizacji projektu (nie są wliczani pracownicy zatrudnieni do realizacji projektu). </w:t>
            </w:r>
          </w:p>
          <w:p w14:paraId="338F9C5F" w14:textId="77777777" w:rsidR="00BC18C8" w:rsidRPr="009C50CC" w:rsidRDefault="00BC18C8" w:rsidP="0076746F">
            <w:pPr>
              <w:spacing w:before="0" w:after="240" w:line="240" w:lineRule="auto"/>
              <w:jc w:val="both"/>
              <w:rPr>
                <w:rFonts w:asciiTheme="minorHAnsi" w:hAnsiTheme="minorHAnsi"/>
                <w:sz w:val="20"/>
              </w:rPr>
            </w:pPr>
            <w:r w:rsidRPr="009C50CC">
              <w:rPr>
                <w:rFonts w:asciiTheme="minorHAnsi" w:hAnsiTheme="minorHAnsi"/>
                <w:sz w:val="20"/>
              </w:rPr>
              <w:t>Uwzględnia się obsadzone miejsca pracy (wakaty nie są liczone), które zwiększają łączną liczbę miejsc pracy w podmiocie. Brak wzrostu w całkowitym zatrudnieniu w podmiocie oznacza, że wartość wskaźnika jest równa zero, co traktuje się jako wyrównanie miejsc pracy, a nie wzrost. Nie wlicza się miejsc pracy, np. utrzymanych dzięki realizacji projektu.</w:t>
            </w:r>
          </w:p>
          <w:p w14:paraId="276EA940" w14:textId="77777777" w:rsidR="00BC18C8" w:rsidRPr="009C50CC" w:rsidRDefault="00BC18C8" w:rsidP="0076746F">
            <w:pPr>
              <w:spacing w:before="0" w:after="240" w:line="240" w:lineRule="auto"/>
              <w:jc w:val="both"/>
              <w:rPr>
                <w:rFonts w:asciiTheme="minorHAnsi" w:hAnsiTheme="minorHAnsi"/>
                <w:sz w:val="20"/>
              </w:rPr>
            </w:pPr>
            <w:r w:rsidRPr="009C50CC">
              <w:rPr>
                <w:rFonts w:asciiTheme="minorHAnsi" w:hAnsiTheme="minorHAnsi"/>
                <w:sz w:val="20"/>
              </w:rPr>
              <w:t>Brutto: Nie uwzględniamy miejsca pracy otrzymanego w wyniku zmian wewnątrz podmiocie, dopóki nie przyczyni się to do całkowitego wzrostu liczby miejsc pracy.. Wskaźnik powinien być zastosowany, jeżeli wzrost zatrudnienia może być wiarygodnie przypisany do wsparcia w ramach projektu.</w:t>
            </w:r>
          </w:p>
          <w:p w14:paraId="5B5FD3B1"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 xml:space="preserve">Ekwiwalent pełnego czasu pracy: miejsca pracy mogą być pełnoetatowe, na część etatu lub sezonowe, przy czym etaty częściowe podlegają sumowaniu lecz nie są </w:t>
            </w:r>
            <w:r w:rsidRPr="009C50CC">
              <w:rPr>
                <w:rFonts w:asciiTheme="minorHAnsi" w:hAnsiTheme="minorHAnsi"/>
                <w:sz w:val="20"/>
              </w:rPr>
              <w:lastRenderedPageBreak/>
              <w:t>zaokrąglane do pełnych jednostek. Zatrudnienie sezonowe i na część etatu przelicza się na EPC z wykorzystaniem standardów ILO (Międzynarodowa Organizacja Pracy)</w:t>
            </w:r>
            <w:r w:rsidR="00D11D19" w:rsidRPr="009C50CC">
              <w:rPr>
                <w:rFonts w:asciiTheme="minorHAnsi" w:hAnsiTheme="minorHAnsi"/>
                <w:sz w:val="20"/>
              </w:rPr>
              <w:t xml:space="preserve"> </w:t>
            </w:r>
            <w:r w:rsidRPr="009C50CC">
              <w:rPr>
                <w:rFonts w:asciiTheme="minorHAnsi" w:hAnsiTheme="minorHAnsi"/>
                <w:sz w:val="20"/>
              </w:rPr>
              <w:t>/ statystycznych</w:t>
            </w:r>
            <w:r w:rsidR="00D11D19" w:rsidRPr="009C50CC">
              <w:rPr>
                <w:rFonts w:asciiTheme="minorHAnsi" w:hAnsiTheme="minorHAnsi"/>
                <w:sz w:val="20"/>
              </w:rPr>
              <w:t xml:space="preserve">  </w:t>
            </w:r>
            <w:r w:rsidRPr="009C50CC">
              <w:rPr>
                <w:rFonts w:asciiTheme="minorHAnsi" w:hAnsiTheme="minorHAnsi"/>
                <w:sz w:val="20"/>
              </w:rPr>
              <w:t xml:space="preserve">/innych. </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0649062B"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lastRenderedPageBreak/>
              <w:t>horyzontalny</w:t>
            </w:r>
          </w:p>
        </w:tc>
      </w:tr>
      <w:tr w:rsidR="009C50CC" w:rsidRPr="009C50CC" w14:paraId="446DF87F" w14:textId="77777777" w:rsidTr="007E2D2C">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6C4840ED" w14:textId="77777777" w:rsidR="00BC18C8"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Liczba utrzymanych miejsc pracy</w:t>
            </w:r>
          </w:p>
          <w:p w14:paraId="1DB95B90" w14:textId="2AEFAE0C" w:rsidR="00B35610" w:rsidRPr="009C50CC" w:rsidRDefault="00B35610"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FA6CAA" w14:textId="77777777" w:rsidR="00BC18C8" w:rsidRPr="009C50CC" w:rsidRDefault="00BC18C8" w:rsidP="0076746F">
            <w:pPr>
              <w:spacing w:before="0" w:line="240" w:lineRule="auto"/>
              <w:jc w:val="center"/>
              <w:rPr>
                <w:rFonts w:asciiTheme="minorHAnsi" w:hAnsiTheme="minorHAnsi" w:cs="ArialNarrow"/>
                <w:sz w:val="20"/>
              </w:rPr>
            </w:pPr>
            <w:r w:rsidRPr="009C50CC">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27AF4B" w14:textId="77777777" w:rsidR="00BC18C8" w:rsidRPr="009C50CC" w:rsidRDefault="00BC18C8" w:rsidP="0076746F">
            <w:pPr>
              <w:autoSpaceDE w:val="0"/>
              <w:autoSpaceDN w:val="0"/>
              <w:adjustRightInd w:val="0"/>
              <w:spacing w:before="0" w:line="240" w:lineRule="auto"/>
              <w:jc w:val="both"/>
              <w:rPr>
                <w:rFonts w:asciiTheme="minorHAnsi" w:eastAsiaTheme="minorHAnsi" w:hAnsiTheme="minorHAnsi" w:cstheme="minorBidi"/>
                <w:sz w:val="20"/>
                <w:lang w:eastAsia="en-US"/>
              </w:rPr>
            </w:pPr>
            <w:r w:rsidRPr="009C50CC">
              <w:rPr>
                <w:rFonts w:asciiTheme="minorHAnsi" w:eastAsiaTheme="minorHAnsi" w:hAnsiTheme="minorHAnsi" w:cstheme="minorBidi"/>
                <w:sz w:val="20"/>
                <w:lang w:eastAsia="en-US"/>
              </w:rPr>
              <w:t>Miejsca pracy utworzone w wyniku realizacji projektu, lecz nie powodują wzrostu zatrudnienia w organizacji</w:t>
            </w:r>
            <w:r w:rsidR="00D11D19" w:rsidRPr="009C50CC">
              <w:rPr>
                <w:rFonts w:asciiTheme="minorHAnsi" w:eastAsiaTheme="minorHAnsi" w:hAnsiTheme="minorHAnsi" w:cstheme="minorBidi"/>
                <w:sz w:val="20"/>
                <w:lang w:eastAsia="en-US"/>
              </w:rPr>
              <w:t>.</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7C9BB3"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t>horyzontalny</w:t>
            </w:r>
          </w:p>
        </w:tc>
      </w:tr>
      <w:tr w:rsidR="009C50CC" w:rsidRPr="009C50CC" w14:paraId="510F66BD" w14:textId="77777777" w:rsidTr="007E2D2C">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16CA6C8C" w14:textId="77777777" w:rsidR="00BC18C8"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 xml:space="preserve">Liczba nowo utworzonych miejsc pracy - pozostałe formy </w:t>
            </w:r>
          </w:p>
          <w:p w14:paraId="49E2EB24" w14:textId="6EB300A9" w:rsidR="00B35610" w:rsidRPr="009C50CC" w:rsidRDefault="00B35610"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163971A" w14:textId="77777777" w:rsidR="00BC18C8" w:rsidRPr="009C50CC" w:rsidRDefault="00BC18C8" w:rsidP="0076746F">
            <w:pPr>
              <w:spacing w:before="0" w:line="240" w:lineRule="auto"/>
              <w:jc w:val="center"/>
              <w:rPr>
                <w:rFonts w:asciiTheme="minorHAnsi" w:hAnsiTheme="minorHAnsi" w:cs="ArialNarrow"/>
                <w:sz w:val="20"/>
              </w:rPr>
            </w:pPr>
            <w:r w:rsidRPr="009C50CC">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04A87DD1" w14:textId="77777777" w:rsidR="00BC18C8" w:rsidRPr="009C50CC" w:rsidRDefault="00BC18C8" w:rsidP="0076746F">
            <w:pPr>
              <w:autoSpaceDE w:val="0"/>
              <w:autoSpaceDN w:val="0"/>
              <w:adjustRightInd w:val="0"/>
              <w:spacing w:before="0" w:line="240" w:lineRule="auto"/>
              <w:jc w:val="both"/>
              <w:rPr>
                <w:rFonts w:asciiTheme="minorHAnsi" w:eastAsiaTheme="minorHAnsi" w:hAnsiTheme="minorHAnsi" w:cs="Verdana"/>
                <w:sz w:val="20"/>
                <w:lang w:eastAsia="en-US"/>
              </w:rPr>
            </w:pPr>
            <w:r w:rsidRPr="009C50CC">
              <w:rPr>
                <w:rFonts w:asciiTheme="minorHAnsi" w:eastAsiaTheme="minorHAnsi" w:hAnsiTheme="minorHAnsi" w:cstheme="minorBidi"/>
                <w:iCs/>
                <w:sz w:val="20"/>
                <w:lang w:eastAsia="en-US"/>
              </w:rPr>
              <w:t>Pozostałe formy</w:t>
            </w:r>
            <w:r w:rsidRPr="009C50CC">
              <w:rPr>
                <w:rFonts w:asciiTheme="minorHAnsi" w:eastAsiaTheme="minorHAnsi" w:hAnsiTheme="minorHAnsi" w:cs="Verdana"/>
                <w:sz w:val="20"/>
                <w:lang w:eastAsia="en-US"/>
              </w:rPr>
              <w:t>, np. umowy cywilnoprawne, miejsca pracy do obsługi projektu, nietrwałe miejsca pracy</w:t>
            </w:r>
            <w:r w:rsidR="00F0154B" w:rsidRPr="009C50CC">
              <w:rPr>
                <w:rFonts w:asciiTheme="minorHAnsi" w:eastAsiaTheme="minorHAnsi" w:hAnsiTheme="minorHAnsi" w:cs="Verdana"/>
                <w:sz w:val="20"/>
                <w:lang w:eastAsia="en-US"/>
              </w:rPr>
              <w:t xml:space="preserve"> (wskaźnik ma charakter informacyjny).</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4EEF6556"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t>horyzontalny</w:t>
            </w:r>
          </w:p>
        </w:tc>
      </w:tr>
    </w:tbl>
    <w:p w14:paraId="56E539F9" w14:textId="77777777" w:rsidR="00C912B2" w:rsidRPr="00BA387E" w:rsidRDefault="00C912B2" w:rsidP="0076746F">
      <w:pPr>
        <w:autoSpaceDE w:val="0"/>
        <w:autoSpaceDN w:val="0"/>
        <w:adjustRightInd w:val="0"/>
        <w:spacing w:before="120" w:after="120" w:line="240" w:lineRule="auto"/>
        <w:jc w:val="both"/>
        <w:rPr>
          <w:rFonts w:asciiTheme="minorHAnsi" w:eastAsiaTheme="minorHAnsi" w:hAnsiTheme="minorHAnsi" w:cs="Arial"/>
          <w:color w:val="FF0000"/>
          <w:sz w:val="20"/>
          <w:lang w:eastAsia="en-US"/>
        </w:rPr>
      </w:pPr>
    </w:p>
    <w:p w14:paraId="32EDF314" w14:textId="77777777" w:rsidR="00DF6D97" w:rsidRPr="009C50CC" w:rsidRDefault="00DF6D97" w:rsidP="0076746F">
      <w:pPr>
        <w:autoSpaceDE w:val="0"/>
        <w:autoSpaceDN w:val="0"/>
        <w:adjustRightInd w:val="0"/>
        <w:spacing w:before="120" w:after="120" w:line="240" w:lineRule="auto"/>
        <w:jc w:val="both"/>
        <w:rPr>
          <w:rFonts w:asciiTheme="minorHAnsi" w:eastAsiaTheme="minorHAnsi" w:hAnsiTheme="minorHAnsi" w:cs="Arial"/>
          <w:sz w:val="20"/>
          <w:lang w:eastAsia="en-US"/>
        </w:rPr>
      </w:pPr>
      <w:r w:rsidRPr="009C50CC">
        <w:rPr>
          <w:rFonts w:asciiTheme="minorHAnsi" w:eastAsiaTheme="minorHAnsi" w:hAnsiTheme="minorHAnsi" w:cs="Arial"/>
          <w:sz w:val="20"/>
          <w:lang w:eastAsia="en-US"/>
        </w:rPr>
        <w:t xml:space="preserve">W ramach wniosku o dofinansowanie Wnioskodawca ma obowiązek uwzględnić </w:t>
      </w:r>
      <w:r w:rsidRPr="009C50CC">
        <w:rPr>
          <w:rFonts w:asciiTheme="minorHAnsi" w:eastAsiaTheme="minorHAnsi" w:hAnsiTheme="minorHAnsi" w:cs="Arial"/>
          <w:b/>
          <w:sz w:val="20"/>
          <w:lang w:eastAsia="en-US"/>
        </w:rPr>
        <w:t>wszystkie adekwatne</w:t>
      </w:r>
      <w:r w:rsidRPr="009C50CC">
        <w:rPr>
          <w:rFonts w:asciiTheme="minorHAnsi" w:eastAsiaTheme="minorHAnsi" w:hAnsiTheme="minorHAnsi" w:cs="Arial"/>
          <w:sz w:val="20"/>
          <w:lang w:eastAsia="en-US"/>
        </w:rPr>
        <w:t xml:space="preserve"> wskaźniki produktu oraz rezultatu bezpośredniego z listy przedstawionej  w powyższych tabelach, odpowiadające celowi projektu. </w:t>
      </w:r>
      <w:r w:rsidRPr="009C50CC">
        <w:rPr>
          <w:rFonts w:asciiTheme="minorHAnsi" w:hAnsiTheme="minorHAnsi"/>
          <w:sz w:val="20"/>
        </w:rPr>
        <w:t>Dodatkowo w ramach wniosku o dofinansowanie Wnioskodawca może określić inne, dodatkowe wskaźniki specyficzne dla danego projektu, o ile będzie to niezbędne dla prawidłowej realizacji projektu (tzw. wskaźniki projektowe).</w:t>
      </w:r>
    </w:p>
    <w:p w14:paraId="6D931623" w14:textId="77777777" w:rsidR="00DF6D97" w:rsidRPr="009C50CC" w:rsidRDefault="00DF6D97" w:rsidP="0076746F">
      <w:pPr>
        <w:pStyle w:val="Default"/>
        <w:jc w:val="both"/>
        <w:rPr>
          <w:rFonts w:asciiTheme="minorHAnsi" w:eastAsiaTheme="minorHAnsi" w:hAnsiTheme="minorHAnsi" w:cstheme="minorBidi"/>
          <w:lang w:eastAsia="en-US"/>
        </w:rPr>
      </w:pPr>
      <w:r w:rsidRPr="009C50CC">
        <w:rPr>
          <w:rFonts w:asciiTheme="minorHAnsi" w:eastAsiaTheme="minorHAnsi" w:hAnsiTheme="minorHAnsi" w:cstheme="minorBidi"/>
          <w:lang w:eastAsia="en-US"/>
        </w:rPr>
        <w:t>We wniosku o dofinansowanie należy określić, w jaki sposób i na jakiej podstawie mierzone będą wskaźniki realizacji celu projektu poprzez ustalenie źródła weryfikacji</w:t>
      </w:r>
      <w:r w:rsidR="00970181" w:rsidRPr="009C50CC">
        <w:rPr>
          <w:rFonts w:asciiTheme="minorHAnsi" w:eastAsiaTheme="minorHAnsi" w:hAnsiTheme="minorHAnsi" w:cstheme="minorBidi"/>
          <w:lang w:eastAsia="en-US"/>
        </w:rPr>
        <w:t xml:space="preserve"> </w:t>
      </w:r>
      <w:r w:rsidRPr="009C50CC">
        <w:rPr>
          <w:rFonts w:asciiTheme="minorHAnsi" w:eastAsiaTheme="minorHAnsi" w:hAnsiTheme="minorHAnsi" w:cstheme="minorBidi"/>
          <w:lang w:eastAsia="en-US"/>
        </w:rPr>
        <w:t>/</w:t>
      </w:r>
      <w:r w:rsidR="00970181" w:rsidRPr="009C50CC">
        <w:rPr>
          <w:rFonts w:asciiTheme="minorHAnsi" w:eastAsiaTheme="minorHAnsi" w:hAnsiTheme="minorHAnsi" w:cstheme="minorBidi"/>
          <w:lang w:eastAsia="en-US"/>
        </w:rPr>
        <w:t xml:space="preserve"> </w:t>
      </w:r>
      <w:r w:rsidRPr="009C50CC">
        <w:rPr>
          <w:rFonts w:asciiTheme="minorHAnsi" w:eastAsiaTheme="minorHAnsi" w:hAnsiTheme="minorHAnsi" w:cstheme="minorBidi"/>
          <w:lang w:eastAsia="en-US"/>
        </w:rPr>
        <w:t xml:space="preserve">pozyskania danych do pomiaru wskaźnika oraz częstotliwości pomiaru. Dlatego przy określaniu wskaźników należy wziąć pod uwagę dostępność </w:t>
      </w:r>
      <w:r w:rsidR="00DB13A7" w:rsidRPr="009C50CC">
        <w:rPr>
          <w:rFonts w:asciiTheme="minorHAnsi" w:eastAsiaTheme="minorHAnsi" w:hAnsiTheme="minorHAnsi" w:cstheme="minorBidi"/>
          <w:lang w:eastAsia="en-US"/>
        </w:rPr>
        <w:br/>
      </w:r>
      <w:r w:rsidRPr="009C50CC">
        <w:rPr>
          <w:rFonts w:asciiTheme="minorHAnsi" w:eastAsiaTheme="minorHAnsi" w:hAnsiTheme="minorHAnsi" w:cstheme="minorBidi"/>
          <w:lang w:eastAsia="en-US"/>
        </w:rPr>
        <w:t xml:space="preserve">i wiarygodność danych niezbędnych do pomiaru danego wskaźnika. </w:t>
      </w:r>
    </w:p>
    <w:p w14:paraId="3EC52EAE"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Wartość bazowa (tzn. wartość w momencie rozpoczęcia realizacji projektu) w przypadku każdego wskaźnika powinna być wykazana na poziomie „0”.</w:t>
      </w:r>
    </w:p>
    <w:p w14:paraId="2D9CADB1"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 xml:space="preserve">O ile w umowie o dofinansowanie projektu nie wskazano inaczej, efekt wsparcia na poziomie projektu występuje: </w:t>
      </w:r>
    </w:p>
    <w:p w14:paraId="6EC02907"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a) w przypadku wskaźników produktu – w okresie od podpisania umowy o dofinansowanie, przy czym osiągnięte wartości powinny zostać wykazane najpóźniej we wniosku o płatność końcową</w:t>
      </w:r>
      <w:r w:rsidR="00DB13A7" w:rsidRPr="009C50CC">
        <w:rPr>
          <w:rFonts w:asciiTheme="minorHAnsi" w:hAnsiTheme="minorHAnsi" w:cs="Arial"/>
          <w:b/>
          <w:sz w:val="20"/>
          <w:u w:val="single"/>
        </w:rPr>
        <w:t xml:space="preserve"> oraz utrzymane w okresie trwałości projektu</w:t>
      </w:r>
      <w:r w:rsidRPr="009C50CC">
        <w:rPr>
          <w:rFonts w:asciiTheme="minorHAnsi" w:hAnsiTheme="minorHAnsi" w:cs="Arial"/>
          <w:b/>
          <w:sz w:val="20"/>
          <w:u w:val="single"/>
        </w:rPr>
        <w:t xml:space="preserve">, </w:t>
      </w:r>
    </w:p>
    <w:p w14:paraId="5CF2E78E"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 xml:space="preserve">b) w przypadku wskaźników rezultatu określonych na poziomie projektu: </w:t>
      </w:r>
    </w:p>
    <w:p w14:paraId="6DAA0FB8" w14:textId="77777777" w:rsidR="00DB13A7" w:rsidRPr="009C50CC" w:rsidRDefault="00DF6D97" w:rsidP="0076746F">
      <w:pPr>
        <w:pStyle w:val="Akapitzlist"/>
        <w:numPr>
          <w:ilvl w:val="0"/>
          <w:numId w:val="6"/>
        </w:numPr>
        <w:spacing w:before="0" w:after="200" w:line="240" w:lineRule="auto"/>
        <w:ind w:left="1080"/>
        <w:contextualSpacing/>
        <w:jc w:val="both"/>
        <w:rPr>
          <w:rFonts w:ascii="Calibri" w:hAnsi="Calibri"/>
          <w:b/>
          <w:bCs/>
          <w:sz w:val="20"/>
          <w:u w:val="single"/>
        </w:rPr>
      </w:pPr>
      <w:r w:rsidRPr="009C50CC">
        <w:rPr>
          <w:rFonts w:asciiTheme="minorHAnsi" w:hAnsiTheme="minorHAnsi" w:cs="Arial"/>
          <w:b/>
          <w:sz w:val="20"/>
          <w:u w:val="single"/>
        </w:rPr>
        <w:t xml:space="preserve">co do zasady – w okresie 12 miesięcy od zakończenia okresu realizacji projektu określonego w umowie o dofinansowaniu projektu lub, o ile wynika to ze specyfiki projektu, od uruchomienia przedsięwzięcia, </w:t>
      </w:r>
      <w:r w:rsidR="00DB13A7" w:rsidRPr="009C50CC">
        <w:rPr>
          <w:rFonts w:ascii="Calibri" w:hAnsi="Calibri"/>
          <w:b/>
          <w:bCs/>
          <w:sz w:val="20"/>
          <w:u w:val="single"/>
        </w:rPr>
        <w:t>przy czym osiągnięte wartości wykazywane są we wniosku o płatność końcową lub jego korekcie. Wskaźniki rezultatu powinny być utrzymane w okresie trwałości projektu, lub</w:t>
      </w:r>
    </w:p>
    <w:p w14:paraId="3029FD95" w14:textId="77777777" w:rsidR="0032765F" w:rsidRPr="009C50CC" w:rsidRDefault="00DB13A7" w:rsidP="0076746F">
      <w:pPr>
        <w:pStyle w:val="Akapitzlist"/>
        <w:numPr>
          <w:ilvl w:val="0"/>
          <w:numId w:val="6"/>
        </w:numPr>
        <w:spacing w:before="0" w:after="200" w:line="240" w:lineRule="auto"/>
        <w:ind w:left="1080"/>
        <w:contextualSpacing/>
        <w:jc w:val="both"/>
        <w:rPr>
          <w:rFonts w:ascii="Calibri" w:hAnsi="Calibri"/>
          <w:b/>
          <w:bCs/>
          <w:sz w:val="20"/>
          <w:u w:val="single"/>
        </w:rPr>
      </w:pPr>
      <w:r w:rsidRPr="009C50CC">
        <w:rPr>
          <w:rFonts w:ascii="Calibri" w:hAnsi="Calibri"/>
          <w:b/>
          <w:bCs/>
          <w:sz w:val="20"/>
          <w:u w:val="single"/>
        </w:rPr>
        <w:t>w okresie trwałości projektu, na zasadach określonych przez IZ RPO (w umowie o dofinansowanie projektu/decyzji o dofinansowaniu) – w przypadku wskaźników, których termin realizacji został wydłużony na wniosek Beneficjenta i za zgodą IZ RPO, jednak nie później niż do dnia 31.12.2023 r.</w:t>
      </w:r>
    </w:p>
    <w:sectPr w:rsidR="0032765F" w:rsidRPr="009C50CC" w:rsidSect="00830641">
      <w:headerReference w:type="default" r:id="rId8"/>
      <w:footerReference w:type="default" r:id="rId9"/>
      <w:pgSz w:w="11906" w:h="16838"/>
      <w:pgMar w:top="1417" w:right="1417" w:bottom="1417"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FF87A" w14:textId="77777777" w:rsidR="00443E1E" w:rsidRDefault="00443E1E" w:rsidP="008C495E">
      <w:pPr>
        <w:spacing w:before="0" w:line="240" w:lineRule="auto"/>
      </w:pPr>
      <w:r>
        <w:separator/>
      </w:r>
    </w:p>
  </w:endnote>
  <w:endnote w:type="continuationSeparator" w:id="0">
    <w:p w14:paraId="6226F8E0" w14:textId="77777777" w:rsidR="00443E1E" w:rsidRDefault="00443E1E"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490311"/>
      <w:docPartObj>
        <w:docPartGallery w:val="Page Numbers (Bottom of Page)"/>
        <w:docPartUnique/>
      </w:docPartObj>
    </w:sdtPr>
    <w:sdtEndPr>
      <w:rPr>
        <w:rFonts w:asciiTheme="minorHAnsi" w:hAnsiTheme="minorHAnsi"/>
      </w:rPr>
    </w:sdtEndPr>
    <w:sdtContent>
      <w:p w14:paraId="78980278" w14:textId="77777777" w:rsidR="00830641" w:rsidRPr="00830641" w:rsidRDefault="00830641">
        <w:pPr>
          <w:pStyle w:val="Stopka"/>
          <w:jc w:val="center"/>
          <w:rPr>
            <w:rFonts w:asciiTheme="minorHAnsi" w:hAnsiTheme="minorHAnsi"/>
          </w:rPr>
        </w:pPr>
        <w:r w:rsidRPr="00830641">
          <w:rPr>
            <w:rFonts w:asciiTheme="minorHAnsi" w:hAnsiTheme="minorHAnsi"/>
          </w:rPr>
          <w:fldChar w:fldCharType="begin"/>
        </w:r>
        <w:r w:rsidRPr="00830641">
          <w:rPr>
            <w:rFonts w:asciiTheme="minorHAnsi" w:hAnsiTheme="minorHAnsi"/>
          </w:rPr>
          <w:instrText>PAGE   \* MERGEFORMAT</w:instrText>
        </w:r>
        <w:r w:rsidRPr="00830641">
          <w:rPr>
            <w:rFonts w:asciiTheme="minorHAnsi" w:hAnsiTheme="minorHAnsi"/>
          </w:rPr>
          <w:fldChar w:fldCharType="separate"/>
        </w:r>
        <w:r>
          <w:rPr>
            <w:rFonts w:asciiTheme="minorHAnsi" w:hAnsiTheme="minorHAnsi"/>
            <w:noProof/>
          </w:rPr>
          <w:t>7</w:t>
        </w:r>
        <w:r w:rsidRPr="00830641">
          <w:rPr>
            <w:rFonts w:asciiTheme="minorHAnsi" w:hAnsiTheme="minorHAnsi"/>
          </w:rPr>
          <w:fldChar w:fldCharType="end"/>
        </w:r>
      </w:p>
    </w:sdtContent>
  </w:sdt>
  <w:p w14:paraId="7AA3B74B" w14:textId="77777777" w:rsidR="00830641" w:rsidRDefault="00830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BA2F3" w14:textId="77777777" w:rsidR="00443E1E" w:rsidRDefault="00443E1E" w:rsidP="008C495E">
      <w:pPr>
        <w:spacing w:before="0" w:line="240" w:lineRule="auto"/>
      </w:pPr>
      <w:r>
        <w:separator/>
      </w:r>
    </w:p>
  </w:footnote>
  <w:footnote w:type="continuationSeparator" w:id="0">
    <w:p w14:paraId="24C45290" w14:textId="77777777" w:rsidR="00443E1E" w:rsidRDefault="00443E1E"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5525" w14:textId="77777777" w:rsidR="00C0278F" w:rsidRPr="007F5A9A" w:rsidRDefault="00C0278F" w:rsidP="00BA387E">
    <w:pPr>
      <w:pStyle w:val="Nagwek"/>
      <w:jc w:val="right"/>
      <w:rPr>
        <w:rFonts w:asciiTheme="minorHAnsi" w:hAnsiTheme="minorHAnsi"/>
        <w:sz w:val="20"/>
      </w:rPr>
    </w:pPr>
    <w:r>
      <w:tab/>
    </w:r>
    <w:r w:rsidRPr="00C0278F">
      <w:rPr>
        <w:rFonts w:asciiTheme="minorHAnsi" w:hAnsiTheme="minorHAnsi"/>
        <w:sz w:val="20"/>
      </w:rPr>
      <w:t xml:space="preserve">Załącznik  nr </w:t>
    </w:r>
    <w:r w:rsidR="00B65B2E">
      <w:rPr>
        <w:rFonts w:asciiTheme="minorHAnsi" w:hAnsiTheme="minorHAnsi"/>
        <w:sz w:val="20"/>
      </w:rPr>
      <w:t>2</w:t>
    </w:r>
    <w:r w:rsidRPr="00C0278F">
      <w:rPr>
        <w:rFonts w:asciiTheme="minorHAnsi" w:hAnsiTheme="minorHAnsi"/>
        <w:sz w:val="20"/>
      </w:rPr>
      <w:t xml:space="preserve"> do Regulaminu konkursu </w:t>
    </w:r>
    <w:r w:rsidR="007B491C" w:rsidRPr="007B491C">
      <w:rPr>
        <w:rFonts w:asciiTheme="minorHAnsi" w:hAnsiTheme="minorHAnsi"/>
        <w:sz w:val="20"/>
      </w:rPr>
      <w:t xml:space="preserve">nr </w:t>
    </w:r>
    <w:r w:rsidR="00A33762" w:rsidRPr="00A33762">
      <w:rPr>
        <w:rFonts w:asciiTheme="minorHAnsi" w:hAnsiTheme="minorHAnsi"/>
        <w:sz w:val="20"/>
      </w:rPr>
      <w:t>RPDS.0</w:t>
    </w:r>
    <w:r w:rsidR="00352B50">
      <w:rPr>
        <w:rFonts w:asciiTheme="minorHAnsi" w:hAnsiTheme="minorHAnsi"/>
        <w:sz w:val="20"/>
      </w:rPr>
      <w:t>3</w:t>
    </w:r>
    <w:r w:rsidR="00A33762" w:rsidRPr="00A33762">
      <w:rPr>
        <w:rFonts w:asciiTheme="minorHAnsi" w:hAnsiTheme="minorHAnsi"/>
        <w:sz w:val="20"/>
      </w:rPr>
      <w:t>.0</w:t>
    </w:r>
    <w:r w:rsidR="00352B50">
      <w:rPr>
        <w:rFonts w:asciiTheme="minorHAnsi" w:hAnsiTheme="minorHAnsi"/>
        <w:sz w:val="20"/>
      </w:rPr>
      <w:t>4</w:t>
    </w:r>
    <w:r w:rsidR="00A33762" w:rsidRPr="00A33762">
      <w:rPr>
        <w:rFonts w:asciiTheme="minorHAnsi" w:hAnsiTheme="minorHAnsi"/>
        <w:sz w:val="20"/>
      </w:rPr>
      <w:t>.0</w:t>
    </w:r>
    <w:r w:rsidR="00BA387E">
      <w:rPr>
        <w:rFonts w:asciiTheme="minorHAnsi" w:hAnsiTheme="minorHAnsi"/>
        <w:sz w:val="20"/>
      </w:rPr>
      <w:t>1</w:t>
    </w:r>
    <w:r w:rsidR="00A33762" w:rsidRPr="00A33762">
      <w:rPr>
        <w:rFonts w:asciiTheme="minorHAnsi" w:hAnsiTheme="minorHAnsi"/>
        <w:sz w:val="20"/>
      </w:rPr>
      <w:t>-IZ.</w:t>
    </w:r>
    <w:r w:rsidR="00A33762" w:rsidRPr="008427CD">
      <w:rPr>
        <w:rFonts w:asciiTheme="minorHAnsi" w:hAnsiTheme="minorHAnsi"/>
        <w:sz w:val="20"/>
      </w:rPr>
      <w:t>00-02-</w:t>
    </w:r>
    <w:r w:rsidR="00F77128" w:rsidRPr="008427CD">
      <w:rPr>
        <w:rFonts w:asciiTheme="minorHAnsi" w:hAnsiTheme="minorHAnsi"/>
        <w:sz w:val="20"/>
      </w:rPr>
      <w:t>3</w:t>
    </w:r>
    <w:r w:rsidR="00BA387E">
      <w:rPr>
        <w:rFonts w:asciiTheme="minorHAnsi" w:hAnsiTheme="minorHAnsi"/>
        <w:sz w:val="20"/>
      </w:rPr>
      <w:t>92</w:t>
    </w:r>
    <w:r w:rsidR="00A33762" w:rsidRPr="008427CD">
      <w:rPr>
        <w:rFonts w:asciiTheme="minorHAnsi" w:hAnsiTheme="minorHAnsi"/>
        <w:sz w:val="20"/>
      </w:rPr>
      <w:t>/</w:t>
    </w:r>
    <w:r w:rsidR="00ED53A8" w:rsidRPr="008427CD">
      <w:rPr>
        <w:rFonts w:asciiTheme="minorHAnsi" w:hAnsiTheme="minorHAnsi"/>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FEB0D58"/>
    <w:multiLevelType w:val="hybridMultilevel"/>
    <w:tmpl w:val="27FEA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8"/>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5E"/>
    <w:rsid w:val="00094C3F"/>
    <w:rsid w:val="000B7AC3"/>
    <w:rsid w:val="000C5B9C"/>
    <w:rsid w:val="000D0008"/>
    <w:rsid w:val="000F5C98"/>
    <w:rsid w:val="00141571"/>
    <w:rsid w:val="00142CDB"/>
    <w:rsid w:val="0015486C"/>
    <w:rsid w:val="00177248"/>
    <w:rsid w:val="00181054"/>
    <w:rsid w:val="0018137B"/>
    <w:rsid w:val="00191605"/>
    <w:rsid w:val="001C4F9E"/>
    <w:rsid w:val="001D1816"/>
    <w:rsid w:val="00247EDA"/>
    <w:rsid w:val="00253FAA"/>
    <w:rsid w:val="00273701"/>
    <w:rsid w:val="002972E4"/>
    <w:rsid w:val="002D5507"/>
    <w:rsid w:val="002E6E1E"/>
    <w:rsid w:val="002F3FD3"/>
    <w:rsid w:val="002F6273"/>
    <w:rsid w:val="00315984"/>
    <w:rsid w:val="00322399"/>
    <w:rsid w:val="0032765F"/>
    <w:rsid w:val="00340A6B"/>
    <w:rsid w:val="003424BF"/>
    <w:rsid w:val="00352B50"/>
    <w:rsid w:val="00370466"/>
    <w:rsid w:val="0037462D"/>
    <w:rsid w:val="00374DEB"/>
    <w:rsid w:val="003972F3"/>
    <w:rsid w:val="003B7C59"/>
    <w:rsid w:val="003C5549"/>
    <w:rsid w:val="003C55C7"/>
    <w:rsid w:val="003D2C3D"/>
    <w:rsid w:val="003D3BC5"/>
    <w:rsid w:val="0041446A"/>
    <w:rsid w:val="00421C29"/>
    <w:rsid w:val="00433A72"/>
    <w:rsid w:val="00440CD9"/>
    <w:rsid w:val="00443E1E"/>
    <w:rsid w:val="0046263E"/>
    <w:rsid w:val="00471B0C"/>
    <w:rsid w:val="00476947"/>
    <w:rsid w:val="004B303A"/>
    <w:rsid w:val="004C1A62"/>
    <w:rsid w:val="00516B06"/>
    <w:rsid w:val="00522930"/>
    <w:rsid w:val="00522C13"/>
    <w:rsid w:val="00531AB4"/>
    <w:rsid w:val="00535E8F"/>
    <w:rsid w:val="00554023"/>
    <w:rsid w:val="00555321"/>
    <w:rsid w:val="005657D8"/>
    <w:rsid w:val="00570D1E"/>
    <w:rsid w:val="00577A74"/>
    <w:rsid w:val="005C6EFD"/>
    <w:rsid w:val="005E34B0"/>
    <w:rsid w:val="005F044E"/>
    <w:rsid w:val="0060140B"/>
    <w:rsid w:val="00620A45"/>
    <w:rsid w:val="00635DB0"/>
    <w:rsid w:val="0063731A"/>
    <w:rsid w:val="006455F0"/>
    <w:rsid w:val="0068088E"/>
    <w:rsid w:val="006A09F0"/>
    <w:rsid w:val="006C652C"/>
    <w:rsid w:val="00701E65"/>
    <w:rsid w:val="00702992"/>
    <w:rsid w:val="00704612"/>
    <w:rsid w:val="00704B1F"/>
    <w:rsid w:val="00706BC3"/>
    <w:rsid w:val="00723BBC"/>
    <w:rsid w:val="007300ED"/>
    <w:rsid w:val="00741B27"/>
    <w:rsid w:val="00746B5A"/>
    <w:rsid w:val="007650AC"/>
    <w:rsid w:val="0076746F"/>
    <w:rsid w:val="0078032E"/>
    <w:rsid w:val="00782B3D"/>
    <w:rsid w:val="00784191"/>
    <w:rsid w:val="00785000"/>
    <w:rsid w:val="00787387"/>
    <w:rsid w:val="007910C4"/>
    <w:rsid w:val="007A172C"/>
    <w:rsid w:val="007B491C"/>
    <w:rsid w:val="007D1CF1"/>
    <w:rsid w:val="007D7DE7"/>
    <w:rsid w:val="007E025A"/>
    <w:rsid w:val="007E2D2C"/>
    <w:rsid w:val="007E6D53"/>
    <w:rsid w:val="007F5A9A"/>
    <w:rsid w:val="00821152"/>
    <w:rsid w:val="00822185"/>
    <w:rsid w:val="00830641"/>
    <w:rsid w:val="0083716C"/>
    <w:rsid w:val="008427CD"/>
    <w:rsid w:val="008940B1"/>
    <w:rsid w:val="008A09D1"/>
    <w:rsid w:val="008A195C"/>
    <w:rsid w:val="008B21E1"/>
    <w:rsid w:val="008B73B1"/>
    <w:rsid w:val="008C495E"/>
    <w:rsid w:val="008E3F0D"/>
    <w:rsid w:val="009024D3"/>
    <w:rsid w:val="00911273"/>
    <w:rsid w:val="00936686"/>
    <w:rsid w:val="009456DB"/>
    <w:rsid w:val="00965BB1"/>
    <w:rsid w:val="00970181"/>
    <w:rsid w:val="009C50CC"/>
    <w:rsid w:val="009D3C56"/>
    <w:rsid w:val="009E60AF"/>
    <w:rsid w:val="009E65D0"/>
    <w:rsid w:val="009E7E06"/>
    <w:rsid w:val="009F121E"/>
    <w:rsid w:val="00A25539"/>
    <w:rsid w:val="00A33762"/>
    <w:rsid w:val="00A545DA"/>
    <w:rsid w:val="00A81480"/>
    <w:rsid w:val="00A816DE"/>
    <w:rsid w:val="00A87308"/>
    <w:rsid w:val="00AA0801"/>
    <w:rsid w:val="00AD2437"/>
    <w:rsid w:val="00AF1D78"/>
    <w:rsid w:val="00AF7EBE"/>
    <w:rsid w:val="00B204DD"/>
    <w:rsid w:val="00B235B0"/>
    <w:rsid w:val="00B35610"/>
    <w:rsid w:val="00B65B2E"/>
    <w:rsid w:val="00B80838"/>
    <w:rsid w:val="00B840A9"/>
    <w:rsid w:val="00BA2582"/>
    <w:rsid w:val="00BA387E"/>
    <w:rsid w:val="00BB367B"/>
    <w:rsid w:val="00BC03CE"/>
    <w:rsid w:val="00BC18C8"/>
    <w:rsid w:val="00BD1CC9"/>
    <w:rsid w:val="00C0278F"/>
    <w:rsid w:val="00C10532"/>
    <w:rsid w:val="00C357EC"/>
    <w:rsid w:val="00C40E8D"/>
    <w:rsid w:val="00C540E4"/>
    <w:rsid w:val="00C90F5E"/>
    <w:rsid w:val="00C912B2"/>
    <w:rsid w:val="00CC7758"/>
    <w:rsid w:val="00CF69D1"/>
    <w:rsid w:val="00D03CAB"/>
    <w:rsid w:val="00D11CB4"/>
    <w:rsid w:val="00D11D19"/>
    <w:rsid w:val="00D11E26"/>
    <w:rsid w:val="00D5098A"/>
    <w:rsid w:val="00D56A03"/>
    <w:rsid w:val="00D56E5D"/>
    <w:rsid w:val="00D93881"/>
    <w:rsid w:val="00DB13A7"/>
    <w:rsid w:val="00DF6D97"/>
    <w:rsid w:val="00E13197"/>
    <w:rsid w:val="00E32B6F"/>
    <w:rsid w:val="00E5348A"/>
    <w:rsid w:val="00E61834"/>
    <w:rsid w:val="00E72468"/>
    <w:rsid w:val="00E83262"/>
    <w:rsid w:val="00E90CA0"/>
    <w:rsid w:val="00E9718E"/>
    <w:rsid w:val="00E97A52"/>
    <w:rsid w:val="00EB34D2"/>
    <w:rsid w:val="00ED53A8"/>
    <w:rsid w:val="00EE0005"/>
    <w:rsid w:val="00F0154B"/>
    <w:rsid w:val="00F02218"/>
    <w:rsid w:val="00F11106"/>
    <w:rsid w:val="00F11BCC"/>
    <w:rsid w:val="00F223FC"/>
    <w:rsid w:val="00F77128"/>
    <w:rsid w:val="00F81827"/>
    <w:rsid w:val="00FA51D7"/>
    <w:rsid w:val="00FC6B1D"/>
    <w:rsid w:val="00FD702E"/>
    <w:rsid w:val="00FE7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73B96"/>
  <w15:docId w15:val="{9693512F-AFF2-4468-83B9-DF1A2EA5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2023388468">
      <w:bodyDiv w:val="1"/>
      <w:marLeft w:val="0"/>
      <w:marRight w:val="0"/>
      <w:marTop w:val="0"/>
      <w:marBottom w:val="0"/>
      <w:divBdr>
        <w:top w:val="none" w:sz="0" w:space="0" w:color="auto"/>
        <w:left w:val="none" w:sz="0" w:space="0" w:color="auto"/>
        <w:bottom w:val="none" w:sz="0" w:space="0" w:color="auto"/>
        <w:right w:val="none" w:sz="0" w:space="0" w:color="auto"/>
      </w:divBdr>
      <w:divsChild>
        <w:div w:id="472869475">
          <w:marLeft w:val="0"/>
          <w:marRight w:val="0"/>
          <w:marTop w:val="0"/>
          <w:marBottom w:val="0"/>
          <w:divBdr>
            <w:top w:val="none" w:sz="0" w:space="0" w:color="auto"/>
            <w:left w:val="none" w:sz="0" w:space="0" w:color="auto"/>
            <w:bottom w:val="none" w:sz="0" w:space="0" w:color="auto"/>
            <w:right w:val="none" w:sz="0" w:space="0" w:color="auto"/>
          </w:divBdr>
          <w:divsChild>
            <w:div w:id="1840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610C-5BCA-4C17-9681-625C91D6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2560</Words>
  <Characters>15366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Hewlett-Packard Company</cp:lastModifiedBy>
  <cp:revision>14</cp:revision>
  <cp:lastPrinted>2018-09-19T10:49:00Z</cp:lastPrinted>
  <dcterms:created xsi:type="dcterms:W3CDTF">2020-04-07T16:07:00Z</dcterms:created>
  <dcterms:modified xsi:type="dcterms:W3CDTF">2020-04-15T08:21:00Z</dcterms:modified>
</cp:coreProperties>
</file>