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ACB1F" w14:textId="77777777" w:rsidR="003B485E" w:rsidRPr="00C270C3" w:rsidRDefault="003B485E" w:rsidP="003B485E">
      <w:pPr>
        <w:pStyle w:val="Nagwek1"/>
        <w:numPr>
          <w:ilvl w:val="0"/>
          <w:numId w:val="0"/>
        </w:numPr>
        <w:tabs>
          <w:tab w:val="left" w:pos="284"/>
        </w:tabs>
        <w:spacing w:before="0" w:after="0" w:line="360" w:lineRule="auto"/>
        <w:rPr>
          <w:rFonts w:cstheme="minorHAnsi"/>
          <w:color w:val="auto"/>
          <w:szCs w:val="24"/>
        </w:rPr>
      </w:pPr>
      <w:bookmarkStart w:id="0" w:name="_Toc26794923"/>
      <w:bookmarkStart w:id="1" w:name="_GoBack"/>
      <w:bookmarkEnd w:id="1"/>
      <w:r w:rsidRPr="00C270C3">
        <w:rPr>
          <w:rFonts w:cstheme="minorHAnsi"/>
          <w:color w:val="auto"/>
          <w:szCs w:val="24"/>
        </w:rPr>
        <w:t>Przedmiot konkursu, w tym typy projektów podlegających dofinansowaniu</w:t>
      </w:r>
      <w:bookmarkEnd w:id="0"/>
    </w:p>
    <w:p w14:paraId="7C3F3C99" w14:textId="77777777" w:rsidR="003B485E" w:rsidRPr="00C270C3" w:rsidRDefault="003B485E" w:rsidP="003B485E">
      <w:pPr>
        <w:widowControl w:val="0"/>
        <w:spacing w:after="12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C270C3">
        <w:rPr>
          <w:rFonts w:asciiTheme="minorHAnsi" w:hAnsiTheme="minorHAnsi" w:cstheme="minorHAnsi"/>
          <w:color w:val="auto"/>
          <w:szCs w:val="24"/>
        </w:rPr>
        <w:t xml:space="preserve">Przedmiotem konkursu jest </w:t>
      </w:r>
      <w:r w:rsidRPr="00C270C3">
        <w:rPr>
          <w:rFonts w:asciiTheme="minorHAnsi" w:hAnsiTheme="minorHAnsi" w:cstheme="minorHAnsi"/>
          <w:b/>
          <w:bCs/>
          <w:color w:val="auto"/>
          <w:szCs w:val="24"/>
        </w:rPr>
        <w:t xml:space="preserve">realizowany na terenie ZIT WrOF </w:t>
      </w:r>
      <w:r w:rsidRPr="00C270C3">
        <w:rPr>
          <w:rFonts w:asciiTheme="minorHAnsi" w:hAnsiTheme="minorHAnsi" w:cstheme="minorHAnsi"/>
          <w:color w:val="auto"/>
          <w:szCs w:val="24"/>
        </w:rPr>
        <w:t>typ projektu określony dla Działania 3.4 Wdrażanie strategii niskoemisyjnych, Poddziałania 3.4.2 Wdrażanie strategii niskoemisyjnych Osi Priorytetowej 3 Gospodarka niskoemisyjna, dotyczący:</w:t>
      </w:r>
    </w:p>
    <w:p w14:paraId="2104BFB5" w14:textId="77777777" w:rsidR="003B485E" w:rsidRPr="00C270C3" w:rsidRDefault="003B485E" w:rsidP="003B485E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  <w:b/>
          <w:szCs w:val="24"/>
        </w:rPr>
      </w:pPr>
      <w:bookmarkStart w:id="2" w:name="_Hlk19775645"/>
      <w:r w:rsidRPr="00C270C3">
        <w:rPr>
          <w:rFonts w:asciiTheme="minorHAnsi" w:hAnsiTheme="minorHAnsi" w:cstheme="minorHAnsi"/>
          <w:b/>
          <w:szCs w:val="24"/>
        </w:rPr>
        <w:t>3.4 b inwestycje ograniczające indywidualny ruch zmotoryzowany w centrach miast np. P&amp;R, B&amp;R, zintegrowane centra przesiadkowe, stacje ładowania pojazdów elektrycznych, stacje tankowania paliw alternatywnych (np. CNG, LNG, LPG), wspólny bilet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334FE3">
        <w:rPr>
          <w:rFonts w:cs="Arial"/>
        </w:rPr>
        <w:t>(</w:t>
      </w:r>
      <w:commentRangeStart w:id="3"/>
      <w:r w:rsidRPr="00334FE3">
        <w:rPr>
          <w:rFonts w:cs="Arial"/>
        </w:rPr>
        <w:t>przy czym stacje ładowania pojazdów elektrycznych</w:t>
      </w:r>
      <w:r>
        <w:rPr>
          <w:rFonts w:cs="Arial"/>
        </w:rPr>
        <w:t xml:space="preserve"> /</w:t>
      </w:r>
      <w:r w:rsidRPr="0064727E">
        <w:t xml:space="preserve"> </w:t>
      </w:r>
      <w:r w:rsidRPr="0064727E">
        <w:rPr>
          <w:rFonts w:cs="Arial"/>
        </w:rPr>
        <w:t>tankowania paliw alternatywnych</w:t>
      </w:r>
      <w:r w:rsidRPr="00334FE3">
        <w:rPr>
          <w:rFonts w:cs="Arial"/>
        </w:rPr>
        <w:t>, wspólny bilet itp</w:t>
      </w:r>
      <w:commentRangeEnd w:id="3"/>
      <w:r w:rsidR="00B63564">
        <w:rPr>
          <w:rStyle w:val="Odwoaniedokomentarza"/>
        </w:rPr>
        <w:commentReference w:id="3"/>
      </w:r>
      <w:r w:rsidRPr="00334FE3">
        <w:rPr>
          <w:rFonts w:cs="Arial"/>
        </w:rPr>
        <w:t>. nie mogą stanowić samodzielnego elementu projektu lecz jedynie uzupełniający, poniżej 49% wartości wydatków kwalifikowalnych projektu) itp.</w:t>
      </w:r>
    </w:p>
    <w:p w14:paraId="4E3B3BA0" w14:textId="77777777" w:rsidR="003B485E" w:rsidRPr="00C270C3" w:rsidRDefault="003B485E" w:rsidP="003B485E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  <w:b/>
          <w:szCs w:val="24"/>
        </w:rPr>
      </w:pPr>
      <w:r w:rsidRPr="00C270C3">
        <w:rPr>
          <w:rFonts w:asciiTheme="minorHAnsi" w:hAnsiTheme="minorHAnsi" w:cstheme="minorHAnsi"/>
          <w:b/>
          <w:szCs w:val="24"/>
        </w:rPr>
        <w:t>3.4 d inwestycje ograniczające indywidualny ruch zmotoryzowany w centrach miast: drogi rowerowe, ciągi pieszo – rowerowe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CA4A6D">
        <w:rPr>
          <w:rFonts w:cs="Arial"/>
        </w:rPr>
        <w:t>przy czym możliwe jest  finansowanie samego ciągu pieszego (ale nie może on stanowić odrębnego projektu, a jedynie element uzupełniający), jeśli jego separacja od ciągu rowerowego wynika z warunków lokalnych, np. ciąg pieszo – rowerowy prowadzi do skrzyżowania, za którym nie ma możliwości kontynuowania ciągu łącznie i istnieje konieczność oddzielenia drogi dla rowerów od ciągu pieszego – na tym odcinku możliwa jest inwestycja również w ciąg pieszy. Koszt takiego wydzielonego ciągu pieszego powinien zawsze stanowić mniej niż 49% całkowitych wydatków kwalifikowalnych w projekcie przeznaczonych na drogi rowerowe.</w:t>
      </w:r>
    </w:p>
    <w:p w14:paraId="516B3DCB" w14:textId="77777777" w:rsidR="003B485E" w:rsidRPr="00B14897" w:rsidRDefault="003B485E" w:rsidP="003B485E">
      <w:pPr>
        <w:spacing w:after="0" w:line="360" w:lineRule="auto"/>
        <w:rPr>
          <w:color w:val="auto"/>
          <w:szCs w:val="24"/>
        </w:rPr>
      </w:pPr>
      <w:commentRangeStart w:id="4"/>
      <w:r w:rsidRPr="00B14897">
        <w:rPr>
          <w:color w:val="auto"/>
          <w:szCs w:val="24"/>
        </w:rPr>
        <w:t>Możliwe jest łączenie ww. typów projektów.</w:t>
      </w:r>
      <w:commentRangeEnd w:id="4"/>
      <w:r w:rsidR="00B63564">
        <w:rPr>
          <w:rStyle w:val="Odwoaniedokomentarza"/>
        </w:rPr>
        <w:commentReference w:id="4"/>
      </w:r>
    </w:p>
    <w:bookmarkEnd w:id="2"/>
    <w:p w14:paraId="1A2E7854" w14:textId="77777777" w:rsidR="003B485E" w:rsidRPr="00094B5F" w:rsidRDefault="003B485E" w:rsidP="003B485E">
      <w:pPr>
        <w:widowControl w:val="0"/>
        <w:spacing w:after="0" w:line="360" w:lineRule="auto"/>
        <w:ind w:left="0" w:firstLine="0"/>
        <w:rPr>
          <w:color w:val="FF0000"/>
        </w:rPr>
      </w:pPr>
    </w:p>
    <w:p w14:paraId="03CAF15B" w14:textId="77777777" w:rsidR="003B485E" w:rsidRPr="00B14897" w:rsidRDefault="003B485E" w:rsidP="003B485E">
      <w:pPr>
        <w:spacing w:after="200" w:line="360" w:lineRule="auto"/>
        <w:ind w:left="0" w:firstLine="0"/>
        <w:rPr>
          <w:color w:val="auto"/>
        </w:rPr>
      </w:pPr>
      <w:r w:rsidRPr="00B14897">
        <w:rPr>
          <w:color w:val="auto"/>
        </w:rPr>
        <w:t xml:space="preserve">Przez </w:t>
      </w:r>
      <w:r w:rsidRPr="00B14897">
        <w:rPr>
          <w:b/>
          <w:bCs/>
          <w:color w:val="auto"/>
        </w:rPr>
        <w:t>drogi rowerowe</w:t>
      </w:r>
      <w:r w:rsidRPr="00B14897">
        <w:rPr>
          <w:color w:val="auto"/>
        </w:rPr>
        <w:t xml:space="preserve"> należy rozumieć drogi dla rowerów, zgodnie z definicją z ustawy z dnia 20 czerwca 1997 r. Prawo o ruchu drogowym. Drogami dla rowerów nie są pasy ruchu dla rowerów:</w:t>
      </w:r>
    </w:p>
    <w:p w14:paraId="1B99E470" w14:textId="77777777" w:rsidR="003B485E" w:rsidRPr="00B14897" w:rsidRDefault="003B485E" w:rsidP="003B485E">
      <w:pPr>
        <w:spacing w:after="200" w:line="360" w:lineRule="auto"/>
        <w:ind w:left="0" w:firstLine="0"/>
        <w:rPr>
          <w:color w:val="auto"/>
        </w:rPr>
      </w:pPr>
      <w:r w:rsidRPr="00B14897">
        <w:rPr>
          <w:b/>
          <w:bCs/>
          <w:color w:val="auto"/>
        </w:rPr>
        <w:t>droga dla rowerów</w:t>
      </w:r>
      <w:r w:rsidRPr="00B14897">
        <w:rPr>
          <w:color w:val="auto"/>
        </w:rPr>
        <w:t xml:space="preserve"> – droga lub jej część przeznaczona do ruchu rowerów, oznaczona odpowiednimi znakami drogowymi; droga dla rowerów jest oddzielona od innych dróg lub jezdni tej samej drogi konstrukcyjnie lub za pomocą </w:t>
      </w:r>
      <w:commentRangeStart w:id="5"/>
      <w:r w:rsidRPr="00B14897">
        <w:rPr>
          <w:color w:val="auto"/>
        </w:rPr>
        <w:t>urządzeń bezpieczeństwa ruchu drogowego</w:t>
      </w:r>
      <w:commentRangeEnd w:id="5"/>
      <w:r w:rsidR="00F374B5">
        <w:rPr>
          <w:rStyle w:val="Odwoaniedokomentarza"/>
        </w:rPr>
        <w:commentReference w:id="5"/>
      </w:r>
      <w:r w:rsidRPr="00B14897">
        <w:rPr>
          <w:color w:val="auto"/>
        </w:rPr>
        <w:t>;</w:t>
      </w:r>
    </w:p>
    <w:p w14:paraId="79DD4EE3" w14:textId="77777777" w:rsidR="003B485E" w:rsidRPr="00B14897" w:rsidRDefault="003B485E" w:rsidP="003B485E">
      <w:pPr>
        <w:spacing w:after="200" w:line="360" w:lineRule="auto"/>
        <w:ind w:left="0" w:firstLine="0"/>
        <w:rPr>
          <w:color w:val="auto"/>
        </w:rPr>
      </w:pPr>
      <w:r w:rsidRPr="00B14897">
        <w:rPr>
          <w:b/>
          <w:bCs/>
          <w:color w:val="auto"/>
        </w:rPr>
        <w:lastRenderedPageBreak/>
        <w:t>pas ruchu dla rowerów</w:t>
      </w:r>
      <w:r w:rsidRPr="00B14897">
        <w:rPr>
          <w:color w:val="auto"/>
        </w:rPr>
        <w:t xml:space="preserve"> – część jezdni przeznaczona do ruchu rowerów w jednym kierunku, oznaczona odpowiednimi znakami drogowymi.</w:t>
      </w:r>
    </w:p>
    <w:p w14:paraId="3A284F21" w14:textId="77777777" w:rsidR="003B485E" w:rsidRPr="00B14897" w:rsidRDefault="003B485E" w:rsidP="003B485E">
      <w:pPr>
        <w:spacing w:after="200" w:line="360" w:lineRule="auto"/>
        <w:ind w:left="0" w:firstLine="0"/>
        <w:rPr>
          <w:color w:val="auto"/>
        </w:rPr>
      </w:pPr>
      <w:r w:rsidRPr="00B14897">
        <w:rPr>
          <w:color w:val="auto"/>
        </w:rPr>
        <w:t xml:space="preserve">Przez inwestycje ograniczające ruch w centrach miast nie należy rozumieć wyłącznie inwestycji zlokalizowanych w centrach miast – </w:t>
      </w:r>
      <w:commentRangeStart w:id="6"/>
      <w:r w:rsidRPr="00B14897">
        <w:rPr>
          <w:color w:val="auto"/>
        </w:rPr>
        <w:t xml:space="preserve">istotne jest oddziaływanie na centra miast. </w:t>
      </w:r>
      <w:commentRangeEnd w:id="6"/>
      <w:r w:rsidR="002E0902">
        <w:rPr>
          <w:rStyle w:val="Odwoaniedokomentarza"/>
        </w:rPr>
        <w:commentReference w:id="6"/>
      </w:r>
    </w:p>
    <w:p w14:paraId="377077C9" w14:textId="77777777" w:rsidR="003B485E" w:rsidRPr="0074082D" w:rsidRDefault="003B485E" w:rsidP="003B485E">
      <w:pPr>
        <w:spacing w:after="200" w:line="360" w:lineRule="auto"/>
        <w:ind w:left="0" w:firstLine="0"/>
        <w:rPr>
          <w:color w:val="auto"/>
        </w:rPr>
      </w:pPr>
      <w:commentRangeStart w:id="7"/>
      <w:r w:rsidRPr="0074082D">
        <w:rPr>
          <w:color w:val="auto"/>
        </w:rPr>
        <w:t xml:space="preserve">Inwestycje w infrastrukturę drogową </w:t>
      </w:r>
      <w:commentRangeEnd w:id="7"/>
      <w:r w:rsidR="005A3303">
        <w:rPr>
          <w:rStyle w:val="Odwoaniedokomentarza"/>
        </w:rPr>
        <w:commentReference w:id="7"/>
      </w:r>
      <w:r w:rsidRPr="0074082D">
        <w:rPr>
          <w:color w:val="auto"/>
        </w:rPr>
        <w:t xml:space="preserve">transportu publicznego mogą stanowić element </w:t>
      </w:r>
      <w:commentRangeStart w:id="8"/>
      <w:r w:rsidRPr="0074082D">
        <w:rPr>
          <w:color w:val="auto"/>
        </w:rPr>
        <w:t xml:space="preserve">uzupełniający w projekcie </w:t>
      </w:r>
      <w:commentRangeEnd w:id="8"/>
      <w:r w:rsidR="002E0902">
        <w:rPr>
          <w:rStyle w:val="Odwoaniedokomentarza"/>
        </w:rPr>
        <w:commentReference w:id="8"/>
      </w:r>
      <w:r w:rsidRPr="0074082D">
        <w:rPr>
          <w:color w:val="auto"/>
        </w:rPr>
        <w:t xml:space="preserve">o wartości nie przekraczającej 35% </w:t>
      </w:r>
      <w:r w:rsidRPr="00334FE3">
        <w:rPr>
          <w:rFonts w:cs="Arial"/>
        </w:rPr>
        <w:t xml:space="preserve">wartości wydatków kwalifikowalnych </w:t>
      </w:r>
      <w:r w:rsidRPr="0074082D">
        <w:rPr>
          <w:color w:val="auto"/>
        </w:rPr>
        <w:t>– pod warunkiem spełniania poniższych warunków:</w:t>
      </w:r>
    </w:p>
    <w:p w14:paraId="70B028D7" w14:textId="77777777" w:rsidR="003B485E" w:rsidRPr="0074082D" w:rsidRDefault="003B485E" w:rsidP="003B485E">
      <w:pPr>
        <w:pStyle w:val="Akapitzlist"/>
        <w:numPr>
          <w:ilvl w:val="0"/>
          <w:numId w:val="3"/>
        </w:numPr>
        <w:spacing w:after="200" w:line="360" w:lineRule="auto"/>
        <w:rPr>
          <w:color w:val="auto"/>
        </w:rPr>
      </w:pPr>
      <w:r w:rsidRPr="0074082D">
        <w:rPr>
          <w:color w:val="auto"/>
        </w:rPr>
        <w:t>elementy drogowe w projekcie przeznaczone są wyłącznie dla transportu publicznego lub nadają priorytet transportowi publicznemu, np. buspasy, obiekty przeznaczone dla transportu publicznego (tunele, wiadukty) – nie jest możliwe sfinansowanie zakresu rzeczowego projektu, który nie służy bezpośrednio transportowi publicznemu;</w:t>
      </w:r>
    </w:p>
    <w:p w14:paraId="311BC39B" w14:textId="77777777" w:rsidR="003B485E" w:rsidRPr="0074082D" w:rsidRDefault="003B485E" w:rsidP="003B485E">
      <w:pPr>
        <w:pStyle w:val="Akapitzlist"/>
        <w:numPr>
          <w:ilvl w:val="0"/>
          <w:numId w:val="3"/>
        </w:numPr>
        <w:spacing w:after="200" w:line="360" w:lineRule="auto"/>
        <w:rPr>
          <w:color w:val="auto"/>
        </w:rPr>
      </w:pPr>
      <w:r w:rsidRPr="0074082D">
        <w:rPr>
          <w:color w:val="auto"/>
        </w:rPr>
        <w:t>przebudowa skrzyżowań w celu ułatwienia i/lub nadania priorytetu transportowi publicznemu w ruchu, np. pasy skrętów dla autobusów, śluzy na skrzyżowaniach itp.;</w:t>
      </w:r>
    </w:p>
    <w:p w14:paraId="112BE2C2" w14:textId="77777777" w:rsidR="003B485E" w:rsidRPr="0074082D" w:rsidRDefault="003B485E" w:rsidP="003B485E">
      <w:pPr>
        <w:pStyle w:val="Akapitzlist"/>
        <w:numPr>
          <w:ilvl w:val="0"/>
          <w:numId w:val="3"/>
        </w:numPr>
        <w:spacing w:after="200" w:line="360" w:lineRule="auto"/>
        <w:rPr>
          <w:color w:val="auto"/>
        </w:rPr>
      </w:pPr>
      <w:r w:rsidRPr="0074082D">
        <w:rPr>
          <w:color w:val="auto"/>
        </w:rPr>
        <w:t>infrastruktura drogowa przy pętlach autobusowych / tramwajowych, stacjach kolejowych lub parkingach P&amp;R i B&amp;R – odcinki dróg łączące takie terminale bezpośrednio z siecią dróg miejskich.</w:t>
      </w:r>
    </w:p>
    <w:p w14:paraId="5BA6F0F6" w14:textId="77777777" w:rsidR="003B485E" w:rsidRPr="0074082D" w:rsidRDefault="003B485E" w:rsidP="003B485E">
      <w:pPr>
        <w:spacing w:after="200" w:line="360" w:lineRule="auto"/>
        <w:ind w:left="0" w:firstLine="0"/>
        <w:rPr>
          <w:color w:val="auto"/>
        </w:rPr>
      </w:pPr>
      <w:r w:rsidRPr="0074082D">
        <w:rPr>
          <w:color w:val="auto"/>
        </w:rPr>
        <w:t>Nie przewiduje się realizacji samodzielnych projektów drogowych.</w:t>
      </w:r>
    </w:p>
    <w:p w14:paraId="2E76E7F5" w14:textId="77777777" w:rsidR="003B485E" w:rsidRPr="00BF3CE0" w:rsidRDefault="003B485E" w:rsidP="003B485E">
      <w:pPr>
        <w:spacing w:after="200" w:line="360" w:lineRule="auto"/>
        <w:ind w:left="0" w:firstLine="0"/>
        <w:rPr>
          <w:color w:val="auto"/>
        </w:rPr>
      </w:pPr>
      <w:r w:rsidRPr="00BF3CE0">
        <w:rPr>
          <w:color w:val="auto"/>
        </w:rPr>
        <w:t>Limity powyższe nie sumują się – elementy uzupełniające w projekcie zawsze powinny stanowić mniej niż 49% wydatków kwalifikowalnych, jeśli np. projekt składa się z budowy centrum przesiadkowego, drogi prowadzącej do centrum oraz stacji ładowania pojazdów elektrycznych, wówczas wydatki na centrum przesiadkowe powinny stanowić więcej niż 51% wydatków kwalifikowalnych, wydatki na drogę – do 35%, a pozostałą część – wydatki na stacje ładowania pojazdów elektrycznych.</w:t>
      </w:r>
    </w:p>
    <w:p w14:paraId="74A7F924" w14:textId="77777777" w:rsidR="00A861E5" w:rsidRPr="00BF3CE0" w:rsidRDefault="00A861E5" w:rsidP="00A861E5">
      <w:pPr>
        <w:spacing w:after="200" w:line="360" w:lineRule="auto"/>
        <w:ind w:left="0" w:firstLine="0"/>
        <w:rPr>
          <w:color w:val="auto"/>
        </w:rPr>
      </w:pPr>
      <w:r w:rsidRPr="00BF3CE0">
        <w:rPr>
          <w:color w:val="auto"/>
        </w:rPr>
        <w:t xml:space="preserve">Inwestycje w transport miejski w ramach działania będą przyczyniać się do osiągnięcia niskoemisyjnej i zrównoważonej mobilności w miastach. Muszą one wynikać z przygotowanych przez samorządy planów, zawierających odniesienia do kwestii przechodzenia na bardziej ekologiczne i zrównoważone systemy transportowe w miastach. Funkcję takich dokumentów mogą </w:t>
      </w:r>
      <w:r w:rsidRPr="00A861E5">
        <w:rPr>
          <w:b/>
          <w:bCs/>
          <w:color w:val="auto"/>
          <w:u w:val="single"/>
        </w:rPr>
        <w:t xml:space="preserve">pełnić plany dotyczące gospodarki niskoemisyjnej lub </w:t>
      </w:r>
      <w:r w:rsidRPr="00A861E5">
        <w:rPr>
          <w:b/>
          <w:bCs/>
          <w:color w:val="auto"/>
          <w:u w:val="single"/>
        </w:rPr>
        <w:lastRenderedPageBreak/>
        <w:t>plany mobilności miejskiej.</w:t>
      </w:r>
      <w:r w:rsidRPr="00A861E5">
        <w:rPr>
          <w:color w:val="auto"/>
        </w:rPr>
        <w:t xml:space="preserve"> Dokumenty </w:t>
      </w:r>
      <w:r w:rsidRPr="00BF3CE0">
        <w:rPr>
          <w:color w:val="auto"/>
        </w:rPr>
        <w:t>te powinny określać lokalne uwarunkowania oraz kierunki planowanych interwencji na danym obszarze i w zależności od zidentyfikowanych potrzeb zawierać odniesienia lub wskazywać adekwatne obowiązujące dokumenty zawierające odniesienia do takich kwestii, jak np.: zbiorowy transport pasażerski, transport niezmotoryzowany, intermodalność, transport drogowy, zarzadzanie mobilnością, wykorzystanie inteligentnych systemów transportowych (ITS), logistyka miejska, bezpieczeństwo ruchu drogowego w miastach, wdrażanie nowych wzorców użytkowania czy promocja ekologicznie czystych i energooszczędnych pojazdów (czyste paliwa i pojazdy).</w:t>
      </w:r>
    </w:p>
    <w:p w14:paraId="6B0DDEA0" w14:textId="77777777" w:rsidR="00A861E5" w:rsidRPr="00BF3CE0" w:rsidRDefault="00A861E5" w:rsidP="00A861E5">
      <w:pPr>
        <w:spacing w:after="200" w:line="360" w:lineRule="auto"/>
        <w:ind w:left="0" w:firstLine="0"/>
        <w:rPr>
          <w:color w:val="auto"/>
        </w:rPr>
      </w:pPr>
      <w:r w:rsidRPr="00BF3CE0">
        <w:rPr>
          <w:color w:val="auto"/>
        </w:rPr>
        <w:t>Plan Gospodarki Niskoemisyjnej powinien zostać przyjęty do realizacji uchwałą rady gminy, właściwej dla miejsca realizacji projektu. Jeśli projekt realizowany jest na obszarze kilku gmin, powinien być ujęty w planach właściwych gmin.</w:t>
      </w:r>
    </w:p>
    <w:p w14:paraId="0E228668" w14:textId="77777777" w:rsidR="00A861E5" w:rsidRPr="00BF3CE0" w:rsidRDefault="00A861E5" w:rsidP="00A861E5">
      <w:pPr>
        <w:spacing w:after="200" w:line="360" w:lineRule="auto"/>
        <w:ind w:left="0" w:firstLine="0"/>
        <w:rPr>
          <w:color w:val="auto"/>
        </w:rPr>
      </w:pPr>
      <w:commentRangeStart w:id="9"/>
      <w:r w:rsidRPr="00BF3CE0">
        <w:rPr>
          <w:color w:val="auto"/>
        </w:rPr>
        <w:t>Ocena dokonywana jest na podstawie zaświadczenia / oświadczenia  wydanego przez właściwy urząd gminy (obowiązkowy załącznik do wniosku o dofinansowanie).</w:t>
      </w:r>
      <w:commentRangeEnd w:id="9"/>
      <w:r w:rsidR="00254FCC">
        <w:rPr>
          <w:rStyle w:val="Odwoaniedokomentarza"/>
        </w:rPr>
        <w:commentReference w:id="9"/>
      </w:r>
      <w:r w:rsidRPr="00BF3CE0">
        <w:rPr>
          <w:color w:val="auto"/>
        </w:rPr>
        <w:t xml:space="preserve"> Zaświadczenie (poświadczenie, potwierdzenie) obligatoryjnie zawiera: </w:t>
      </w:r>
    </w:p>
    <w:p w14:paraId="5D8AF502" w14:textId="77777777" w:rsidR="00A861E5" w:rsidRPr="00BF3CE0" w:rsidRDefault="00A861E5" w:rsidP="00A861E5">
      <w:pPr>
        <w:pStyle w:val="Akapitzlist"/>
        <w:numPr>
          <w:ilvl w:val="0"/>
          <w:numId w:val="4"/>
        </w:numPr>
        <w:spacing w:after="200" w:line="360" w:lineRule="auto"/>
        <w:rPr>
          <w:color w:val="auto"/>
        </w:rPr>
      </w:pPr>
      <w:r w:rsidRPr="00BF3CE0">
        <w:rPr>
          <w:color w:val="auto"/>
        </w:rPr>
        <w:t>informację o tym że projekt wynika z Planu Gospodarki Niskoemisyjnej, przyjętego do realizacji uchwałą rady gminy;</w:t>
      </w:r>
    </w:p>
    <w:p w14:paraId="36E63487" w14:textId="77777777" w:rsidR="00A861E5" w:rsidRPr="00BF3CE0" w:rsidRDefault="00A861E5" w:rsidP="00A861E5">
      <w:pPr>
        <w:pStyle w:val="Akapitzlist"/>
        <w:numPr>
          <w:ilvl w:val="0"/>
          <w:numId w:val="4"/>
        </w:numPr>
        <w:spacing w:after="200" w:line="360" w:lineRule="auto"/>
        <w:rPr>
          <w:color w:val="auto"/>
        </w:rPr>
      </w:pPr>
      <w:r w:rsidRPr="00BF3CE0">
        <w:rPr>
          <w:color w:val="auto"/>
        </w:rPr>
        <w:t>krótkie uzasadnienie merytoryczne;</w:t>
      </w:r>
    </w:p>
    <w:p w14:paraId="387A00FA" w14:textId="77777777" w:rsidR="00A861E5" w:rsidRPr="00BF3CE0" w:rsidRDefault="00A861E5" w:rsidP="00A861E5">
      <w:pPr>
        <w:pStyle w:val="Akapitzlist"/>
        <w:numPr>
          <w:ilvl w:val="0"/>
          <w:numId w:val="4"/>
        </w:numPr>
        <w:spacing w:after="200" w:line="360" w:lineRule="auto"/>
        <w:rPr>
          <w:color w:val="auto"/>
        </w:rPr>
      </w:pPr>
      <w:r w:rsidRPr="00BF3CE0">
        <w:rPr>
          <w:color w:val="auto"/>
        </w:rPr>
        <w:t xml:space="preserve">numer uchwały przyjmującej PGN do realizacji. </w:t>
      </w:r>
    </w:p>
    <w:p w14:paraId="3B8439CF" w14:textId="77777777" w:rsidR="00A861E5" w:rsidRPr="00BF3CE0" w:rsidRDefault="00A861E5" w:rsidP="00A861E5">
      <w:pPr>
        <w:spacing w:after="200" w:line="360" w:lineRule="auto"/>
        <w:ind w:left="0" w:firstLine="0"/>
        <w:rPr>
          <w:color w:val="auto"/>
        </w:rPr>
      </w:pPr>
      <w:r w:rsidRPr="00BF3CE0">
        <w:rPr>
          <w:color w:val="auto"/>
        </w:rPr>
        <w:t xml:space="preserve">Jeżeli zaświadczenie wydane jest na podstawie Kodeksu Postępowania Administracyjnego (Dział VII Wydawanie zaświadczeń) </w:t>
      </w:r>
      <w:r w:rsidRPr="006F6644">
        <w:rPr>
          <w:color w:val="auto"/>
          <w:u w:val="single"/>
        </w:rPr>
        <w:t>powyższe elementy nie są wymagane.</w:t>
      </w:r>
    </w:p>
    <w:p w14:paraId="22AD6CA2" w14:textId="51595C3C" w:rsidR="00D463BE" w:rsidRDefault="006F6644">
      <w:r>
        <w:t>Szczegółowe warunki dot. konkursu zawarte są w kryteriach wyboru projektów, zwłaszcza w kryteriach specyficznych formalnych i merytorycznych. Zawierają one także definicje lub odesłania do definicji oraz przykłady. Spełnianie przez projekt danego kryterium powinno być wprost wpisane do wniosku o dofinansowanie i uzasadnione, tak aby nie było żadnych wątpliwości w czasie oceny wniosku.</w:t>
      </w:r>
    </w:p>
    <w:p w14:paraId="6C345910" w14:textId="34F9F914" w:rsidR="00C41F45" w:rsidRDefault="00C41F45">
      <w:r>
        <w:t xml:space="preserve">W konkursie zastosowanie znalazło tzw. kryterium rozstrzygające – Gotowość projektu do realizacji – będzie ono </w:t>
      </w:r>
      <w:r w:rsidRPr="00C41F45">
        <w:t>decydowało o ostatecznej kolejności projektów na liście, gdy więcej niż jeden projekt ma taką samą liczbę punktów.</w:t>
      </w:r>
    </w:p>
    <w:sectPr w:rsidR="00C4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Filip Baranowski" w:date="2020-03-13T14:21:00Z" w:initials="FB">
    <w:p w14:paraId="6C5924BE" w14:textId="77777777" w:rsidR="00B63564" w:rsidRDefault="00B63564">
      <w:pPr>
        <w:pStyle w:val="Tekstkomentarza"/>
      </w:pPr>
      <w:r>
        <w:rPr>
          <w:rStyle w:val="Odwoaniedokomentarza"/>
        </w:rPr>
        <w:annotationRef/>
      </w:r>
      <w:r>
        <w:t>Co do zasady są to elementy, których nie da się opisać adekwatnym wskaźnikiem produktu, np. nie ma w SzOOP wskaźnika dot. stacji ładowania pojazdów. Dlatego projekt musi dotyczyć w przeważającej części infrastruktury posiadającej wskaźnik, np.  centra przesiadkowe lub obiekty P&amp;R.</w:t>
      </w:r>
    </w:p>
  </w:comment>
  <w:comment w:id="4" w:author="Filip Baranowski" w:date="2020-03-13T14:26:00Z" w:initials="FB">
    <w:p w14:paraId="32E38D27" w14:textId="77777777" w:rsidR="00B63564" w:rsidRDefault="00B63564">
      <w:pPr>
        <w:pStyle w:val="Tekstkomentarza"/>
      </w:pPr>
      <w:r>
        <w:rPr>
          <w:rStyle w:val="Odwoaniedokomentarza"/>
        </w:rPr>
        <w:annotationRef/>
      </w:r>
      <w:r>
        <w:t>Przy łączeniu typów przestrzegamy zasady dot. limitowania infrastruktury nie objętej wskaźnikami.</w:t>
      </w:r>
    </w:p>
  </w:comment>
  <w:comment w:id="5" w:author="Filip Baranowski" w:date="2020-03-13T14:36:00Z" w:initials="FB">
    <w:p w14:paraId="5EAADC05" w14:textId="77777777" w:rsidR="00F374B5" w:rsidRDefault="00F374B5">
      <w:pPr>
        <w:pStyle w:val="Tekstkomentarza"/>
        <w:rPr>
          <w:i/>
          <w:iCs/>
        </w:rPr>
      </w:pPr>
      <w:r>
        <w:rPr>
          <w:rStyle w:val="Odwoaniedokomentarza"/>
        </w:rPr>
        <w:annotationRef/>
      </w:r>
      <w:r>
        <w:t xml:space="preserve">Zgodnie z załącznikiem 4 do Rozporządzenia Ministra Infrastruktury z dn. 3 lipca 2003 r. w sprawie szczegółowych warunków technicznych dla znaków i sygnałów drogowych oraz urządzeń bezpieczeństwa ruchu drogowego i warunków ich umieszczania na drogach: </w:t>
      </w:r>
    </w:p>
    <w:p w14:paraId="5BC79743" w14:textId="77777777" w:rsidR="00F374B5" w:rsidRDefault="00F374B5">
      <w:pPr>
        <w:pStyle w:val="Tekstkomentarza"/>
        <w:rPr>
          <w:i/>
          <w:iCs/>
        </w:rPr>
      </w:pPr>
      <w:r>
        <w:rPr>
          <w:i/>
          <w:iCs/>
        </w:rPr>
        <w:t>Do zabezpieczenia powierzchni przeznaczonych dla pieszych i rowerzystów lub w celu separacji ruchu lokalnego od tranzytowego stosuje się:</w:t>
      </w:r>
    </w:p>
    <w:p w14:paraId="1302D151" w14:textId="77777777" w:rsidR="00F374B5" w:rsidRDefault="00F374B5">
      <w:pPr>
        <w:pStyle w:val="Tekstkomentarza"/>
        <w:rPr>
          <w:i/>
          <w:iCs/>
        </w:rPr>
      </w:pPr>
      <w:r>
        <w:rPr>
          <w:i/>
          <w:iCs/>
        </w:rPr>
        <w:t>- separatory,</w:t>
      </w:r>
    </w:p>
    <w:p w14:paraId="6E24BA15" w14:textId="77777777" w:rsidR="00F374B5" w:rsidRDefault="00F374B5">
      <w:pPr>
        <w:pStyle w:val="Tekstkomentarza"/>
        <w:rPr>
          <w:i/>
          <w:iCs/>
        </w:rPr>
      </w:pPr>
      <w:r>
        <w:rPr>
          <w:i/>
          <w:iCs/>
        </w:rPr>
        <w:t>- azyle prefabrykowane lub wbudowane na stałe,</w:t>
      </w:r>
    </w:p>
    <w:p w14:paraId="1203B789" w14:textId="77777777" w:rsidR="00F374B5" w:rsidRDefault="00F374B5">
      <w:pPr>
        <w:pStyle w:val="Tekstkomentarza"/>
        <w:rPr>
          <w:i/>
          <w:iCs/>
        </w:rPr>
      </w:pPr>
      <w:r>
        <w:rPr>
          <w:i/>
          <w:iCs/>
        </w:rPr>
        <w:t>- balustrady, poręcze i barieroporęcze,</w:t>
      </w:r>
    </w:p>
    <w:p w14:paraId="33A4B8A5" w14:textId="77777777" w:rsidR="00F374B5" w:rsidRDefault="00F374B5">
      <w:pPr>
        <w:pStyle w:val="Tekstkomentarza"/>
        <w:rPr>
          <w:i/>
          <w:iCs/>
        </w:rPr>
      </w:pPr>
      <w:r>
        <w:rPr>
          <w:i/>
          <w:iCs/>
        </w:rPr>
        <w:t>- ogrodzenia segmentowe i łańcuchowe,</w:t>
      </w:r>
    </w:p>
    <w:p w14:paraId="514C5C6B" w14:textId="77777777" w:rsidR="00F374B5" w:rsidRDefault="00F374B5">
      <w:pPr>
        <w:pStyle w:val="Tekstkomentarza"/>
        <w:rPr>
          <w:i/>
          <w:iCs/>
        </w:rPr>
      </w:pPr>
      <w:r>
        <w:rPr>
          <w:i/>
          <w:iCs/>
        </w:rPr>
        <w:t>(…)</w:t>
      </w:r>
    </w:p>
    <w:p w14:paraId="798263D6" w14:textId="77777777" w:rsidR="00F374B5" w:rsidRPr="00F374B5" w:rsidRDefault="00F374B5">
      <w:pPr>
        <w:pStyle w:val="Tekstkomentarza"/>
        <w:rPr>
          <w:i/>
          <w:iCs/>
        </w:rPr>
      </w:pPr>
      <w:r>
        <w:rPr>
          <w:i/>
          <w:iCs/>
        </w:rPr>
        <w:t>- słupki metalowe lub z tworzywa sztucznego w formie prostej lub ozdobnej.</w:t>
      </w:r>
    </w:p>
    <w:p w14:paraId="1A3D0952" w14:textId="77777777" w:rsidR="00F374B5" w:rsidRDefault="00F374B5">
      <w:pPr>
        <w:pStyle w:val="Tekstkomentarza"/>
      </w:pPr>
    </w:p>
  </w:comment>
  <w:comment w:id="6" w:author="Filip Baranowski" w:date="2020-03-13T14:44:00Z" w:initials="FB">
    <w:p w14:paraId="556169C7" w14:textId="1AFCA151" w:rsidR="002E0902" w:rsidRDefault="002E0902">
      <w:pPr>
        <w:pStyle w:val="Tekstkomentarza"/>
      </w:pPr>
      <w:r>
        <w:rPr>
          <w:rStyle w:val="Odwoaniedokomentarza"/>
        </w:rPr>
        <w:annotationRef/>
      </w:r>
      <w:r>
        <w:t>W kryteriach wyboru merytorycznych specyficznych wskazane są konkretne przypadki, w których należy opisać i uprawdopodobnić oddziaływanie infrastruktury mającej być przedmiotem projektu na realizację celu, tj. ograniczenie niskiej emisji transportowej.</w:t>
      </w:r>
      <w:r w:rsidR="0053778C">
        <w:t xml:space="preserve"> We wniosku należy wskazać i uzasadnić, dlaczego dana inwestycja wpisuje się w cel konkursu, w niektórych przypadkach należy poprzeć uzasadnienie wyliczeniami. Np. projekt przyczyni się do ograniczenia niskiej emisji transportowej, ponieważ obiekt P&amp;R zakłada miejsca postojowe dla 100 samochodów, co oznacza, że nie wjadą one do centrum, a ich kierowcy skorzystają z transportu publicznego. Średnie spalanie samochodu wynosi …. co oznacza …. kg CO2.</w:t>
      </w:r>
    </w:p>
  </w:comment>
  <w:comment w:id="7" w:author="Filip Baranowski" w:date="2020-03-13T15:22:00Z" w:initials="FB">
    <w:p w14:paraId="3DD54441" w14:textId="1F7B2892" w:rsidR="005A3303" w:rsidRDefault="005A3303">
      <w:pPr>
        <w:pStyle w:val="Tekstkomentarza"/>
      </w:pPr>
      <w:r>
        <w:rPr>
          <w:rStyle w:val="Odwoaniedokomentarza"/>
        </w:rPr>
        <w:annotationRef/>
      </w:r>
      <w:r>
        <w:t>W działaniu 3.4 nie ma możliwości realizacji samodzielnych projektów drogowych a jedynie objęte limitem inwestycje w drogi związane wyłącznie z poprawą funkcjonowania transportu publicznego</w:t>
      </w:r>
    </w:p>
  </w:comment>
  <w:comment w:id="8" w:author="Filip Baranowski" w:date="2020-03-13T14:46:00Z" w:initials="FB">
    <w:p w14:paraId="26FFCCAB" w14:textId="3D6A46CF" w:rsidR="002E0902" w:rsidRDefault="002E0902">
      <w:pPr>
        <w:pStyle w:val="Tekstkomentarza"/>
      </w:pPr>
      <w:r>
        <w:rPr>
          <w:rStyle w:val="Odwoaniedokomentarza"/>
        </w:rPr>
        <w:annotationRef/>
      </w:r>
      <w:r>
        <w:t>Oznacza to, że można np. przebudować tunel albo wiadukt w celu usprawnienia ruchu autobusów</w:t>
      </w:r>
      <w:r w:rsidR="005A3303">
        <w:t xml:space="preserve"> (tramwajów)</w:t>
      </w:r>
      <w:r>
        <w:t xml:space="preserve"> lub przebudować drogę o pas skrętu dla autobusów w limicie 35% wydatków kwalifikowalnych w projekcie, np. budując obiekt P&amp;R albo centrum przesiadkowe albo drogi dla rowerów. Istotne aby infrastruktura drogowa służyłaś transportowi publicznemu ale nie jest warunkiem koniecznym, by pozostałe 65% wydatków w projekcie</w:t>
      </w:r>
      <w:r w:rsidR="00C42F22">
        <w:t xml:space="preserve"> dotyczyło infrastruktury transportu publicznego, tj. np. centrum przesiadkowemu. Inwestycja drogowa poświęcona transportowi publicznemu może być wykonana przy okazji np. budowy drogi dla rowerów – w tej samej albo innej lokalizacji.</w:t>
      </w:r>
    </w:p>
  </w:comment>
  <w:comment w:id="9" w:author="Filip Baranowski" w:date="2020-03-13T14:58:00Z" w:initials="FB">
    <w:p w14:paraId="02AB4949" w14:textId="77777777" w:rsidR="00254FCC" w:rsidRDefault="00254FCC">
      <w:pPr>
        <w:pStyle w:val="Tekstkomentarza"/>
      </w:pPr>
      <w:r>
        <w:rPr>
          <w:rStyle w:val="Odwoaniedokomentarza"/>
        </w:rPr>
        <w:annotationRef/>
      </w:r>
      <w:r>
        <w:t>W czasie konkursu Instytucja Zarządzająca nie weryfikuje zapisów w Planie Gospodarki Niskoemisyjnej. Wnioskodawca powinien zadbać o wpisanie zadania / inwestycji do właściwego gminnego PGN, tak aby bez problemu otrzymać z urzędu gminy pisemne potwierdzenie tego faktu (zaświadczenie). IZ RPO dokonuje oceny formalnej na podstawie tego zaświadczenia.</w:t>
      </w:r>
    </w:p>
    <w:p w14:paraId="1C1F0700" w14:textId="73E29A76" w:rsidR="00254FCC" w:rsidRDefault="00254FCC" w:rsidP="00254FCC">
      <w:pPr>
        <w:pStyle w:val="Tekstkomentarza"/>
      </w:pPr>
      <w:r>
        <w:t>Instytucja Zarządzająca opracowała zalecenia, którymi mogą kierować się gminy podczas przygotowywania / aktualizowania planów. Zostały one ujęte w Załączniku nr 4 do Szczegółowego opisu osi priorytetowych RPO WD 2014-2020  - Zalecenia IZ RPO WD do tworzenia Planów gospodarki niskoemisyjnej w gminach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5924BE" w15:done="0"/>
  <w15:commentEx w15:paraId="32E38D27" w15:done="0"/>
  <w15:commentEx w15:paraId="1A3D0952" w15:done="0"/>
  <w15:commentEx w15:paraId="556169C7" w15:done="0"/>
  <w15:commentEx w15:paraId="3DD54441" w15:done="0"/>
  <w15:commentEx w15:paraId="26FFCCAB" w15:done="0"/>
  <w15:commentEx w15:paraId="1C1F07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5924BE" w16cid:durableId="2216155E"/>
  <w16cid:commentId w16cid:paraId="32E38D27" w16cid:durableId="22161698"/>
  <w16cid:commentId w16cid:paraId="1A3D0952" w16cid:durableId="221618DA"/>
  <w16cid:commentId w16cid:paraId="556169C7" w16cid:durableId="22161AC6"/>
  <w16cid:commentId w16cid:paraId="3DD54441" w16cid:durableId="221623BB"/>
  <w16cid:commentId w16cid:paraId="26FFCCAB" w16cid:durableId="22161B43"/>
  <w16cid:commentId w16cid:paraId="1C1F0700" w16cid:durableId="22161E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62E"/>
    <w:multiLevelType w:val="hybridMultilevel"/>
    <w:tmpl w:val="8620F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043E5"/>
    <w:multiLevelType w:val="hybridMultilevel"/>
    <w:tmpl w:val="4F2CCA4C"/>
    <w:lvl w:ilvl="0" w:tplc="257EC914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8C68A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CDC4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280DA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2D228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413A8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8001E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A17A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CAF14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35462B"/>
    <w:multiLevelType w:val="hybridMultilevel"/>
    <w:tmpl w:val="2E4C7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05B91"/>
    <w:multiLevelType w:val="hybridMultilevel"/>
    <w:tmpl w:val="F6DC1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 Baranowski">
    <w15:presenceInfo w15:providerId="AD" w15:userId="S-1-5-21-993268263-2097026863-2477634896-3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25"/>
    <w:rsid w:val="00066725"/>
    <w:rsid w:val="00254FCC"/>
    <w:rsid w:val="002E0902"/>
    <w:rsid w:val="003B485E"/>
    <w:rsid w:val="0053778C"/>
    <w:rsid w:val="005A3303"/>
    <w:rsid w:val="006F6644"/>
    <w:rsid w:val="00A861E5"/>
    <w:rsid w:val="00B63564"/>
    <w:rsid w:val="00C41F45"/>
    <w:rsid w:val="00C42F22"/>
    <w:rsid w:val="00C66EA7"/>
    <w:rsid w:val="00D463BE"/>
    <w:rsid w:val="00DC21C8"/>
    <w:rsid w:val="00EE0EB7"/>
    <w:rsid w:val="00F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0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5E"/>
    <w:pPr>
      <w:spacing w:after="4" w:line="368" w:lineRule="auto"/>
      <w:ind w:left="67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B485E"/>
    <w:pPr>
      <w:keepNext/>
      <w:keepLines/>
      <w:numPr>
        <w:numId w:val="1"/>
      </w:numPr>
      <w:spacing w:before="480" w:after="120" w:line="240" w:lineRule="auto"/>
      <w:jc w:val="both"/>
      <w:outlineLvl w:val="0"/>
    </w:pPr>
    <w:rPr>
      <w:rFonts w:eastAsia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85E"/>
    <w:rPr>
      <w:rFonts w:eastAsia="Calibri" w:cs="Calibri"/>
      <w:b/>
      <w:color w:val="000000"/>
      <w:sz w:val="24"/>
      <w:lang w:eastAsia="pl-PL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485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485E"/>
    <w:rPr>
      <w:rFonts w:ascii="Calibri" w:eastAsia="Calibri" w:hAnsi="Calibri" w:cs="Calibri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56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56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56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5E"/>
    <w:pPr>
      <w:spacing w:after="4" w:line="368" w:lineRule="auto"/>
      <w:ind w:left="67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B485E"/>
    <w:pPr>
      <w:keepNext/>
      <w:keepLines/>
      <w:numPr>
        <w:numId w:val="1"/>
      </w:numPr>
      <w:spacing w:before="480" w:after="120" w:line="240" w:lineRule="auto"/>
      <w:jc w:val="both"/>
      <w:outlineLvl w:val="0"/>
    </w:pPr>
    <w:rPr>
      <w:rFonts w:eastAsia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85E"/>
    <w:rPr>
      <w:rFonts w:eastAsia="Calibri" w:cs="Calibri"/>
      <w:b/>
      <w:color w:val="000000"/>
      <w:sz w:val="24"/>
      <w:lang w:eastAsia="pl-PL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485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485E"/>
    <w:rPr>
      <w:rFonts w:ascii="Calibri" w:eastAsia="Calibri" w:hAnsi="Calibri" w:cs="Calibri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56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56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56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Baranowski</dc:creator>
  <cp:lastModifiedBy>Magdalena Kula</cp:lastModifiedBy>
  <cp:revision>2</cp:revision>
  <dcterms:created xsi:type="dcterms:W3CDTF">2020-03-16T08:58:00Z</dcterms:created>
  <dcterms:modified xsi:type="dcterms:W3CDTF">2020-03-16T08:58:00Z</dcterms:modified>
</cp:coreProperties>
</file>