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1D7" w:rsidRPr="00440CD9" w:rsidRDefault="009D3C56" w:rsidP="0076746F">
      <w:pPr>
        <w:autoSpaceDE w:val="0"/>
        <w:autoSpaceDN w:val="0"/>
        <w:adjustRightInd w:val="0"/>
        <w:spacing w:before="0" w:line="240" w:lineRule="auto"/>
        <w:jc w:val="center"/>
        <w:rPr>
          <w:rFonts w:ascii="Calibri" w:hAnsi="Calibri" w:cs="Calibri"/>
          <w:b/>
          <w:color w:val="000000"/>
          <w:sz w:val="20"/>
        </w:rPr>
      </w:pPr>
      <w:bookmarkStart w:id="0" w:name="_Toc426632922"/>
      <w:bookmarkStart w:id="1" w:name="_Toc430826826"/>
      <w:bookmarkStart w:id="2" w:name="_Toc432758974"/>
      <w:r w:rsidRPr="00440CD9">
        <w:rPr>
          <w:rFonts w:ascii="Calibri" w:hAnsi="Calibri" w:cs="Calibri"/>
          <w:b/>
          <w:color w:val="000000"/>
          <w:sz w:val="20"/>
        </w:rPr>
        <w:t xml:space="preserve">Lista wskaźników na poziomie projektu </w:t>
      </w:r>
      <w:r w:rsidR="00440CD9" w:rsidRPr="00440CD9">
        <w:rPr>
          <w:rFonts w:ascii="Calibri" w:hAnsi="Calibri" w:cs="Calibri"/>
          <w:b/>
          <w:color w:val="000000"/>
          <w:sz w:val="20"/>
        </w:rPr>
        <w:t>RPO WD 2014-2020</w:t>
      </w:r>
    </w:p>
    <w:p w:rsidR="00EE0005" w:rsidRPr="00440CD9" w:rsidRDefault="009D3C56" w:rsidP="0076746F">
      <w:pPr>
        <w:autoSpaceDE w:val="0"/>
        <w:autoSpaceDN w:val="0"/>
        <w:adjustRightInd w:val="0"/>
        <w:spacing w:before="0" w:line="240" w:lineRule="auto"/>
        <w:jc w:val="center"/>
        <w:rPr>
          <w:rFonts w:ascii="Calibri" w:hAnsi="Calibri" w:cs="Calibri"/>
          <w:b/>
          <w:color w:val="000000"/>
          <w:sz w:val="20"/>
        </w:rPr>
      </w:pPr>
      <w:r w:rsidRPr="00440CD9">
        <w:rPr>
          <w:rFonts w:ascii="Calibri" w:hAnsi="Calibri" w:cs="Calibri"/>
          <w:b/>
          <w:color w:val="000000"/>
          <w:sz w:val="20"/>
        </w:rPr>
        <w:t xml:space="preserve">dla </w:t>
      </w:r>
      <w:r w:rsidR="00FA51D7" w:rsidRPr="00440CD9">
        <w:rPr>
          <w:rFonts w:ascii="Calibri" w:hAnsi="Calibri" w:cs="Calibri"/>
          <w:b/>
          <w:color w:val="000000"/>
          <w:sz w:val="20"/>
        </w:rPr>
        <w:t xml:space="preserve">Działania </w:t>
      </w:r>
      <w:r w:rsidR="00352B50" w:rsidRPr="00440CD9">
        <w:rPr>
          <w:rFonts w:ascii="Calibri" w:hAnsi="Calibri" w:cs="Calibri"/>
          <w:b/>
          <w:color w:val="000000"/>
          <w:sz w:val="20"/>
        </w:rPr>
        <w:t>3.</w:t>
      </w:r>
      <w:r w:rsidRPr="00440CD9">
        <w:rPr>
          <w:rFonts w:ascii="Calibri" w:hAnsi="Calibri" w:cs="Calibri"/>
          <w:b/>
          <w:color w:val="000000"/>
          <w:sz w:val="20"/>
        </w:rPr>
        <w:t>4</w:t>
      </w:r>
      <w:r w:rsidR="00FA51D7" w:rsidRPr="00440CD9">
        <w:rPr>
          <w:rFonts w:ascii="Calibri" w:hAnsi="Calibri" w:cs="Calibri"/>
          <w:b/>
          <w:color w:val="000000"/>
          <w:sz w:val="20"/>
        </w:rPr>
        <w:t xml:space="preserve"> </w:t>
      </w:r>
      <w:r w:rsidR="00352B50" w:rsidRPr="00440CD9">
        <w:rPr>
          <w:rFonts w:ascii="Calibri" w:hAnsi="Calibri" w:cs="Calibri"/>
          <w:b/>
          <w:color w:val="000000"/>
          <w:sz w:val="20"/>
        </w:rPr>
        <w:t xml:space="preserve">Wdrażanie strategii niskoemisyjnych </w:t>
      </w:r>
    </w:p>
    <w:p w:rsidR="009D3C56" w:rsidRDefault="009E60AF" w:rsidP="0076746F">
      <w:pPr>
        <w:autoSpaceDE w:val="0"/>
        <w:autoSpaceDN w:val="0"/>
        <w:adjustRightInd w:val="0"/>
        <w:spacing w:before="0" w:line="240" w:lineRule="auto"/>
        <w:jc w:val="center"/>
        <w:rPr>
          <w:rFonts w:ascii="Calibri" w:hAnsi="Calibri" w:cs="Arial"/>
          <w:b/>
          <w:bCs/>
          <w:sz w:val="20"/>
        </w:rPr>
      </w:pPr>
      <w:r w:rsidRPr="00440CD9">
        <w:rPr>
          <w:rFonts w:ascii="Calibri" w:hAnsi="Calibri" w:cs="Calibri"/>
          <w:b/>
          <w:color w:val="000000"/>
          <w:sz w:val="20"/>
        </w:rPr>
        <w:t>P</w:t>
      </w:r>
      <w:r w:rsidR="00EE0005" w:rsidRPr="00440CD9">
        <w:rPr>
          <w:rFonts w:ascii="Calibri" w:hAnsi="Calibri" w:cs="Calibri"/>
          <w:b/>
          <w:color w:val="000000"/>
          <w:sz w:val="20"/>
        </w:rPr>
        <w:t>oddziałani</w:t>
      </w:r>
      <w:r w:rsidR="00440CD9">
        <w:rPr>
          <w:rFonts w:ascii="Calibri" w:hAnsi="Calibri" w:cs="Calibri"/>
          <w:b/>
          <w:color w:val="000000"/>
          <w:sz w:val="20"/>
        </w:rPr>
        <w:t>e</w:t>
      </w:r>
      <w:r w:rsidR="00EE0005" w:rsidRPr="00440CD9">
        <w:rPr>
          <w:rFonts w:ascii="Calibri" w:eastAsia="Droid Sans Fallback" w:hAnsi="Calibri" w:cs="Calibri"/>
          <w:b/>
          <w:color w:val="00000A"/>
          <w:sz w:val="20"/>
        </w:rPr>
        <w:t xml:space="preserve"> 3.4.2 </w:t>
      </w:r>
      <w:r w:rsidR="00EE0005" w:rsidRPr="00440CD9">
        <w:rPr>
          <w:rFonts w:ascii="Calibri" w:hAnsi="Calibri" w:cs="Arial"/>
          <w:b/>
          <w:bCs/>
          <w:sz w:val="20"/>
        </w:rPr>
        <w:t xml:space="preserve">Wdrażanie strategii niskoemisyjnych - ZIT </w:t>
      </w:r>
      <w:proofErr w:type="spellStart"/>
      <w:r w:rsidR="00EE0005" w:rsidRPr="00440CD9">
        <w:rPr>
          <w:rFonts w:ascii="Calibri" w:hAnsi="Calibri" w:cs="Arial"/>
          <w:b/>
          <w:bCs/>
          <w:sz w:val="20"/>
        </w:rPr>
        <w:t>WrOF</w:t>
      </w:r>
      <w:proofErr w:type="spellEnd"/>
      <w:r w:rsidR="00440CD9" w:rsidRPr="00440CD9">
        <w:rPr>
          <w:rFonts w:ascii="Calibri" w:hAnsi="Calibri" w:cs="Arial"/>
          <w:b/>
          <w:bCs/>
          <w:sz w:val="20"/>
        </w:rPr>
        <w:t>:</w:t>
      </w:r>
    </w:p>
    <w:p w:rsidR="00440CD9" w:rsidRPr="00440CD9" w:rsidRDefault="00440CD9" w:rsidP="0076746F">
      <w:pPr>
        <w:autoSpaceDE w:val="0"/>
        <w:autoSpaceDN w:val="0"/>
        <w:adjustRightInd w:val="0"/>
        <w:spacing w:before="0" w:line="240" w:lineRule="auto"/>
        <w:jc w:val="center"/>
        <w:rPr>
          <w:rFonts w:ascii="Calibri" w:hAnsi="Calibri" w:cs="Arial"/>
          <w:b/>
          <w:bCs/>
          <w:sz w:val="20"/>
        </w:rPr>
      </w:pPr>
    </w:p>
    <w:p w:rsidR="00440CD9" w:rsidRDefault="00440CD9" w:rsidP="0076746F">
      <w:pPr>
        <w:autoSpaceDE w:val="0"/>
        <w:autoSpaceDN w:val="0"/>
        <w:adjustRightInd w:val="0"/>
        <w:spacing w:before="0" w:line="240" w:lineRule="auto"/>
        <w:jc w:val="both"/>
        <w:rPr>
          <w:rFonts w:ascii="Calibri" w:hAnsi="Calibri"/>
          <w:b/>
          <w:sz w:val="20"/>
        </w:rPr>
      </w:pPr>
      <w:r w:rsidRPr="00440CD9">
        <w:rPr>
          <w:rFonts w:ascii="Calibri" w:hAnsi="Calibri"/>
          <w:b/>
          <w:sz w:val="20"/>
        </w:rPr>
        <w:t>3.4 b inwestycje ograniczające indywidualny ruch zmotoryzowany w centrach miast np. P&amp;R, B&amp;R, zintegrowane centra przesiadkowe, stacje ładowania pojazdów elektrycznych, stacje tankowania paliw alternatywnych (np. CNG, LNG, LPG), w</w:t>
      </w:r>
      <w:bookmarkStart w:id="3" w:name="_GoBack"/>
      <w:bookmarkEnd w:id="3"/>
      <w:r w:rsidRPr="00440CD9">
        <w:rPr>
          <w:rFonts w:ascii="Calibri" w:hAnsi="Calibri"/>
          <w:b/>
          <w:sz w:val="20"/>
        </w:rPr>
        <w:t>spólny bilet</w:t>
      </w:r>
    </w:p>
    <w:p w:rsidR="00440CD9" w:rsidRPr="00440CD9" w:rsidRDefault="00440CD9" w:rsidP="0076746F">
      <w:pPr>
        <w:autoSpaceDE w:val="0"/>
        <w:autoSpaceDN w:val="0"/>
        <w:adjustRightInd w:val="0"/>
        <w:spacing w:before="0" w:line="240" w:lineRule="auto"/>
        <w:jc w:val="both"/>
        <w:rPr>
          <w:rFonts w:ascii="Calibri" w:hAnsi="Calibri"/>
          <w:b/>
          <w:sz w:val="20"/>
        </w:rPr>
      </w:pPr>
    </w:p>
    <w:p w:rsidR="00440CD9" w:rsidRPr="00440CD9" w:rsidRDefault="00440CD9" w:rsidP="0076746F">
      <w:pPr>
        <w:autoSpaceDE w:val="0"/>
        <w:autoSpaceDN w:val="0"/>
        <w:adjustRightInd w:val="0"/>
        <w:spacing w:before="0" w:line="240" w:lineRule="auto"/>
        <w:jc w:val="both"/>
        <w:rPr>
          <w:rFonts w:ascii="Calibri" w:hAnsi="Calibri"/>
          <w:b/>
          <w:sz w:val="20"/>
        </w:rPr>
      </w:pPr>
      <w:r w:rsidRPr="00440CD9">
        <w:rPr>
          <w:rFonts w:ascii="Calibri" w:hAnsi="Calibri"/>
          <w:b/>
          <w:sz w:val="20"/>
        </w:rPr>
        <w:t>3.4 d inwestycje ograniczające indywidualny ruch zmotoryzowany w centrach miast: drogi rowerowe, ciągi pieszo – rowerowe</w:t>
      </w:r>
    </w:p>
    <w:bookmarkEnd w:id="0"/>
    <w:bookmarkEnd w:id="1"/>
    <w:bookmarkEnd w:id="2"/>
    <w:p w:rsidR="00A81480" w:rsidRPr="008940B1" w:rsidRDefault="00A81480" w:rsidP="0076746F">
      <w:pPr>
        <w:autoSpaceDE w:val="0"/>
        <w:autoSpaceDN w:val="0"/>
        <w:spacing w:before="120" w:after="120" w:line="240" w:lineRule="auto"/>
        <w:jc w:val="both"/>
        <w:rPr>
          <w:rFonts w:asciiTheme="minorHAnsi" w:eastAsiaTheme="minorHAnsi" w:hAnsiTheme="minorHAnsi" w:cs="Calibri"/>
          <w:sz w:val="20"/>
          <w:lang w:eastAsia="en-US"/>
        </w:rPr>
      </w:pPr>
      <w:r w:rsidRPr="008940B1">
        <w:rPr>
          <w:rFonts w:asciiTheme="minorHAnsi" w:eastAsiaTheme="minorHAnsi" w:hAnsiTheme="minorHAnsi" w:cs="Calibri"/>
          <w:sz w:val="20"/>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A81480" w:rsidRPr="008940B1" w:rsidRDefault="00A81480" w:rsidP="0076746F">
      <w:pPr>
        <w:autoSpaceDE w:val="0"/>
        <w:autoSpaceDN w:val="0"/>
        <w:spacing w:before="120" w:after="120" w:line="240" w:lineRule="auto"/>
        <w:jc w:val="both"/>
        <w:rPr>
          <w:rFonts w:asciiTheme="minorHAnsi" w:hAnsiTheme="minorHAnsi"/>
          <w:sz w:val="20"/>
        </w:rPr>
      </w:pPr>
      <w:r w:rsidRPr="008940B1">
        <w:rPr>
          <w:rFonts w:asciiTheme="minorHAnsi" w:eastAsiaTheme="minorHAnsi" w:hAnsiTheme="minorHAnsi" w:cs="Calibri"/>
          <w:sz w:val="20"/>
          <w:lang w:eastAsia="en-US"/>
        </w:rPr>
        <w:t xml:space="preserve">Wybór wskaźników projektu powinien być powiązany z typem realizowanego przedsięwzięcia i planowanymi działaniami, które wnioskodawca zamierza podjąć w ramach projektu. </w:t>
      </w:r>
      <w:r w:rsidRPr="008940B1">
        <w:rPr>
          <w:rFonts w:asciiTheme="minorHAnsi" w:eastAsiaTheme="minorHAnsi" w:hAnsiTheme="minorHAnsi" w:cs="Calibri"/>
          <w:bCs/>
          <w:sz w:val="20"/>
          <w:lang w:eastAsia="en-US"/>
        </w:rPr>
        <w:t>Do celu głównego projektu wnioskodawca powinien dobrać odpowiednie wskaźniki, produktu i rezultatu</w:t>
      </w:r>
      <w:r w:rsidRPr="008940B1">
        <w:rPr>
          <w:rFonts w:asciiTheme="minorHAnsi" w:eastAsiaTheme="minorHAnsi" w:hAnsiTheme="minorHAnsi" w:cs="Calibri"/>
          <w:sz w:val="20"/>
          <w:lang w:eastAsia="en-US"/>
        </w:rPr>
        <w:t xml:space="preserve"> bezpośredniego. Muszą być logicznie powiązane z projektem i spójne. </w:t>
      </w:r>
    </w:p>
    <w:p w:rsidR="00A81480" w:rsidRPr="008940B1" w:rsidRDefault="00A81480" w:rsidP="0076746F">
      <w:pPr>
        <w:autoSpaceDE w:val="0"/>
        <w:autoSpaceDN w:val="0"/>
        <w:spacing w:before="120" w:after="120" w:line="240" w:lineRule="auto"/>
        <w:jc w:val="both"/>
        <w:rPr>
          <w:rFonts w:asciiTheme="minorHAnsi" w:eastAsiaTheme="minorHAnsi" w:hAnsiTheme="minorHAnsi" w:cs="Calibri"/>
          <w:sz w:val="20"/>
          <w:lang w:eastAsia="en-US"/>
        </w:rPr>
      </w:pPr>
      <w:r w:rsidRPr="008940B1">
        <w:rPr>
          <w:rFonts w:asciiTheme="minorHAnsi" w:hAnsiTheme="minorHAnsi"/>
          <w:sz w:val="20"/>
        </w:rPr>
        <w:t>Każdy ze wskaźników powinien posiadać następujące cechy:</w:t>
      </w:r>
    </w:p>
    <w:p w:rsidR="00A81480" w:rsidRPr="008940B1" w:rsidRDefault="00A81480" w:rsidP="0076746F">
      <w:pPr>
        <w:numPr>
          <w:ilvl w:val="0"/>
          <w:numId w:val="10"/>
        </w:numPr>
        <w:autoSpaceDE w:val="0"/>
        <w:autoSpaceDN w:val="0"/>
        <w:spacing w:before="0" w:line="240" w:lineRule="auto"/>
        <w:ind w:left="284" w:hanging="284"/>
        <w:jc w:val="both"/>
        <w:rPr>
          <w:rFonts w:asciiTheme="minorHAnsi" w:hAnsiTheme="minorHAnsi"/>
          <w:sz w:val="20"/>
        </w:rPr>
      </w:pPr>
      <w:r w:rsidRPr="008940B1">
        <w:rPr>
          <w:rFonts w:asciiTheme="minorHAnsi" w:hAnsiTheme="minorHAnsi"/>
          <w:sz w:val="20"/>
        </w:rPr>
        <w:t>adekwatność – wskaźnik powinien być dostosowany do charakteru projektu oraz oczekiwanych efektów związanych z jego realizacją;</w:t>
      </w:r>
    </w:p>
    <w:p w:rsidR="00A81480" w:rsidRPr="008940B1" w:rsidRDefault="00A81480" w:rsidP="0076746F">
      <w:pPr>
        <w:numPr>
          <w:ilvl w:val="0"/>
          <w:numId w:val="10"/>
        </w:numPr>
        <w:autoSpaceDE w:val="0"/>
        <w:autoSpaceDN w:val="0"/>
        <w:spacing w:before="0" w:line="240" w:lineRule="auto"/>
        <w:ind w:left="284" w:hanging="284"/>
        <w:jc w:val="both"/>
        <w:rPr>
          <w:rFonts w:asciiTheme="minorHAnsi" w:hAnsiTheme="minorHAnsi"/>
          <w:sz w:val="20"/>
        </w:rPr>
      </w:pPr>
      <w:r w:rsidRPr="008940B1">
        <w:rPr>
          <w:rFonts w:asciiTheme="minorHAnsi" w:hAnsiTheme="minorHAnsi"/>
          <w:sz w:val="20"/>
        </w:rPr>
        <w:t>mierzalność – wskaźnik powinien być kwantyfikowalny, tj. wyrażony w wartościach liczbowych bądź finansowych;</w:t>
      </w:r>
    </w:p>
    <w:p w:rsidR="00A81480" w:rsidRPr="008940B1" w:rsidRDefault="00A81480" w:rsidP="0076746F">
      <w:pPr>
        <w:numPr>
          <w:ilvl w:val="0"/>
          <w:numId w:val="10"/>
        </w:numPr>
        <w:autoSpaceDE w:val="0"/>
        <w:autoSpaceDN w:val="0"/>
        <w:spacing w:before="0" w:line="240" w:lineRule="auto"/>
        <w:ind w:left="284" w:hanging="284"/>
        <w:jc w:val="both"/>
        <w:rPr>
          <w:rFonts w:asciiTheme="minorHAnsi" w:hAnsiTheme="minorHAnsi"/>
          <w:sz w:val="20"/>
        </w:rPr>
      </w:pPr>
      <w:r w:rsidRPr="008940B1">
        <w:rPr>
          <w:rFonts w:asciiTheme="minorHAnsi" w:hAnsiTheme="minorHAnsi"/>
          <w:sz w:val="20"/>
        </w:rPr>
        <w:t>wiarygodność – wskaźnik powinien być zdefiniowany w taki sposób, aby jego weryfikacja nie powodowała utrudnień;</w:t>
      </w:r>
    </w:p>
    <w:p w:rsidR="00A81480" w:rsidRPr="008940B1" w:rsidRDefault="00A81480" w:rsidP="0076746F">
      <w:pPr>
        <w:numPr>
          <w:ilvl w:val="0"/>
          <w:numId w:val="10"/>
        </w:numPr>
        <w:autoSpaceDE w:val="0"/>
        <w:autoSpaceDN w:val="0"/>
        <w:spacing w:before="0" w:line="240" w:lineRule="auto"/>
        <w:ind w:left="284" w:hanging="284"/>
        <w:jc w:val="both"/>
        <w:rPr>
          <w:rFonts w:asciiTheme="minorHAnsi" w:hAnsiTheme="minorHAnsi"/>
          <w:sz w:val="20"/>
        </w:rPr>
      </w:pPr>
      <w:r w:rsidRPr="008940B1">
        <w:rPr>
          <w:rFonts w:asciiTheme="minorHAnsi" w:hAnsiTheme="minorHAnsi"/>
          <w:sz w:val="20"/>
        </w:rPr>
        <w:t>dostępność – wskaźnik powinien być łatwy do określenia w wyniku realizacji projektu;</w:t>
      </w:r>
    </w:p>
    <w:p w:rsidR="00A81480" w:rsidRPr="008940B1" w:rsidRDefault="00A81480" w:rsidP="0076746F">
      <w:pPr>
        <w:numPr>
          <w:ilvl w:val="0"/>
          <w:numId w:val="10"/>
        </w:numPr>
        <w:autoSpaceDE w:val="0"/>
        <w:autoSpaceDN w:val="0"/>
        <w:spacing w:before="0" w:line="240" w:lineRule="auto"/>
        <w:ind w:left="284" w:hanging="284"/>
        <w:jc w:val="both"/>
        <w:rPr>
          <w:rFonts w:asciiTheme="minorHAnsi" w:hAnsiTheme="minorHAnsi"/>
          <w:sz w:val="20"/>
        </w:rPr>
      </w:pPr>
      <w:r w:rsidRPr="008940B1">
        <w:rPr>
          <w:rFonts w:asciiTheme="minorHAnsi" w:hAnsiTheme="minorHAnsi"/>
          <w:sz w:val="20"/>
        </w:rPr>
        <w:t>określony w czasie – wartość wskaźnika powinna zostać określona w czasie, tj. określony rok osiągnięcia wartości docelowej wskaźnika oraz okres, w którym będzie mierzony wskaźnik.</w:t>
      </w:r>
    </w:p>
    <w:p w:rsidR="00A81480" w:rsidRPr="008940B1" w:rsidRDefault="00A81480" w:rsidP="0076746F">
      <w:pPr>
        <w:autoSpaceDE w:val="0"/>
        <w:autoSpaceDN w:val="0"/>
        <w:adjustRightInd w:val="0"/>
        <w:spacing w:before="120" w:line="240" w:lineRule="auto"/>
        <w:jc w:val="both"/>
        <w:rPr>
          <w:rFonts w:asciiTheme="minorHAnsi" w:eastAsiaTheme="minorHAnsi" w:hAnsiTheme="minorHAnsi" w:cs="Calibri"/>
          <w:sz w:val="20"/>
          <w:lang w:eastAsia="en-US"/>
        </w:rPr>
      </w:pPr>
      <w:r w:rsidRPr="008940B1">
        <w:rPr>
          <w:rFonts w:asciiTheme="minorHAnsi" w:eastAsiaTheme="minorHAnsi" w:hAnsiTheme="minorHAnsi" w:cs="Calibri"/>
          <w:sz w:val="20"/>
          <w:lang w:eastAsia="en-US"/>
        </w:rPr>
        <w:t>Odpowiednio we wniosku o dofinansowanie należy określić, w jaki sposób mierzona będzie realizacja celu poprzez ustalenie wskaźników. Należy określić, co najmniej jeden podstawowy i mierzalny wskaźnik, który w sposób precyzyjny umożliwi weryfikację stopnia realizacji celu głównego projektu.</w:t>
      </w:r>
    </w:p>
    <w:p w:rsidR="00A81480" w:rsidRPr="008940B1" w:rsidRDefault="00A81480" w:rsidP="0076746F">
      <w:pPr>
        <w:spacing w:before="120" w:after="120" w:line="240" w:lineRule="auto"/>
        <w:jc w:val="both"/>
        <w:rPr>
          <w:rFonts w:asciiTheme="minorHAnsi" w:hAnsiTheme="minorHAnsi"/>
          <w:b/>
          <w:sz w:val="20"/>
        </w:rPr>
      </w:pPr>
      <w:r w:rsidRPr="008940B1">
        <w:rPr>
          <w:rFonts w:asciiTheme="minorHAnsi" w:hAnsiTheme="minorHAnsi"/>
          <w:b/>
          <w:sz w:val="20"/>
        </w:rPr>
        <w:t>W ramach RPO WD 2014-2020 rozróżnia się następujące wskaźniki:</w:t>
      </w:r>
    </w:p>
    <w:p w:rsidR="00A81480" w:rsidRPr="008940B1" w:rsidRDefault="00A81480" w:rsidP="0076746F">
      <w:pPr>
        <w:pStyle w:val="Akapitzlist"/>
        <w:numPr>
          <w:ilvl w:val="0"/>
          <w:numId w:val="5"/>
        </w:numPr>
        <w:spacing w:before="120" w:after="120" w:line="240" w:lineRule="auto"/>
        <w:ind w:left="284" w:hanging="284"/>
        <w:jc w:val="both"/>
        <w:rPr>
          <w:rFonts w:asciiTheme="minorHAnsi" w:hAnsiTheme="minorHAnsi"/>
          <w:b/>
          <w:sz w:val="20"/>
        </w:rPr>
      </w:pPr>
      <w:r w:rsidRPr="008940B1">
        <w:rPr>
          <w:rFonts w:asciiTheme="minorHAnsi" w:hAnsiTheme="minorHAnsi"/>
          <w:b/>
          <w:sz w:val="20"/>
        </w:rPr>
        <w:t>obligatoryjne – wskaźniki ujęte w RPO WD 2014-2020, SZOOP RPO WD 2014-2020;</w:t>
      </w:r>
    </w:p>
    <w:p w:rsidR="00A81480" w:rsidRPr="008940B1" w:rsidRDefault="00A81480" w:rsidP="0076746F">
      <w:pPr>
        <w:pStyle w:val="Akapitzlist"/>
        <w:numPr>
          <w:ilvl w:val="0"/>
          <w:numId w:val="5"/>
        </w:numPr>
        <w:spacing w:before="120" w:after="120" w:line="240" w:lineRule="auto"/>
        <w:ind w:left="284" w:hanging="284"/>
        <w:jc w:val="both"/>
        <w:rPr>
          <w:rFonts w:asciiTheme="minorHAnsi" w:hAnsiTheme="minorHAnsi"/>
          <w:b/>
          <w:sz w:val="20"/>
        </w:rPr>
      </w:pPr>
      <w:r w:rsidRPr="008940B1">
        <w:rPr>
          <w:rFonts w:asciiTheme="minorHAnsi" w:hAnsiTheme="minorHAnsi"/>
          <w:b/>
          <w:sz w:val="20"/>
        </w:rPr>
        <w:t>horyzontalne;</w:t>
      </w:r>
    </w:p>
    <w:p w:rsidR="00A81480" w:rsidRPr="008940B1" w:rsidRDefault="00A81480" w:rsidP="0076746F">
      <w:pPr>
        <w:pStyle w:val="Akapitzlist"/>
        <w:numPr>
          <w:ilvl w:val="0"/>
          <w:numId w:val="5"/>
        </w:numPr>
        <w:spacing w:before="120" w:after="120" w:line="240" w:lineRule="auto"/>
        <w:ind w:left="284" w:hanging="284"/>
        <w:jc w:val="both"/>
        <w:rPr>
          <w:rFonts w:asciiTheme="minorHAnsi" w:hAnsiTheme="minorHAnsi"/>
          <w:b/>
          <w:sz w:val="20"/>
        </w:rPr>
      </w:pPr>
      <w:r w:rsidRPr="008940B1">
        <w:rPr>
          <w:rFonts w:asciiTheme="minorHAnsi" w:hAnsiTheme="minorHAnsi"/>
          <w:b/>
          <w:sz w:val="20"/>
        </w:rPr>
        <w:t>dodatkowe – wskaźniki projektowe.</w:t>
      </w:r>
    </w:p>
    <w:p w:rsidR="00A81480" w:rsidRPr="008940B1" w:rsidRDefault="00A81480" w:rsidP="0076746F">
      <w:pPr>
        <w:pStyle w:val="Nagwek1"/>
        <w:spacing w:before="120" w:after="120" w:line="240" w:lineRule="auto"/>
        <w:jc w:val="both"/>
        <w:rPr>
          <w:rFonts w:asciiTheme="minorHAnsi" w:hAnsiTheme="minorHAnsi"/>
          <w:sz w:val="20"/>
          <w:szCs w:val="20"/>
        </w:rPr>
      </w:pPr>
      <w:r w:rsidRPr="008940B1">
        <w:rPr>
          <w:rFonts w:asciiTheme="minorHAnsi" w:hAnsiTheme="minorHAnsi"/>
          <w:sz w:val="20"/>
          <w:szCs w:val="20"/>
        </w:rPr>
        <w:t>Wymagania w zakresie wskaźników w projekcie:</w:t>
      </w:r>
    </w:p>
    <w:p w:rsidR="00A81480" w:rsidRPr="008940B1" w:rsidRDefault="00A81480" w:rsidP="0076746F">
      <w:pPr>
        <w:pStyle w:val="Default"/>
        <w:jc w:val="both"/>
        <w:rPr>
          <w:rFonts w:asciiTheme="minorHAnsi" w:eastAsiaTheme="minorHAnsi" w:hAnsiTheme="minorHAnsi" w:cs="Calibri"/>
          <w:lang w:eastAsia="en-US"/>
        </w:rPr>
      </w:pPr>
      <w:r w:rsidRPr="008940B1">
        <w:rPr>
          <w:rFonts w:asciiTheme="minorHAnsi" w:eastAsiaTheme="minorHAnsi" w:hAnsiTheme="minorHAnsi" w:cs="Calibri"/>
          <w:lang w:eastAsia="en-US"/>
        </w:rPr>
        <w:t xml:space="preserve">W ramach wniosku o dofinansowanie projektu wnioskodawca określa </w:t>
      </w:r>
      <w:r w:rsidRPr="008940B1">
        <w:rPr>
          <w:rFonts w:asciiTheme="minorHAnsi" w:eastAsiaTheme="minorHAnsi" w:hAnsiTheme="minorHAnsi" w:cs="Calibri"/>
          <w:b/>
          <w:bCs/>
          <w:lang w:eastAsia="en-US"/>
        </w:rPr>
        <w:t>wskaźniki służące pomiarowi działań i celów założonych w projekcie.</w:t>
      </w:r>
      <w:r w:rsidRPr="008940B1">
        <w:rPr>
          <w:rFonts w:asciiTheme="minorHAnsi" w:eastAsiaTheme="minorHAnsi" w:hAnsiTheme="minorHAnsi" w:cs="Calibri"/>
          <w:lang w:eastAsia="en-US"/>
        </w:rPr>
        <w:t xml:space="preserve"> Wskaźniki w ramach projektu należy określić mając w szczególności na uwadze zapisy niniejszego Regulaminu.</w:t>
      </w:r>
    </w:p>
    <w:p w:rsidR="00A81480" w:rsidRPr="008940B1" w:rsidRDefault="00A81480" w:rsidP="0076746F">
      <w:pPr>
        <w:pStyle w:val="Default"/>
        <w:jc w:val="both"/>
        <w:rPr>
          <w:rFonts w:asciiTheme="minorHAnsi" w:eastAsiaTheme="minorHAnsi" w:hAnsiTheme="minorHAnsi" w:cs="Calibri"/>
          <w:lang w:eastAsia="en-US"/>
        </w:rPr>
      </w:pPr>
    </w:p>
    <w:p w:rsidR="00A81480" w:rsidRPr="008940B1" w:rsidRDefault="00A81480" w:rsidP="0076746F">
      <w:pPr>
        <w:pStyle w:val="Default"/>
        <w:jc w:val="both"/>
        <w:rPr>
          <w:rFonts w:asciiTheme="minorHAnsi" w:hAnsiTheme="minorHAnsi"/>
          <w:b/>
        </w:rPr>
      </w:pPr>
      <w:r w:rsidRPr="008940B1">
        <w:rPr>
          <w:rFonts w:asciiTheme="minorHAnsi" w:hAnsiTheme="minorHAnsi"/>
          <w:b/>
        </w:rPr>
        <w:t>W przypadku, gdy w ramach danego Działania uwzględniony został wskaźnik z RPO WD 2014-2020, SZOOP RPO WD 2014-2020, który odzwierciedla zakres projektu, jego wykazanie dla wnioskodawcy jest obligatoryjne</w:t>
      </w:r>
      <w:r w:rsidR="00970181" w:rsidRPr="008940B1">
        <w:rPr>
          <w:rFonts w:asciiTheme="minorHAnsi" w:hAnsiTheme="minorHAnsi"/>
          <w:b/>
        </w:rPr>
        <w:t xml:space="preserve"> (także wskaźników horyzontalnych)</w:t>
      </w:r>
      <w:r w:rsidRPr="008940B1">
        <w:rPr>
          <w:rFonts w:asciiTheme="minorHAnsi" w:hAnsiTheme="minorHAnsi"/>
          <w:b/>
        </w:rPr>
        <w:t>.</w:t>
      </w:r>
    </w:p>
    <w:p w:rsidR="00A81480" w:rsidRDefault="00A81480" w:rsidP="0076746F">
      <w:pPr>
        <w:autoSpaceDE w:val="0"/>
        <w:autoSpaceDN w:val="0"/>
        <w:adjustRightInd w:val="0"/>
        <w:spacing w:line="240" w:lineRule="auto"/>
        <w:jc w:val="both"/>
        <w:rPr>
          <w:rFonts w:asciiTheme="minorHAnsi" w:hAnsiTheme="minorHAnsi" w:cs="Arial"/>
          <w:color w:val="000000"/>
          <w:sz w:val="20"/>
        </w:rPr>
      </w:pPr>
      <w:r w:rsidRPr="008940B1">
        <w:rPr>
          <w:rFonts w:asciiTheme="minorHAnsi" w:hAnsiTheme="minorHAnsi" w:cs="Arial"/>
          <w:b/>
          <w:color w:val="000000"/>
          <w:sz w:val="20"/>
        </w:rPr>
        <w:t>W</w:t>
      </w:r>
      <w:r w:rsidRPr="008940B1">
        <w:rPr>
          <w:rFonts w:asciiTheme="minorHAnsi" w:hAnsiTheme="minorHAnsi" w:cs="Arial"/>
          <w:b/>
          <w:bCs/>
          <w:color w:val="000000"/>
          <w:sz w:val="20"/>
        </w:rPr>
        <w:t>skaźniki produktu</w:t>
      </w:r>
      <w:r w:rsidRPr="008940B1">
        <w:rPr>
          <w:rFonts w:asciiTheme="minorHAnsi" w:hAnsiTheme="minorHAnsi" w:cs="Arial"/>
          <w:bCs/>
          <w:color w:val="000000"/>
          <w:sz w:val="20"/>
        </w:rPr>
        <w:t xml:space="preserve"> są to wskaźniki powiązane bezpośrednio z wydatkami ponoszonymi w projekcie</w:t>
      </w:r>
      <w:r w:rsidRPr="008940B1">
        <w:rPr>
          <w:rFonts w:asciiTheme="minorHAnsi" w:hAnsiTheme="minorHAnsi" w:cs="Arial"/>
          <w:color w:val="000000"/>
          <w:sz w:val="20"/>
        </w:rPr>
        <w:t>, mierzone konkretnymi wielkościami. Liczone są w jednostkach fizycznych lub monetarnych. Wybrane przez wnioskodawcę wskaźniki muszą być adekwatne do zakresu projektu oraz mają być powiązane z głównymi kategoriami wydatków w projekcie.</w:t>
      </w:r>
    </w:p>
    <w:p w:rsidR="00440CD9" w:rsidRPr="008940B1" w:rsidRDefault="00440CD9" w:rsidP="0076746F">
      <w:pPr>
        <w:pStyle w:val="Default"/>
        <w:spacing w:after="120"/>
        <w:jc w:val="both"/>
        <w:rPr>
          <w:rFonts w:asciiTheme="minorHAnsi" w:hAnsiTheme="minorHAnsi"/>
        </w:rPr>
      </w:pPr>
      <w:r w:rsidRPr="008940B1">
        <w:rPr>
          <w:rFonts w:asciiTheme="minorHAnsi" w:hAnsiTheme="minorHAnsi"/>
        </w:rPr>
        <w:t xml:space="preserve">Dla każdego z wybranych wskaźników wnioskodawca zobowiązany jest do wskazania </w:t>
      </w:r>
      <w:r w:rsidRPr="008940B1">
        <w:rPr>
          <w:rFonts w:asciiTheme="minorHAnsi" w:hAnsiTheme="minorHAnsi"/>
          <w:i/>
        </w:rPr>
        <w:t>„Jednostki miary”</w:t>
      </w:r>
      <w:r w:rsidRPr="008940B1">
        <w:rPr>
          <w:rFonts w:asciiTheme="minorHAnsi" w:hAnsiTheme="minorHAnsi"/>
        </w:rPr>
        <w:t xml:space="preserve">, </w:t>
      </w:r>
      <w:r w:rsidRPr="008940B1">
        <w:rPr>
          <w:rFonts w:asciiTheme="minorHAnsi" w:hAnsiTheme="minorHAnsi"/>
          <w:i/>
        </w:rPr>
        <w:t>„Wartości bazowej”</w:t>
      </w:r>
      <w:r w:rsidRPr="008940B1">
        <w:rPr>
          <w:rFonts w:asciiTheme="minorHAnsi" w:hAnsiTheme="minorHAnsi"/>
        </w:rPr>
        <w:t xml:space="preserve">, </w:t>
      </w:r>
      <w:r w:rsidRPr="008940B1">
        <w:rPr>
          <w:rFonts w:asciiTheme="minorHAnsi" w:hAnsiTheme="minorHAnsi"/>
          <w:i/>
        </w:rPr>
        <w:t>„Wartości docelowej wskaźnika”</w:t>
      </w:r>
      <w:r w:rsidRPr="008940B1">
        <w:rPr>
          <w:rFonts w:asciiTheme="minorHAnsi" w:hAnsiTheme="minorHAnsi"/>
        </w:rPr>
        <w:t xml:space="preserve">, a także </w:t>
      </w:r>
      <w:r w:rsidRPr="008940B1">
        <w:rPr>
          <w:rFonts w:asciiTheme="minorHAnsi" w:hAnsiTheme="minorHAnsi"/>
          <w:i/>
        </w:rPr>
        <w:t>„Źródła informacji o wskaźniku”</w:t>
      </w:r>
      <w:r w:rsidRPr="008940B1">
        <w:rPr>
          <w:rFonts w:asciiTheme="minorHAnsi" w:hAnsiTheme="minorHAnsi"/>
        </w:rPr>
        <w:t xml:space="preserve">. </w:t>
      </w:r>
    </w:p>
    <w:p w:rsidR="00440CD9" w:rsidRPr="008940B1" w:rsidRDefault="00440CD9" w:rsidP="0076746F">
      <w:pPr>
        <w:pStyle w:val="Default"/>
        <w:spacing w:after="120"/>
        <w:jc w:val="both"/>
        <w:rPr>
          <w:rFonts w:asciiTheme="minorHAnsi" w:hAnsiTheme="minorHAnsi"/>
        </w:rPr>
      </w:pPr>
      <w:r w:rsidRPr="008940B1">
        <w:rPr>
          <w:rFonts w:asciiTheme="minorHAnsi" w:hAnsiTheme="minorHAnsi"/>
        </w:rPr>
        <w:t xml:space="preserve">Wartość docelowa dla wskaźnika produktu to wyrażony liczbowo stan danego wskaźnika na moment zakończenia rzeczowej realizacji projektu. </w:t>
      </w:r>
    </w:p>
    <w:p w:rsidR="00440CD9" w:rsidRPr="008940B1" w:rsidRDefault="00440CD9" w:rsidP="0076746F">
      <w:pPr>
        <w:pStyle w:val="Default"/>
        <w:jc w:val="both"/>
        <w:rPr>
          <w:rFonts w:asciiTheme="minorHAnsi" w:hAnsiTheme="minorHAnsi"/>
          <w:highlight w:val="yellow"/>
        </w:rPr>
      </w:pPr>
      <w:r w:rsidRPr="008940B1">
        <w:rPr>
          <w:rFonts w:asciiTheme="minorHAnsi" w:hAnsiTheme="minorHAnsi"/>
        </w:rPr>
        <w:lastRenderedPageBreak/>
        <w:t>Jako źródło informacji o wskaźniku wskazać należy odpowiedni dokument (np. protokół odbioru robót).</w:t>
      </w:r>
      <w:r w:rsidRPr="008940B1">
        <w:rPr>
          <w:rFonts w:asciiTheme="minorHAnsi" w:hAnsiTheme="minorHAnsi"/>
          <w:highlight w:val="yellow"/>
        </w:rPr>
        <w:t xml:space="preserve"> </w:t>
      </w:r>
    </w:p>
    <w:p w:rsidR="00440CD9" w:rsidRPr="008940B1" w:rsidRDefault="00440CD9" w:rsidP="0076746F">
      <w:pPr>
        <w:autoSpaceDE w:val="0"/>
        <w:autoSpaceDN w:val="0"/>
        <w:adjustRightInd w:val="0"/>
        <w:spacing w:before="120" w:after="120" w:line="240" w:lineRule="auto"/>
        <w:jc w:val="both"/>
        <w:rPr>
          <w:rFonts w:asciiTheme="minorHAnsi" w:eastAsiaTheme="minorHAnsi" w:hAnsiTheme="minorHAnsi" w:cs="Arial"/>
          <w:sz w:val="20"/>
          <w:lang w:eastAsia="en-US"/>
        </w:rPr>
      </w:pPr>
      <w:r w:rsidRPr="008940B1">
        <w:rPr>
          <w:rFonts w:asciiTheme="minorHAnsi" w:eastAsiaTheme="minorHAnsi" w:hAnsiTheme="minorHAnsi" w:cs="Arial"/>
          <w:sz w:val="20"/>
          <w:lang w:eastAsia="en-US"/>
        </w:rPr>
        <w:t xml:space="preserve">W ramach wniosku o dofinansowanie wnioskodawca ma obowiązek uwzględnić </w:t>
      </w:r>
      <w:r w:rsidRPr="008940B1">
        <w:rPr>
          <w:rFonts w:asciiTheme="minorHAnsi" w:eastAsiaTheme="minorHAnsi" w:hAnsiTheme="minorHAnsi" w:cs="Arial"/>
          <w:b/>
          <w:sz w:val="20"/>
          <w:lang w:eastAsia="en-US"/>
        </w:rPr>
        <w:t>wszystkie adekwatne</w:t>
      </w:r>
      <w:r w:rsidRPr="008940B1">
        <w:rPr>
          <w:rFonts w:asciiTheme="minorHAnsi" w:eastAsiaTheme="minorHAnsi" w:hAnsiTheme="minorHAnsi" w:cs="Arial"/>
          <w:sz w:val="20"/>
          <w:lang w:eastAsia="en-US"/>
        </w:rPr>
        <w:t xml:space="preserve"> wskaźniki produktu z listy przedstawionej  w powyższej  tabeli, odpowiadające celowi projektu </w:t>
      </w:r>
      <w:r w:rsidRPr="008940B1">
        <w:rPr>
          <w:rFonts w:asciiTheme="minorHAnsi" w:hAnsiTheme="minorHAnsi"/>
          <w:sz w:val="20"/>
        </w:rPr>
        <w:t>(także wskaźniki horyzontalne)</w:t>
      </w:r>
      <w:r w:rsidRPr="008940B1">
        <w:rPr>
          <w:rFonts w:asciiTheme="minorHAnsi" w:eastAsiaTheme="minorHAnsi" w:hAnsiTheme="minorHAnsi" w:cs="Arial"/>
          <w:sz w:val="20"/>
          <w:lang w:eastAsia="en-US"/>
        </w:rPr>
        <w:t xml:space="preserve">. </w:t>
      </w:r>
    </w:p>
    <w:p w:rsidR="00DF6D97" w:rsidRPr="008940B1" w:rsidRDefault="00DF6D97" w:rsidP="0076746F">
      <w:pPr>
        <w:autoSpaceDE w:val="0"/>
        <w:autoSpaceDN w:val="0"/>
        <w:adjustRightInd w:val="0"/>
        <w:spacing w:before="120" w:after="120" w:line="240" w:lineRule="auto"/>
        <w:jc w:val="both"/>
        <w:rPr>
          <w:rFonts w:asciiTheme="minorHAnsi" w:hAnsiTheme="minorHAnsi"/>
          <w:b/>
          <w:sz w:val="20"/>
        </w:rPr>
      </w:pPr>
      <w:r w:rsidRPr="008940B1">
        <w:rPr>
          <w:rFonts w:asciiTheme="minorHAnsi" w:hAnsiTheme="minorHAnsi"/>
          <w:sz w:val="20"/>
        </w:rPr>
        <w:t xml:space="preserve">W ramach Działania </w:t>
      </w:r>
      <w:r w:rsidR="00352B50" w:rsidRPr="008940B1">
        <w:rPr>
          <w:rFonts w:asciiTheme="minorHAnsi" w:hAnsiTheme="minorHAnsi"/>
          <w:sz w:val="20"/>
        </w:rPr>
        <w:t>3.</w:t>
      </w:r>
      <w:r w:rsidRPr="008940B1">
        <w:rPr>
          <w:rFonts w:asciiTheme="minorHAnsi" w:hAnsiTheme="minorHAnsi"/>
          <w:sz w:val="20"/>
        </w:rPr>
        <w:t xml:space="preserve">4 określono poniższe wskaźniki </w:t>
      </w:r>
      <w:r w:rsidRPr="008940B1">
        <w:rPr>
          <w:rFonts w:asciiTheme="minorHAnsi" w:hAnsiTheme="minorHAnsi"/>
          <w:b/>
          <w:sz w:val="20"/>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37"/>
        <w:gridCol w:w="849"/>
        <w:gridCol w:w="4681"/>
        <w:gridCol w:w="1521"/>
      </w:tblGrid>
      <w:tr w:rsidR="00370466" w:rsidRPr="008940B1" w:rsidTr="007E2D2C">
        <w:trPr>
          <w:cantSplit/>
          <w:trHeight w:val="20"/>
          <w:jc w:val="center"/>
        </w:trPr>
        <w:tc>
          <w:tcPr>
            <w:tcW w:w="1204" w:type="pct"/>
            <w:shd w:val="clear" w:color="auto" w:fill="auto"/>
            <w:vAlign w:val="center"/>
          </w:tcPr>
          <w:p w:rsidR="005657D8" w:rsidRPr="008940B1" w:rsidRDefault="005657D8" w:rsidP="0076746F">
            <w:pPr>
              <w:spacing w:before="0" w:line="240" w:lineRule="auto"/>
              <w:jc w:val="center"/>
              <w:rPr>
                <w:rFonts w:asciiTheme="minorHAnsi" w:hAnsiTheme="minorHAnsi"/>
                <w:b/>
                <w:sz w:val="20"/>
              </w:rPr>
            </w:pPr>
            <w:r w:rsidRPr="008940B1">
              <w:rPr>
                <w:rFonts w:asciiTheme="minorHAnsi" w:hAnsiTheme="minorHAnsi"/>
                <w:b/>
                <w:sz w:val="20"/>
              </w:rPr>
              <w:t>Nazwa wskaźnika produktu</w:t>
            </w:r>
          </w:p>
        </w:tc>
        <w:tc>
          <w:tcPr>
            <w:tcW w:w="457" w:type="pct"/>
            <w:vAlign w:val="center"/>
          </w:tcPr>
          <w:p w:rsidR="005657D8" w:rsidRPr="008940B1" w:rsidRDefault="005657D8" w:rsidP="0076746F">
            <w:pPr>
              <w:suppressAutoHyphens/>
              <w:spacing w:before="0" w:line="240" w:lineRule="auto"/>
              <w:jc w:val="center"/>
              <w:rPr>
                <w:rFonts w:asciiTheme="minorHAnsi" w:hAnsiTheme="minorHAnsi"/>
                <w:b/>
                <w:bCs/>
                <w:sz w:val="20"/>
              </w:rPr>
            </w:pPr>
            <w:r w:rsidRPr="008940B1">
              <w:rPr>
                <w:rFonts w:asciiTheme="minorHAnsi" w:hAnsiTheme="minorHAnsi"/>
                <w:b/>
                <w:bCs/>
                <w:sz w:val="20"/>
              </w:rPr>
              <w:t>Jedn</w:t>
            </w:r>
            <w:r w:rsidR="00FD702E" w:rsidRPr="008940B1">
              <w:rPr>
                <w:rFonts w:asciiTheme="minorHAnsi" w:hAnsiTheme="minorHAnsi"/>
                <w:b/>
                <w:bCs/>
                <w:sz w:val="20"/>
              </w:rPr>
              <w:t>.</w:t>
            </w:r>
            <w:r w:rsidRPr="008940B1">
              <w:rPr>
                <w:rFonts w:asciiTheme="minorHAnsi" w:hAnsiTheme="minorHAnsi"/>
                <w:b/>
                <w:bCs/>
                <w:sz w:val="20"/>
              </w:rPr>
              <w:t xml:space="preserve"> miary</w:t>
            </w:r>
          </w:p>
        </w:tc>
        <w:tc>
          <w:tcPr>
            <w:tcW w:w="2520" w:type="pct"/>
            <w:shd w:val="clear" w:color="auto" w:fill="auto"/>
            <w:vAlign w:val="center"/>
          </w:tcPr>
          <w:p w:rsidR="005657D8" w:rsidRPr="008940B1" w:rsidRDefault="005657D8" w:rsidP="0076746F">
            <w:pPr>
              <w:suppressAutoHyphens/>
              <w:spacing w:before="0" w:line="240" w:lineRule="auto"/>
              <w:jc w:val="center"/>
              <w:rPr>
                <w:rFonts w:asciiTheme="minorHAnsi" w:hAnsiTheme="minorHAnsi"/>
                <w:b/>
                <w:sz w:val="20"/>
              </w:rPr>
            </w:pPr>
            <w:r w:rsidRPr="008940B1">
              <w:rPr>
                <w:rFonts w:asciiTheme="minorHAnsi" w:hAnsiTheme="minorHAnsi"/>
                <w:b/>
                <w:bCs/>
                <w:sz w:val="20"/>
              </w:rPr>
              <w:t>Definicja wskaźnika</w:t>
            </w:r>
          </w:p>
        </w:tc>
        <w:tc>
          <w:tcPr>
            <w:tcW w:w="819" w:type="pct"/>
            <w:vAlign w:val="center"/>
          </w:tcPr>
          <w:p w:rsidR="005657D8" w:rsidRPr="008940B1" w:rsidRDefault="005657D8" w:rsidP="0076746F">
            <w:pPr>
              <w:suppressAutoHyphens/>
              <w:spacing w:before="0" w:line="240" w:lineRule="auto"/>
              <w:jc w:val="center"/>
              <w:rPr>
                <w:rFonts w:asciiTheme="minorHAnsi" w:hAnsiTheme="minorHAnsi"/>
                <w:b/>
                <w:bCs/>
                <w:sz w:val="20"/>
              </w:rPr>
            </w:pPr>
            <w:r w:rsidRPr="008940B1">
              <w:rPr>
                <w:rFonts w:asciiTheme="minorHAnsi" w:hAnsiTheme="minorHAnsi"/>
                <w:b/>
                <w:bCs/>
                <w:sz w:val="20"/>
              </w:rPr>
              <w:t>Rodzaj dokumentu, w</w:t>
            </w:r>
            <w:r w:rsidR="007E025A" w:rsidRPr="008940B1">
              <w:rPr>
                <w:rFonts w:asciiTheme="minorHAnsi" w:hAnsiTheme="minorHAnsi"/>
                <w:b/>
                <w:bCs/>
                <w:sz w:val="20"/>
              </w:rPr>
              <w:t> </w:t>
            </w:r>
            <w:r w:rsidRPr="008940B1">
              <w:rPr>
                <w:rFonts w:asciiTheme="minorHAnsi" w:hAnsiTheme="minorHAnsi"/>
                <w:b/>
                <w:bCs/>
                <w:sz w:val="20"/>
              </w:rPr>
              <w:t>którym określono wskaźnik</w:t>
            </w:r>
          </w:p>
        </w:tc>
      </w:tr>
      <w:tr w:rsidR="00EE0005" w:rsidRPr="008940B1" w:rsidTr="007E2D2C">
        <w:trPr>
          <w:cantSplit/>
          <w:trHeight w:val="20"/>
          <w:jc w:val="center"/>
        </w:trPr>
        <w:tc>
          <w:tcPr>
            <w:tcW w:w="1204" w:type="pct"/>
            <w:shd w:val="clear" w:color="auto" w:fill="auto"/>
          </w:tcPr>
          <w:p w:rsidR="00EE0005" w:rsidRPr="008940B1" w:rsidRDefault="00EE0005" w:rsidP="0076746F">
            <w:pPr>
              <w:spacing w:before="60" w:after="60" w:line="240" w:lineRule="auto"/>
              <w:rPr>
                <w:rFonts w:asciiTheme="minorHAnsi" w:hAnsiTheme="minorHAnsi" w:cs="TimesNewRoman,Bold"/>
                <w:sz w:val="20"/>
              </w:rPr>
            </w:pPr>
            <w:r w:rsidRPr="008940B1">
              <w:rPr>
                <w:rFonts w:asciiTheme="minorHAnsi" w:hAnsiTheme="minorHAnsi" w:cs="TimesNewRoman,Bold"/>
                <w:sz w:val="20"/>
              </w:rPr>
              <w:t>Długość wspartej infrastruktury rowerowej</w:t>
            </w:r>
          </w:p>
        </w:tc>
        <w:tc>
          <w:tcPr>
            <w:tcW w:w="457" w:type="pct"/>
          </w:tcPr>
          <w:p w:rsidR="00EE0005" w:rsidRPr="008940B1" w:rsidRDefault="00EE0005" w:rsidP="0076746F">
            <w:pPr>
              <w:spacing w:line="240" w:lineRule="auto"/>
              <w:jc w:val="both"/>
              <w:rPr>
                <w:rFonts w:asciiTheme="minorHAnsi" w:hAnsiTheme="minorHAnsi"/>
                <w:sz w:val="20"/>
              </w:rPr>
            </w:pPr>
            <w:r w:rsidRPr="008940B1">
              <w:rPr>
                <w:rFonts w:asciiTheme="minorHAnsi" w:hAnsiTheme="minorHAnsi"/>
                <w:sz w:val="20"/>
              </w:rPr>
              <w:t>km</w:t>
            </w:r>
          </w:p>
        </w:tc>
        <w:tc>
          <w:tcPr>
            <w:tcW w:w="2520" w:type="pct"/>
            <w:shd w:val="clear" w:color="auto" w:fill="auto"/>
          </w:tcPr>
          <w:p w:rsidR="00EE0005" w:rsidRPr="008940B1" w:rsidRDefault="00EE0005" w:rsidP="0076746F">
            <w:pPr>
              <w:spacing w:before="0" w:line="240" w:lineRule="auto"/>
              <w:jc w:val="both"/>
              <w:rPr>
                <w:rFonts w:asciiTheme="minorHAnsi" w:eastAsiaTheme="minorHAnsi" w:hAnsiTheme="minorHAnsi" w:cs="Arial"/>
                <w:sz w:val="20"/>
                <w:lang w:eastAsia="en-US"/>
              </w:rPr>
            </w:pPr>
            <w:r w:rsidRPr="008940B1">
              <w:rPr>
                <w:rFonts w:asciiTheme="minorHAnsi" w:eastAsiaTheme="minorHAnsi" w:hAnsiTheme="minorHAnsi" w:cs="Arial"/>
                <w:sz w:val="20"/>
                <w:lang w:eastAsia="en-US"/>
              </w:rPr>
              <w:t>Długość wybudowanego / przebudowanego /  wyznaczonego odcinka drogi przeznaczonej do ruchu rowerów, tj. oddzielonej od innych dróg lub jezdni tej samej drogi konstrukcyjnie lub za pomocą urządzeń bezpieczeństwa ruchu drogowego oraz oznaczonej odpowiednimi znakami drogowymi.</w:t>
            </w:r>
          </w:p>
          <w:p w:rsidR="00EE0005" w:rsidRPr="008940B1" w:rsidRDefault="00EE0005" w:rsidP="0076746F">
            <w:pPr>
              <w:spacing w:line="240" w:lineRule="auto"/>
              <w:jc w:val="both"/>
              <w:rPr>
                <w:rFonts w:asciiTheme="minorHAnsi" w:eastAsiaTheme="minorHAnsi" w:hAnsiTheme="minorHAnsi" w:cs="Arial"/>
                <w:sz w:val="20"/>
                <w:lang w:eastAsia="en-US"/>
              </w:rPr>
            </w:pPr>
            <w:r w:rsidRPr="008940B1">
              <w:rPr>
                <w:rFonts w:asciiTheme="minorHAnsi" w:eastAsiaTheme="minorHAnsi" w:hAnsiTheme="minorHAnsi" w:cs="Arial"/>
                <w:sz w:val="20"/>
                <w:lang w:eastAsia="en-US"/>
              </w:rPr>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p>
          <w:p w:rsidR="00EE0005" w:rsidRPr="008940B1" w:rsidRDefault="00EE0005" w:rsidP="0076746F">
            <w:pPr>
              <w:spacing w:line="240" w:lineRule="auto"/>
              <w:jc w:val="both"/>
              <w:rPr>
                <w:rFonts w:asciiTheme="minorHAnsi" w:eastAsiaTheme="minorHAnsi" w:hAnsiTheme="minorHAnsi" w:cs="Arial"/>
                <w:sz w:val="20"/>
                <w:lang w:eastAsia="en-US"/>
              </w:rPr>
            </w:pPr>
            <w:r w:rsidRPr="008940B1">
              <w:rPr>
                <w:rFonts w:asciiTheme="minorHAnsi" w:eastAsiaTheme="minorHAnsi" w:hAnsiTheme="minorHAnsi" w:cs="Arial"/>
                <w:sz w:val="20"/>
                <w:lang w:eastAsia="en-US"/>
              </w:rPr>
              <w:t>Należy wliczać długości nowo wybudowanych i przebudowanych dróg rowerowych oraz istniejących tras, które w wyniku realizacji projektu zostały wyłącznie oznaczone jako drogi rowerowe. (np. poprzez wprowadzenie poziomych i pionowych znaków drogowych). Nie należy wliczać szlaków rowerowych (turystycznych) jeżeli jednocześnie nie są drogą dla rowerów.</w:t>
            </w:r>
          </w:p>
          <w:p w:rsidR="00EE0005" w:rsidRPr="008940B1" w:rsidRDefault="00EE0005" w:rsidP="0076746F">
            <w:pPr>
              <w:spacing w:line="240" w:lineRule="auto"/>
              <w:jc w:val="both"/>
              <w:rPr>
                <w:rFonts w:asciiTheme="minorHAnsi" w:eastAsiaTheme="minorHAnsi" w:hAnsiTheme="minorHAnsi" w:cs="Arial"/>
                <w:sz w:val="20"/>
                <w:lang w:eastAsia="en-US"/>
              </w:rPr>
            </w:pPr>
            <w:r w:rsidRPr="008940B1">
              <w:rPr>
                <w:rFonts w:asciiTheme="minorHAnsi" w:eastAsiaTheme="minorHAnsi" w:hAnsiTheme="minorHAnsi" w:cs="Arial"/>
                <w:sz w:val="20"/>
                <w:lang w:eastAsia="en-US"/>
              </w:rPr>
              <w:t>Wskaźnik obejmuje dotychczasowe wskaźniki:</w:t>
            </w:r>
          </w:p>
          <w:p w:rsidR="00EE0005" w:rsidRPr="008940B1" w:rsidRDefault="00EE0005" w:rsidP="0076746F">
            <w:pPr>
              <w:spacing w:line="240" w:lineRule="auto"/>
              <w:jc w:val="both"/>
              <w:rPr>
                <w:rFonts w:asciiTheme="minorHAnsi" w:hAnsiTheme="minorHAnsi" w:cs="TimesNewRoman,Bold"/>
                <w:i/>
                <w:sz w:val="20"/>
              </w:rPr>
            </w:pPr>
            <w:r w:rsidRPr="008940B1">
              <w:rPr>
                <w:rFonts w:asciiTheme="minorHAnsi" w:hAnsiTheme="minorHAnsi" w:cs="TimesNewRoman,Bold"/>
                <w:i/>
                <w:sz w:val="20"/>
              </w:rPr>
              <w:t>Długość wybudowanych dróg dla rowerów</w:t>
            </w:r>
          </w:p>
          <w:p w:rsidR="00EE0005" w:rsidRPr="008940B1" w:rsidRDefault="00EE0005" w:rsidP="0076746F">
            <w:pPr>
              <w:spacing w:before="0" w:line="240" w:lineRule="auto"/>
              <w:jc w:val="both"/>
              <w:rPr>
                <w:rFonts w:asciiTheme="minorHAnsi" w:hAnsiTheme="minorHAnsi" w:cs="TimesNewRoman,Bold"/>
                <w:i/>
                <w:sz w:val="20"/>
              </w:rPr>
            </w:pPr>
            <w:r w:rsidRPr="008940B1">
              <w:rPr>
                <w:rFonts w:asciiTheme="minorHAnsi" w:hAnsiTheme="minorHAnsi" w:cs="TimesNewRoman,Bold"/>
                <w:i/>
                <w:sz w:val="20"/>
              </w:rPr>
              <w:t>Długość przebudowanych dróg dla rowerów</w:t>
            </w:r>
          </w:p>
          <w:p w:rsidR="00EE0005" w:rsidRPr="008940B1" w:rsidRDefault="00EE0005" w:rsidP="0076746F">
            <w:pPr>
              <w:spacing w:before="0" w:line="240" w:lineRule="auto"/>
              <w:jc w:val="both"/>
              <w:rPr>
                <w:rFonts w:asciiTheme="minorHAnsi" w:hAnsiTheme="minorHAnsi" w:cs="TimesNewRoman,Bold"/>
                <w:i/>
                <w:sz w:val="20"/>
              </w:rPr>
            </w:pPr>
            <w:r w:rsidRPr="008940B1">
              <w:rPr>
                <w:rFonts w:asciiTheme="minorHAnsi" w:hAnsiTheme="minorHAnsi" w:cs="TimesNewRoman,Bold"/>
                <w:i/>
                <w:sz w:val="20"/>
              </w:rPr>
              <w:t>Długość wyznaczonych ścieżek rowerowych</w:t>
            </w:r>
          </w:p>
          <w:p w:rsidR="00EE0005" w:rsidRPr="008940B1" w:rsidRDefault="00EE0005" w:rsidP="0076746F">
            <w:pPr>
              <w:spacing w:before="0" w:line="240" w:lineRule="auto"/>
              <w:jc w:val="both"/>
              <w:rPr>
                <w:rFonts w:asciiTheme="minorHAnsi" w:hAnsiTheme="minorHAnsi" w:cs="TimesNewRoman,Bold"/>
                <w:i/>
                <w:sz w:val="20"/>
              </w:rPr>
            </w:pPr>
          </w:p>
          <w:p w:rsidR="00EE0005" w:rsidRPr="008940B1" w:rsidRDefault="00EE0005" w:rsidP="0076746F">
            <w:pPr>
              <w:spacing w:before="0" w:line="240" w:lineRule="auto"/>
              <w:jc w:val="both"/>
              <w:rPr>
                <w:rFonts w:asciiTheme="minorHAnsi" w:hAnsiTheme="minorHAnsi" w:cs="TimesNewRoman,Bold"/>
                <w:sz w:val="20"/>
              </w:rPr>
            </w:pPr>
            <w:r w:rsidRPr="008940B1">
              <w:rPr>
                <w:rFonts w:asciiTheme="minorHAnsi" w:hAnsiTheme="minorHAnsi" w:cs="TimesNewRoman,Bold"/>
                <w:sz w:val="20"/>
              </w:rPr>
              <w:t xml:space="preserve">Ze względu na brak definicji wskaźnika na poziomie Umowy Partnerstwa, Instytucja Zarządzająca RPO WD uznaje, że wskaźnik </w:t>
            </w:r>
            <w:r w:rsidRPr="008940B1">
              <w:rPr>
                <w:rFonts w:asciiTheme="minorHAnsi" w:hAnsiTheme="minorHAnsi" w:cs="TimesNewRoman,Bold"/>
                <w:i/>
                <w:sz w:val="20"/>
              </w:rPr>
              <w:t xml:space="preserve">Długość wspartej infrastruktury rowerowej </w:t>
            </w:r>
            <w:r w:rsidRPr="008940B1">
              <w:rPr>
                <w:rFonts w:asciiTheme="minorHAnsi" w:hAnsiTheme="minorHAnsi" w:cs="TimesNewRoman,Bold"/>
                <w:sz w:val="20"/>
              </w:rPr>
              <w:t xml:space="preserve">realizuje łącznie ten sam zakres, jaki realizowały dotychczasowe wskaźniki. Za tym stanowiskiem przemawia również metodologia zastosowana do wyliczenia wskaźnika programowego </w:t>
            </w:r>
            <w:r w:rsidRPr="008940B1">
              <w:rPr>
                <w:rFonts w:asciiTheme="minorHAnsi" w:hAnsiTheme="minorHAnsi" w:cs="TimesNewRoman,Bold"/>
                <w:i/>
                <w:sz w:val="20"/>
              </w:rPr>
              <w:t>Długość ścieżek rowerowych</w:t>
            </w:r>
            <w:r w:rsidRPr="008940B1">
              <w:rPr>
                <w:rFonts w:asciiTheme="minorHAnsi" w:hAnsiTheme="minorHAnsi" w:cs="TimesNewRoman,Bold"/>
                <w:sz w:val="20"/>
              </w:rPr>
              <w:t>, który odnosi się do odpowiednio oznakowanych i spełniających warunki techniczne dróg dla rowerów.</w:t>
            </w:r>
          </w:p>
          <w:p w:rsidR="00EE0005" w:rsidRPr="008940B1" w:rsidRDefault="00EE0005" w:rsidP="0076746F">
            <w:pPr>
              <w:spacing w:before="0" w:line="240" w:lineRule="auto"/>
              <w:jc w:val="both"/>
              <w:rPr>
                <w:rFonts w:asciiTheme="minorHAnsi" w:hAnsiTheme="minorHAnsi" w:cs="TimesNewRoman,Bold"/>
                <w:sz w:val="20"/>
              </w:rPr>
            </w:pPr>
          </w:p>
          <w:p w:rsidR="00EE0005" w:rsidRPr="008940B1" w:rsidRDefault="00EE0005" w:rsidP="0076746F">
            <w:pPr>
              <w:spacing w:before="0" w:line="240" w:lineRule="auto"/>
              <w:jc w:val="both"/>
              <w:rPr>
                <w:rFonts w:asciiTheme="minorHAnsi" w:eastAsiaTheme="minorHAnsi" w:hAnsiTheme="minorHAnsi" w:cs="Arial"/>
                <w:sz w:val="20"/>
                <w:lang w:eastAsia="en-US"/>
              </w:rPr>
            </w:pPr>
            <w:r w:rsidRPr="008940B1">
              <w:rPr>
                <w:rFonts w:asciiTheme="minorHAnsi" w:hAnsiTheme="minorHAnsi" w:cs="TimesNewRoman,Bold"/>
                <w:sz w:val="20"/>
              </w:rPr>
              <w:t xml:space="preserve">W przypadku  wprowadzenia w Umowie Partnerstwa innej definicji wskaźnika </w:t>
            </w:r>
            <w:r w:rsidRPr="008940B1">
              <w:rPr>
                <w:rFonts w:asciiTheme="minorHAnsi" w:hAnsiTheme="minorHAnsi" w:cs="TimesNewRoman,Bold"/>
                <w:i/>
                <w:sz w:val="20"/>
              </w:rPr>
              <w:t>Długość wspartej infrastruktury rowerowej</w:t>
            </w:r>
            <w:r w:rsidRPr="008940B1">
              <w:rPr>
                <w:rFonts w:asciiTheme="minorHAnsi" w:hAnsiTheme="minorHAnsi" w:cs="TimesNewRoman,Bold"/>
                <w:sz w:val="20"/>
              </w:rPr>
              <w:t>, Instytucja Zarządzająca RPO WD poinformuje o tym fakcie stosownym komunikatem.</w:t>
            </w:r>
          </w:p>
        </w:tc>
        <w:tc>
          <w:tcPr>
            <w:tcW w:w="819" w:type="pct"/>
          </w:tcPr>
          <w:p w:rsidR="00EE0005" w:rsidRPr="008940B1" w:rsidRDefault="00EE0005" w:rsidP="0076746F">
            <w:pPr>
              <w:autoSpaceDE w:val="0"/>
              <w:autoSpaceDN w:val="0"/>
              <w:adjustRightInd w:val="0"/>
              <w:spacing w:before="0" w:line="240" w:lineRule="auto"/>
              <w:jc w:val="both"/>
              <w:rPr>
                <w:rFonts w:asciiTheme="minorHAnsi" w:hAnsiTheme="minorHAnsi"/>
                <w:sz w:val="20"/>
              </w:rPr>
            </w:pPr>
            <w:proofErr w:type="spellStart"/>
            <w:r w:rsidRPr="008940B1">
              <w:rPr>
                <w:rFonts w:asciiTheme="minorHAnsi" w:hAnsiTheme="minorHAnsi"/>
                <w:sz w:val="20"/>
              </w:rPr>
              <w:t>SzOOP</w:t>
            </w:r>
            <w:proofErr w:type="spellEnd"/>
          </w:p>
        </w:tc>
      </w:tr>
      <w:tr w:rsidR="00EE0005" w:rsidRPr="008940B1" w:rsidTr="0035693E">
        <w:trPr>
          <w:cantSplit/>
          <w:trHeight w:val="20"/>
          <w:jc w:val="center"/>
        </w:trPr>
        <w:tc>
          <w:tcPr>
            <w:tcW w:w="1204" w:type="pct"/>
            <w:shd w:val="clear" w:color="auto" w:fill="auto"/>
            <w:vAlign w:val="center"/>
          </w:tcPr>
          <w:p w:rsidR="00EE0005" w:rsidRPr="008940B1" w:rsidRDefault="00EE0005" w:rsidP="0076746F">
            <w:pPr>
              <w:spacing w:before="0" w:line="240" w:lineRule="auto"/>
              <w:rPr>
                <w:rFonts w:asciiTheme="minorHAnsi" w:eastAsiaTheme="minorHAnsi" w:hAnsiTheme="minorHAnsi"/>
                <w:sz w:val="20"/>
                <w:lang w:eastAsia="en-US"/>
              </w:rPr>
            </w:pPr>
            <w:r w:rsidRPr="008940B1">
              <w:rPr>
                <w:rFonts w:asciiTheme="minorHAnsi" w:eastAsiaTheme="minorHAnsi" w:hAnsiTheme="minorHAnsi"/>
                <w:sz w:val="20"/>
                <w:lang w:eastAsia="en-US"/>
              </w:rPr>
              <w:lastRenderedPageBreak/>
              <w:t>Liczba wybudowanych obiektów „</w:t>
            </w:r>
            <w:proofErr w:type="spellStart"/>
            <w:r w:rsidRPr="008940B1">
              <w:rPr>
                <w:rFonts w:asciiTheme="minorHAnsi" w:eastAsiaTheme="minorHAnsi" w:hAnsiTheme="minorHAnsi"/>
                <w:sz w:val="20"/>
                <w:lang w:eastAsia="en-US"/>
              </w:rPr>
              <w:t>Bike&amp;Ride</w:t>
            </w:r>
            <w:proofErr w:type="spellEnd"/>
            <w:r w:rsidRPr="008940B1">
              <w:rPr>
                <w:rFonts w:asciiTheme="minorHAnsi" w:eastAsiaTheme="minorHAnsi" w:hAnsiTheme="minorHAnsi"/>
                <w:sz w:val="20"/>
                <w:lang w:eastAsia="en-US"/>
              </w:rPr>
              <w:t>”</w:t>
            </w:r>
          </w:p>
        </w:tc>
        <w:tc>
          <w:tcPr>
            <w:tcW w:w="457" w:type="pct"/>
            <w:vAlign w:val="center"/>
          </w:tcPr>
          <w:p w:rsidR="00EE0005" w:rsidRPr="008940B1" w:rsidRDefault="00EE0005" w:rsidP="0076746F">
            <w:pPr>
              <w:spacing w:before="0" w:line="240" w:lineRule="auto"/>
              <w:rPr>
                <w:rFonts w:asciiTheme="minorHAnsi" w:eastAsiaTheme="minorHAnsi" w:hAnsiTheme="minorHAnsi"/>
                <w:sz w:val="20"/>
                <w:lang w:eastAsia="en-US"/>
              </w:rPr>
            </w:pPr>
            <w:r w:rsidRPr="008940B1">
              <w:rPr>
                <w:rFonts w:asciiTheme="minorHAnsi" w:eastAsiaTheme="minorHAnsi" w:hAnsiTheme="minorHAnsi"/>
                <w:sz w:val="20"/>
                <w:lang w:eastAsia="en-US"/>
              </w:rPr>
              <w:t>szt.</w:t>
            </w:r>
          </w:p>
        </w:tc>
        <w:tc>
          <w:tcPr>
            <w:tcW w:w="2520" w:type="pct"/>
            <w:shd w:val="clear" w:color="auto" w:fill="auto"/>
          </w:tcPr>
          <w:p w:rsidR="00EE0005" w:rsidRPr="008940B1" w:rsidRDefault="00EE0005" w:rsidP="0076746F">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Liczba wybudowanych parkingów przeznaczonych do pozostawiania rowerów, umożliwiających skorzystanie z transportu zbiorowego.</w:t>
            </w:r>
          </w:p>
        </w:tc>
        <w:tc>
          <w:tcPr>
            <w:tcW w:w="819" w:type="pct"/>
          </w:tcPr>
          <w:p w:rsidR="00EE0005" w:rsidRPr="008940B1" w:rsidRDefault="00EE0005" w:rsidP="0076746F">
            <w:pPr>
              <w:spacing w:line="240" w:lineRule="auto"/>
              <w:rPr>
                <w:rFonts w:asciiTheme="minorHAnsi" w:hAnsiTheme="minorHAnsi"/>
                <w:sz w:val="20"/>
              </w:rPr>
            </w:pPr>
            <w:proofErr w:type="spellStart"/>
            <w:r w:rsidRPr="008940B1">
              <w:rPr>
                <w:rFonts w:asciiTheme="minorHAnsi" w:hAnsiTheme="minorHAnsi"/>
                <w:sz w:val="20"/>
              </w:rPr>
              <w:t>SzOOP</w:t>
            </w:r>
            <w:proofErr w:type="spellEnd"/>
          </w:p>
        </w:tc>
      </w:tr>
      <w:tr w:rsidR="00EE0005" w:rsidRPr="008940B1" w:rsidTr="0035693E">
        <w:trPr>
          <w:cantSplit/>
          <w:trHeight w:val="20"/>
          <w:jc w:val="center"/>
        </w:trPr>
        <w:tc>
          <w:tcPr>
            <w:tcW w:w="1204" w:type="pct"/>
            <w:shd w:val="clear" w:color="auto" w:fill="auto"/>
            <w:vAlign w:val="center"/>
          </w:tcPr>
          <w:p w:rsidR="00EE0005" w:rsidRPr="008940B1" w:rsidRDefault="00EE0005" w:rsidP="0076746F">
            <w:pPr>
              <w:spacing w:before="0" w:line="240" w:lineRule="auto"/>
              <w:rPr>
                <w:rFonts w:asciiTheme="minorHAnsi" w:eastAsiaTheme="minorHAnsi" w:hAnsiTheme="minorHAnsi"/>
                <w:sz w:val="20"/>
                <w:lang w:eastAsia="en-US"/>
              </w:rPr>
            </w:pPr>
            <w:r w:rsidRPr="008940B1">
              <w:rPr>
                <w:rFonts w:asciiTheme="minorHAnsi" w:eastAsiaTheme="minorHAnsi" w:hAnsiTheme="minorHAnsi"/>
                <w:sz w:val="20"/>
                <w:lang w:eastAsia="en-US"/>
              </w:rPr>
              <w:t>Liczba wybudowanych obiektów „parkuj i jedź”</w:t>
            </w:r>
          </w:p>
        </w:tc>
        <w:tc>
          <w:tcPr>
            <w:tcW w:w="457" w:type="pct"/>
            <w:vAlign w:val="center"/>
          </w:tcPr>
          <w:p w:rsidR="00EE0005" w:rsidRPr="008940B1" w:rsidRDefault="00EE0005" w:rsidP="0076746F">
            <w:pPr>
              <w:spacing w:before="0" w:line="240" w:lineRule="auto"/>
              <w:rPr>
                <w:rFonts w:asciiTheme="minorHAnsi" w:eastAsiaTheme="minorHAnsi" w:hAnsiTheme="minorHAnsi"/>
                <w:sz w:val="20"/>
                <w:lang w:eastAsia="en-US"/>
              </w:rPr>
            </w:pPr>
            <w:r w:rsidRPr="008940B1">
              <w:rPr>
                <w:rFonts w:asciiTheme="minorHAnsi" w:eastAsiaTheme="minorHAnsi" w:hAnsiTheme="minorHAnsi"/>
                <w:sz w:val="20"/>
                <w:lang w:eastAsia="en-US"/>
              </w:rPr>
              <w:t>szt.</w:t>
            </w:r>
          </w:p>
        </w:tc>
        <w:tc>
          <w:tcPr>
            <w:tcW w:w="2520" w:type="pct"/>
            <w:shd w:val="clear" w:color="auto" w:fill="auto"/>
          </w:tcPr>
          <w:p w:rsidR="00EE0005" w:rsidRPr="008940B1" w:rsidRDefault="00EE0005" w:rsidP="0076746F">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Liczba wybudowanych parkingów w systemie „parkuj i jedź” („</w:t>
            </w:r>
            <w:proofErr w:type="spellStart"/>
            <w:r w:rsidRPr="008940B1">
              <w:rPr>
                <w:rFonts w:asciiTheme="minorHAnsi" w:eastAsiaTheme="minorHAnsi" w:hAnsiTheme="minorHAnsi"/>
                <w:sz w:val="20"/>
                <w:lang w:eastAsia="en-US"/>
              </w:rPr>
              <w:t>Park&amp;Ride</w:t>
            </w:r>
            <w:proofErr w:type="spellEnd"/>
            <w:r w:rsidRPr="008940B1">
              <w:rPr>
                <w:rFonts w:asciiTheme="minorHAnsi" w:eastAsiaTheme="minorHAnsi" w:hAnsiTheme="minorHAnsi"/>
                <w:sz w:val="20"/>
                <w:lang w:eastAsia="en-US"/>
              </w:rPr>
              <w:t>”), umożliwiających  skorzystanie z transportu zbiorowego.</w:t>
            </w:r>
          </w:p>
        </w:tc>
        <w:tc>
          <w:tcPr>
            <w:tcW w:w="819" w:type="pct"/>
          </w:tcPr>
          <w:p w:rsidR="00EE0005" w:rsidRPr="008940B1" w:rsidRDefault="00EE0005" w:rsidP="0076746F">
            <w:pPr>
              <w:spacing w:line="240" w:lineRule="auto"/>
              <w:rPr>
                <w:rFonts w:asciiTheme="minorHAnsi" w:hAnsiTheme="minorHAnsi"/>
                <w:sz w:val="20"/>
              </w:rPr>
            </w:pPr>
            <w:proofErr w:type="spellStart"/>
            <w:r w:rsidRPr="008940B1">
              <w:rPr>
                <w:rFonts w:asciiTheme="minorHAnsi" w:hAnsiTheme="minorHAnsi"/>
                <w:sz w:val="20"/>
              </w:rPr>
              <w:t>SzOOP</w:t>
            </w:r>
            <w:proofErr w:type="spellEnd"/>
          </w:p>
        </w:tc>
      </w:tr>
      <w:tr w:rsidR="00EE0005" w:rsidRPr="008940B1" w:rsidTr="0035693E">
        <w:trPr>
          <w:cantSplit/>
          <w:trHeight w:val="20"/>
          <w:jc w:val="center"/>
        </w:trPr>
        <w:tc>
          <w:tcPr>
            <w:tcW w:w="1204" w:type="pct"/>
            <w:shd w:val="clear" w:color="auto" w:fill="auto"/>
            <w:vAlign w:val="center"/>
          </w:tcPr>
          <w:p w:rsidR="00EE0005" w:rsidRPr="008940B1" w:rsidRDefault="00EE0005" w:rsidP="0076746F">
            <w:pPr>
              <w:spacing w:before="0" w:line="240" w:lineRule="auto"/>
              <w:rPr>
                <w:rFonts w:asciiTheme="minorHAnsi" w:eastAsiaTheme="minorHAnsi" w:hAnsiTheme="minorHAnsi"/>
                <w:sz w:val="20"/>
                <w:lang w:eastAsia="en-US"/>
              </w:rPr>
            </w:pPr>
            <w:r w:rsidRPr="008940B1">
              <w:rPr>
                <w:rFonts w:asciiTheme="minorHAnsi" w:eastAsiaTheme="minorHAnsi" w:hAnsiTheme="minorHAnsi"/>
                <w:sz w:val="20"/>
                <w:lang w:eastAsia="en-US"/>
              </w:rPr>
              <w:t>Liczba miejsc postojowych w wybudowanych obiektach „parkuj i jedź”</w:t>
            </w:r>
          </w:p>
        </w:tc>
        <w:tc>
          <w:tcPr>
            <w:tcW w:w="457" w:type="pct"/>
            <w:vAlign w:val="center"/>
          </w:tcPr>
          <w:p w:rsidR="00EE0005" w:rsidRPr="008940B1" w:rsidRDefault="00EE0005" w:rsidP="0076746F">
            <w:pPr>
              <w:spacing w:before="0" w:line="240" w:lineRule="auto"/>
              <w:rPr>
                <w:rFonts w:asciiTheme="minorHAnsi" w:eastAsiaTheme="minorHAnsi" w:hAnsiTheme="minorHAnsi"/>
                <w:sz w:val="20"/>
                <w:lang w:eastAsia="en-US"/>
              </w:rPr>
            </w:pPr>
            <w:r w:rsidRPr="008940B1">
              <w:rPr>
                <w:rFonts w:asciiTheme="minorHAnsi" w:eastAsiaTheme="minorHAnsi" w:hAnsiTheme="minorHAnsi"/>
                <w:sz w:val="20"/>
                <w:lang w:eastAsia="en-US"/>
              </w:rPr>
              <w:t>szt.</w:t>
            </w:r>
          </w:p>
        </w:tc>
        <w:tc>
          <w:tcPr>
            <w:tcW w:w="2520" w:type="pct"/>
            <w:shd w:val="clear" w:color="auto" w:fill="auto"/>
          </w:tcPr>
          <w:p w:rsidR="00EE0005" w:rsidRPr="008940B1" w:rsidRDefault="00EE0005" w:rsidP="0076746F">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Liczba stanowisk przeznaczonych do postoju samochodów osobowych, znajdujących się na terenie parkingu w systemie „parkuj i jedź” („</w:t>
            </w:r>
            <w:proofErr w:type="spellStart"/>
            <w:r w:rsidRPr="008940B1">
              <w:rPr>
                <w:rFonts w:asciiTheme="minorHAnsi" w:eastAsiaTheme="minorHAnsi" w:hAnsiTheme="minorHAnsi"/>
                <w:sz w:val="20"/>
                <w:lang w:eastAsia="en-US"/>
              </w:rPr>
              <w:t>Park&amp;Ride</w:t>
            </w:r>
            <w:proofErr w:type="spellEnd"/>
            <w:r w:rsidRPr="008940B1">
              <w:rPr>
                <w:rFonts w:asciiTheme="minorHAnsi" w:eastAsiaTheme="minorHAnsi" w:hAnsiTheme="minorHAnsi"/>
                <w:sz w:val="20"/>
                <w:lang w:eastAsia="en-US"/>
              </w:rPr>
              <w:t>”)</w:t>
            </w:r>
          </w:p>
        </w:tc>
        <w:tc>
          <w:tcPr>
            <w:tcW w:w="819" w:type="pct"/>
          </w:tcPr>
          <w:p w:rsidR="00EE0005" w:rsidRPr="008940B1" w:rsidRDefault="00EE0005" w:rsidP="0076746F">
            <w:pPr>
              <w:spacing w:line="240" w:lineRule="auto"/>
              <w:rPr>
                <w:rFonts w:asciiTheme="minorHAnsi" w:hAnsiTheme="minorHAnsi"/>
                <w:sz w:val="20"/>
              </w:rPr>
            </w:pPr>
            <w:proofErr w:type="spellStart"/>
            <w:r w:rsidRPr="008940B1">
              <w:rPr>
                <w:rFonts w:asciiTheme="minorHAnsi" w:hAnsiTheme="minorHAnsi"/>
                <w:sz w:val="20"/>
              </w:rPr>
              <w:t>SzOOP</w:t>
            </w:r>
            <w:proofErr w:type="spellEnd"/>
          </w:p>
        </w:tc>
      </w:tr>
      <w:tr w:rsidR="00EE0005" w:rsidRPr="008940B1" w:rsidTr="0035693E">
        <w:trPr>
          <w:cantSplit/>
          <w:trHeight w:val="20"/>
          <w:jc w:val="center"/>
        </w:trPr>
        <w:tc>
          <w:tcPr>
            <w:tcW w:w="1204" w:type="pct"/>
            <w:shd w:val="clear" w:color="auto" w:fill="auto"/>
            <w:vAlign w:val="center"/>
          </w:tcPr>
          <w:p w:rsidR="00EE0005" w:rsidRPr="008940B1" w:rsidRDefault="00EE0005" w:rsidP="0076746F">
            <w:pPr>
              <w:spacing w:before="0" w:line="240" w:lineRule="auto"/>
              <w:rPr>
                <w:rFonts w:asciiTheme="minorHAnsi" w:hAnsiTheme="minorHAnsi" w:cs="Arial"/>
                <w:sz w:val="20"/>
              </w:rPr>
            </w:pPr>
            <w:r w:rsidRPr="008940B1">
              <w:rPr>
                <w:rFonts w:asciiTheme="minorHAnsi" w:hAnsiTheme="minorHAnsi" w:cs="Arial"/>
                <w:sz w:val="20"/>
              </w:rPr>
              <w:t xml:space="preserve">Liczba </w:t>
            </w:r>
          </w:p>
          <w:p w:rsidR="00EE0005" w:rsidRPr="008940B1" w:rsidRDefault="00EE0005" w:rsidP="0076746F">
            <w:pPr>
              <w:spacing w:before="0" w:line="240" w:lineRule="auto"/>
              <w:rPr>
                <w:rFonts w:asciiTheme="minorHAnsi" w:hAnsiTheme="minorHAnsi" w:cs="Arial"/>
                <w:sz w:val="20"/>
              </w:rPr>
            </w:pPr>
            <w:r w:rsidRPr="008940B1">
              <w:rPr>
                <w:rFonts w:asciiTheme="minorHAnsi" w:hAnsiTheme="minorHAnsi" w:cs="Arial"/>
                <w:sz w:val="20"/>
              </w:rPr>
              <w:t>miejsc postojowych dla osób niepełnosprawnych w</w:t>
            </w:r>
          </w:p>
          <w:p w:rsidR="00EE0005" w:rsidRPr="008940B1" w:rsidRDefault="00EE0005" w:rsidP="0076746F">
            <w:pPr>
              <w:spacing w:before="0" w:line="240" w:lineRule="auto"/>
              <w:rPr>
                <w:rFonts w:asciiTheme="minorHAnsi" w:eastAsiaTheme="minorHAnsi" w:hAnsiTheme="minorHAnsi"/>
                <w:sz w:val="20"/>
                <w:lang w:eastAsia="en-US"/>
              </w:rPr>
            </w:pPr>
            <w:r w:rsidRPr="008940B1">
              <w:rPr>
                <w:rFonts w:asciiTheme="minorHAnsi" w:hAnsiTheme="minorHAnsi" w:cs="Arial"/>
                <w:sz w:val="20"/>
              </w:rPr>
              <w:t>wybudowanych obiektach „parkuj i jedź”</w:t>
            </w:r>
          </w:p>
        </w:tc>
        <w:tc>
          <w:tcPr>
            <w:tcW w:w="457" w:type="pct"/>
            <w:vAlign w:val="center"/>
          </w:tcPr>
          <w:p w:rsidR="00EE0005" w:rsidRPr="008940B1" w:rsidRDefault="00EE0005" w:rsidP="0076746F">
            <w:pPr>
              <w:spacing w:before="0" w:line="240" w:lineRule="auto"/>
              <w:rPr>
                <w:rFonts w:asciiTheme="minorHAnsi" w:eastAsiaTheme="minorHAnsi" w:hAnsiTheme="minorHAnsi"/>
                <w:sz w:val="20"/>
                <w:lang w:eastAsia="en-US"/>
              </w:rPr>
            </w:pPr>
            <w:r w:rsidRPr="008940B1">
              <w:rPr>
                <w:rFonts w:asciiTheme="minorHAnsi" w:eastAsiaTheme="minorHAnsi" w:hAnsiTheme="minorHAnsi"/>
                <w:sz w:val="20"/>
                <w:lang w:eastAsia="en-US"/>
              </w:rPr>
              <w:t>szt.</w:t>
            </w:r>
          </w:p>
        </w:tc>
        <w:tc>
          <w:tcPr>
            <w:tcW w:w="2520" w:type="pct"/>
            <w:shd w:val="clear" w:color="auto" w:fill="auto"/>
          </w:tcPr>
          <w:p w:rsidR="00EE0005" w:rsidRPr="008940B1" w:rsidRDefault="00EE0005" w:rsidP="0076746F">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cs="Arial"/>
                <w:sz w:val="20"/>
                <w:lang w:eastAsia="en-US"/>
              </w:rPr>
              <w:t>Liczba stanowisk dla osób niepełnosprawnych przeznaczonych do postoju samochodów osobowych, znajdujących się na terenie parkingu w systemie „parkuj i jedź” („</w:t>
            </w:r>
            <w:proofErr w:type="spellStart"/>
            <w:r w:rsidRPr="008940B1">
              <w:rPr>
                <w:rFonts w:asciiTheme="minorHAnsi" w:eastAsiaTheme="minorHAnsi" w:hAnsiTheme="minorHAnsi" w:cs="Arial"/>
                <w:sz w:val="20"/>
                <w:lang w:eastAsia="en-US"/>
              </w:rPr>
              <w:t>Park&amp;Ride</w:t>
            </w:r>
            <w:proofErr w:type="spellEnd"/>
            <w:r w:rsidRPr="008940B1">
              <w:rPr>
                <w:rFonts w:asciiTheme="minorHAnsi" w:eastAsiaTheme="minorHAnsi" w:hAnsiTheme="minorHAnsi" w:cs="Arial"/>
                <w:sz w:val="20"/>
                <w:lang w:eastAsia="en-US"/>
              </w:rPr>
              <w:t>”)</w:t>
            </w:r>
          </w:p>
        </w:tc>
        <w:tc>
          <w:tcPr>
            <w:tcW w:w="819" w:type="pct"/>
          </w:tcPr>
          <w:p w:rsidR="00EE0005" w:rsidRPr="008940B1" w:rsidRDefault="00EE0005" w:rsidP="0076746F">
            <w:pPr>
              <w:spacing w:line="240" w:lineRule="auto"/>
              <w:rPr>
                <w:rFonts w:asciiTheme="minorHAnsi" w:hAnsiTheme="minorHAnsi"/>
                <w:sz w:val="20"/>
              </w:rPr>
            </w:pPr>
            <w:proofErr w:type="spellStart"/>
            <w:r w:rsidRPr="008940B1">
              <w:rPr>
                <w:rFonts w:asciiTheme="minorHAnsi" w:hAnsiTheme="minorHAnsi"/>
                <w:sz w:val="20"/>
              </w:rPr>
              <w:t>SzOOP</w:t>
            </w:r>
            <w:proofErr w:type="spellEnd"/>
          </w:p>
        </w:tc>
      </w:tr>
      <w:tr w:rsidR="00EE0005" w:rsidRPr="008940B1" w:rsidTr="0035693E">
        <w:trPr>
          <w:cantSplit/>
          <w:trHeight w:val="20"/>
          <w:jc w:val="center"/>
        </w:trPr>
        <w:tc>
          <w:tcPr>
            <w:tcW w:w="1204" w:type="pct"/>
            <w:shd w:val="clear" w:color="auto" w:fill="auto"/>
            <w:vAlign w:val="center"/>
          </w:tcPr>
          <w:p w:rsidR="00EE0005" w:rsidRPr="008940B1" w:rsidRDefault="00EE0005" w:rsidP="0076746F">
            <w:pPr>
              <w:spacing w:before="0" w:line="240" w:lineRule="auto"/>
              <w:rPr>
                <w:rFonts w:asciiTheme="minorHAnsi" w:eastAsiaTheme="minorHAnsi" w:hAnsiTheme="minorHAnsi"/>
                <w:sz w:val="20"/>
                <w:lang w:eastAsia="en-US"/>
              </w:rPr>
            </w:pPr>
            <w:r w:rsidRPr="008940B1">
              <w:rPr>
                <w:rFonts w:asciiTheme="minorHAnsi" w:eastAsiaTheme="minorHAnsi" w:hAnsiTheme="minorHAnsi"/>
                <w:sz w:val="20"/>
                <w:lang w:eastAsia="en-US"/>
              </w:rPr>
              <w:t>Liczba wybudowanych zintegrowanych węzłów przesiadkowych</w:t>
            </w:r>
          </w:p>
        </w:tc>
        <w:tc>
          <w:tcPr>
            <w:tcW w:w="457" w:type="pct"/>
            <w:vAlign w:val="center"/>
          </w:tcPr>
          <w:p w:rsidR="00EE0005" w:rsidRPr="008940B1" w:rsidRDefault="00EE0005" w:rsidP="0076746F">
            <w:pPr>
              <w:spacing w:before="0" w:line="240" w:lineRule="auto"/>
              <w:rPr>
                <w:rFonts w:asciiTheme="minorHAnsi" w:eastAsiaTheme="minorHAnsi" w:hAnsiTheme="minorHAnsi"/>
                <w:sz w:val="20"/>
                <w:lang w:eastAsia="en-US"/>
              </w:rPr>
            </w:pPr>
            <w:r w:rsidRPr="008940B1">
              <w:rPr>
                <w:rFonts w:asciiTheme="minorHAnsi" w:eastAsiaTheme="minorHAnsi" w:hAnsiTheme="minorHAnsi"/>
                <w:sz w:val="20"/>
                <w:lang w:eastAsia="en-US"/>
              </w:rPr>
              <w:t>szt.</w:t>
            </w:r>
          </w:p>
        </w:tc>
        <w:tc>
          <w:tcPr>
            <w:tcW w:w="2520" w:type="pct"/>
            <w:shd w:val="clear" w:color="auto" w:fill="auto"/>
          </w:tcPr>
          <w:p w:rsidR="00EE0005" w:rsidRPr="008940B1" w:rsidRDefault="00EE0005" w:rsidP="0076746F">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Liczba zintegrowanych węzłów przesiadkowych zapewniających możliwość przesiadania się pomiędzy środkami transportu publicznego lub pomiędzy systemami transportu publicznego i indywidualnego.</w:t>
            </w:r>
          </w:p>
          <w:p w:rsidR="00EE0005" w:rsidRPr="008940B1" w:rsidRDefault="00EE0005" w:rsidP="0076746F">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Definicja zintegrowanego węzła przesiadkowego zgodnie z ustawą z dnia 16 grudnia 2010 r. o publicznym transporcie zbiorowym: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tc>
        <w:tc>
          <w:tcPr>
            <w:tcW w:w="819" w:type="pct"/>
          </w:tcPr>
          <w:p w:rsidR="00EE0005" w:rsidRPr="008940B1" w:rsidRDefault="00EE0005" w:rsidP="0076746F">
            <w:pPr>
              <w:spacing w:line="240" w:lineRule="auto"/>
              <w:rPr>
                <w:rFonts w:asciiTheme="minorHAnsi" w:hAnsiTheme="minorHAnsi"/>
                <w:sz w:val="20"/>
              </w:rPr>
            </w:pPr>
            <w:proofErr w:type="spellStart"/>
            <w:r w:rsidRPr="008940B1">
              <w:rPr>
                <w:rFonts w:asciiTheme="minorHAnsi" w:hAnsiTheme="minorHAnsi"/>
                <w:sz w:val="20"/>
              </w:rPr>
              <w:t>SzOOP</w:t>
            </w:r>
            <w:proofErr w:type="spellEnd"/>
          </w:p>
        </w:tc>
      </w:tr>
      <w:tr w:rsidR="00EE0005" w:rsidRPr="008940B1" w:rsidTr="0035693E">
        <w:trPr>
          <w:cantSplit/>
          <w:trHeight w:val="20"/>
          <w:jc w:val="center"/>
        </w:trPr>
        <w:tc>
          <w:tcPr>
            <w:tcW w:w="1204" w:type="pct"/>
            <w:shd w:val="clear" w:color="auto" w:fill="auto"/>
            <w:vAlign w:val="center"/>
          </w:tcPr>
          <w:p w:rsidR="00EE0005" w:rsidRPr="008940B1" w:rsidRDefault="00EE0005" w:rsidP="0076746F">
            <w:pPr>
              <w:spacing w:before="0" w:line="240" w:lineRule="auto"/>
              <w:rPr>
                <w:rFonts w:asciiTheme="minorHAnsi" w:eastAsiaTheme="minorHAnsi" w:hAnsiTheme="minorHAnsi"/>
                <w:sz w:val="20"/>
                <w:lang w:eastAsia="en-US"/>
              </w:rPr>
            </w:pPr>
            <w:r w:rsidRPr="008940B1">
              <w:rPr>
                <w:rFonts w:asciiTheme="minorHAnsi" w:eastAsiaTheme="minorHAnsi" w:hAnsiTheme="minorHAnsi"/>
                <w:sz w:val="20"/>
                <w:lang w:eastAsia="en-US"/>
              </w:rPr>
              <w:t>Całkowita długość nowych lub przebudowanych linii autobusowych komunikacji miejskiej</w:t>
            </w:r>
          </w:p>
        </w:tc>
        <w:tc>
          <w:tcPr>
            <w:tcW w:w="457" w:type="pct"/>
            <w:vAlign w:val="center"/>
          </w:tcPr>
          <w:p w:rsidR="00EE0005" w:rsidRPr="008940B1" w:rsidRDefault="00EE0005" w:rsidP="0076746F">
            <w:pPr>
              <w:spacing w:before="0" w:line="240" w:lineRule="auto"/>
              <w:rPr>
                <w:rFonts w:asciiTheme="minorHAnsi" w:eastAsiaTheme="minorHAnsi" w:hAnsiTheme="minorHAnsi"/>
                <w:sz w:val="20"/>
                <w:lang w:eastAsia="en-US"/>
              </w:rPr>
            </w:pPr>
            <w:r w:rsidRPr="008940B1">
              <w:rPr>
                <w:rFonts w:asciiTheme="minorHAnsi" w:eastAsiaTheme="minorHAnsi" w:hAnsiTheme="minorHAnsi"/>
                <w:sz w:val="20"/>
                <w:lang w:eastAsia="en-US"/>
              </w:rPr>
              <w:t>km</w:t>
            </w:r>
          </w:p>
        </w:tc>
        <w:tc>
          <w:tcPr>
            <w:tcW w:w="2520" w:type="pct"/>
            <w:shd w:val="clear" w:color="auto" w:fill="auto"/>
          </w:tcPr>
          <w:p w:rsidR="00EE0005" w:rsidRPr="008940B1" w:rsidRDefault="00EE0005" w:rsidP="0076746F">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Linia komunikacyjna – połączenie komunikacyjne na sieci dróg publicznych</w:t>
            </w:r>
            <w:r w:rsidRPr="008940B1">
              <w:rPr>
                <w:rFonts w:asciiTheme="minorHAnsi" w:hAnsiTheme="minorHAnsi"/>
                <w:sz w:val="20"/>
              </w:rPr>
              <w:t xml:space="preserve"> </w:t>
            </w:r>
            <w:r w:rsidRPr="008940B1">
              <w:rPr>
                <w:rFonts w:asciiTheme="minorHAnsi" w:eastAsiaTheme="minorHAnsi" w:hAnsiTheme="minorHAnsi"/>
                <w:sz w:val="20"/>
                <w:lang w:eastAsia="en-US"/>
              </w:rPr>
              <w:t>wraz z oznaczonymi miejscami do wsiadania i wysiadania pasażerów na liniach komunikacyjnych, po których odbywa się publiczny transport zbiorowy.</w:t>
            </w:r>
          </w:p>
          <w:p w:rsidR="00EE0005" w:rsidRPr="008940B1" w:rsidRDefault="00EE0005" w:rsidP="0076746F">
            <w:pPr>
              <w:spacing w:before="0" w:line="240" w:lineRule="auto"/>
              <w:jc w:val="both"/>
              <w:rPr>
                <w:rFonts w:asciiTheme="minorHAnsi" w:eastAsiaTheme="minorHAnsi" w:hAnsiTheme="minorHAnsi"/>
                <w:sz w:val="20"/>
                <w:lang w:eastAsia="en-US"/>
              </w:rPr>
            </w:pPr>
          </w:p>
          <w:p w:rsidR="00EE0005" w:rsidRPr="008940B1" w:rsidRDefault="00EE0005" w:rsidP="0076746F">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b/>
                <w:sz w:val="20"/>
                <w:lang w:eastAsia="en-US"/>
              </w:rPr>
              <w:t xml:space="preserve">UWAGA </w:t>
            </w:r>
            <w:r w:rsidRPr="008940B1">
              <w:rPr>
                <w:rFonts w:asciiTheme="minorHAnsi" w:eastAsiaTheme="minorHAnsi" w:hAnsiTheme="minorHAnsi"/>
                <w:sz w:val="20"/>
                <w:lang w:eastAsia="en-US"/>
              </w:rPr>
              <w:t>- ze względu na brak definicji wskaźnika na poziomie Umowy Partnerstwa Instytucja Zarządzająca RPO WD proponuje ww. definicję, opartą o ustawę z dnia 16 grudnia 2010 r. o publicznym transporcie zbiorowym.</w:t>
            </w:r>
          </w:p>
          <w:p w:rsidR="00EE0005" w:rsidRPr="008940B1" w:rsidRDefault="00EE0005" w:rsidP="0076746F">
            <w:pPr>
              <w:spacing w:before="0" w:line="240" w:lineRule="auto"/>
              <w:jc w:val="both"/>
              <w:rPr>
                <w:rFonts w:asciiTheme="minorHAnsi" w:eastAsiaTheme="minorHAnsi" w:hAnsiTheme="minorHAnsi"/>
                <w:sz w:val="20"/>
                <w:lang w:eastAsia="en-US"/>
              </w:rPr>
            </w:pPr>
          </w:p>
          <w:p w:rsidR="00EE0005" w:rsidRPr="008940B1" w:rsidRDefault="00EE0005" w:rsidP="0076746F">
            <w:pPr>
              <w:spacing w:before="0" w:line="240" w:lineRule="auto"/>
              <w:jc w:val="both"/>
              <w:rPr>
                <w:rFonts w:asciiTheme="minorHAnsi" w:eastAsiaTheme="minorHAnsi" w:hAnsiTheme="minorHAnsi"/>
                <w:sz w:val="20"/>
                <w:lang w:eastAsia="en-US"/>
              </w:rPr>
            </w:pPr>
            <w:r w:rsidRPr="008940B1">
              <w:rPr>
                <w:rFonts w:asciiTheme="minorHAnsi" w:hAnsiTheme="minorHAnsi" w:cs="TimesNewRoman,Bold"/>
                <w:sz w:val="20"/>
              </w:rPr>
              <w:t xml:space="preserve">W przypadku wprowadzenia w Umowie Partnerstwa innej definicji wskaźnika </w:t>
            </w:r>
            <w:r w:rsidRPr="008940B1">
              <w:rPr>
                <w:rFonts w:asciiTheme="minorHAnsi" w:hAnsiTheme="minorHAnsi" w:cs="TimesNewRoman,Bold"/>
                <w:i/>
                <w:sz w:val="20"/>
              </w:rPr>
              <w:t>Całkowita długość nowych lub przebudowanych linii autobusowych komunikacji miejskiej</w:t>
            </w:r>
            <w:r w:rsidRPr="008940B1">
              <w:rPr>
                <w:rFonts w:asciiTheme="minorHAnsi" w:hAnsiTheme="minorHAnsi" w:cs="TimesNewRoman,Bold"/>
                <w:sz w:val="20"/>
              </w:rPr>
              <w:t>, Instytucja Zarządzająca RPO WD poinformuje o tym fakcie stosownym komunikatem.</w:t>
            </w:r>
          </w:p>
        </w:tc>
        <w:tc>
          <w:tcPr>
            <w:tcW w:w="819" w:type="pct"/>
          </w:tcPr>
          <w:p w:rsidR="00EE0005" w:rsidRPr="008940B1" w:rsidRDefault="00EE0005" w:rsidP="0076746F">
            <w:pPr>
              <w:spacing w:line="240" w:lineRule="auto"/>
              <w:rPr>
                <w:rFonts w:asciiTheme="minorHAnsi" w:hAnsiTheme="minorHAnsi"/>
                <w:sz w:val="20"/>
              </w:rPr>
            </w:pPr>
            <w:proofErr w:type="spellStart"/>
            <w:r w:rsidRPr="008940B1">
              <w:rPr>
                <w:rFonts w:asciiTheme="minorHAnsi" w:hAnsiTheme="minorHAnsi"/>
                <w:sz w:val="20"/>
              </w:rPr>
              <w:t>SzOOP</w:t>
            </w:r>
            <w:proofErr w:type="spellEnd"/>
          </w:p>
        </w:tc>
      </w:tr>
      <w:tr w:rsidR="00EE0005" w:rsidRPr="008940B1" w:rsidTr="0035693E">
        <w:trPr>
          <w:trHeight w:val="20"/>
          <w:jc w:val="center"/>
        </w:trPr>
        <w:tc>
          <w:tcPr>
            <w:tcW w:w="1204" w:type="pct"/>
            <w:shd w:val="clear" w:color="auto" w:fill="auto"/>
            <w:vAlign w:val="center"/>
          </w:tcPr>
          <w:p w:rsidR="00EE0005" w:rsidRPr="008940B1" w:rsidRDefault="00EE0005" w:rsidP="0076746F">
            <w:pPr>
              <w:spacing w:before="0" w:line="240" w:lineRule="auto"/>
              <w:rPr>
                <w:rFonts w:asciiTheme="minorHAnsi" w:eastAsiaTheme="minorHAnsi" w:hAnsiTheme="minorHAnsi" w:cs="Arial"/>
                <w:sz w:val="20"/>
                <w:lang w:eastAsia="en-US"/>
              </w:rPr>
            </w:pPr>
            <w:r w:rsidRPr="008940B1">
              <w:rPr>
                <w:rFonts w:asciiTheme="minorHAnsi" w:eastAsiaTheme="minorHAnsi" w:hAnsiTheme="minorHAnsi" w:cs="Arial"/>
                <w:sz w:val="20"/>
                <w:lang w:eastAsia="en-US"/>
              </w:rPr>
              <w:t>Liczba przedsiębiorstw otrzymujących wsparcie (CI 1)</w:t>
            </w:r>
          </w:p>
          <w:p w:rsidR="00EE0005" w:rsidRPr="008940B1" w:rsidRDefault="00EE0005" w:rsidP="0076746F">
            <w:pPr>
              <w:spacing w:before="0" w:line="240" w:lineRule="auto"/>
              <w:rPr>
                <w:rFonts w:asciiTheme="minorHAnsi" w:eastAsiaTheme="minorHAnsi" w:hAnsiTheme="minorHAnsi"/>
                <w:sz w:val="20"/>
                <w:lang w:eastAsia="en-US"/>
              </w:rPr>
            </w:pPr>
          </w:p>
        </w:tc>
        <w:tc>
          <w:tcPr>
            <w:tcW w:w="457" w:type="pct"/>
            <w:vAlign w:val="center"/>
          </w:tcPr>
          <w:p w:rsidR="00EE0005" w:rsidRPr="008940B1" w:rsidRDefault="00EE0005" w:rsidP="0076746F">
            <w:pPr>
              <w:spacing w:before="0" w:line="240" w:lineRule="auto"/>
              <w:rPr>
                <w:rFonts w:asciiTheme="minorHAnsi" w:eastAsiaTheme="minorHAnsi" w:hAnsiTheme="minorHAnsi"/>
                <w:sz w:val="20"/>
                <w:lang w:eastAsia="en-US"/>
              </w:rPr>
            </w:pPr>
            <w:r w:rsidRPr="008940B1">
              <w:rPr>
                <w:rFonts w:asciiTheme="minorHAnsi" w:eastAsiaTheme="minorHAnsi" w:hAnsiTheme="minorHAnsi"/>
                <w:sz w:val="20"/>
                <w:lang w:eastAsia="en-US"/>
              </w:rPr>
              <w:t>przedsiębiorstwo</w:t>
            </w:r>
          </w:p>
        </w:tc>
        <w:tc>
          <w:tcPr>
            <w:tcW w:w="2520" w:type="pct"/>
            <w:shd w:val="clear" w:color="auto" w:fill="auto"/>
          </w:tcPr>
          <w:p w:rsidR="0068088E" w:rsidRPr="008940B1" w:rsidRDefault="0068088E" w:rsidP="0076746F">
            <w:pPr>
              <w:spacing w:before="0" w:line="240" w:lineRule="auto"/>
              <w:jc w:val="both"/>
              <w:rPr>
                <w:rFonts w:asciiTheme="minorHAnsi" w:eastAsiaTheme="minorHAnsi" w:hAnsiTheme="minorHAnsi" w:cs="Arial"/>
                <w:sz w:val="20"/>
                <w:lang w:val="en-US" w:eastAsia="en-US"/>
              </w:rPr>
            </w:pPr>
            <w:proofErr w:type="spellStart"/>
            <w:r w:rsidRPr="008940B1">
              <w:rPr>
                <w:rFonts w:asciiTheme="minorHAnsi" w:eastAsiaTheme="minorHAnsi" w:hAnsiTheme="minorHAnsi" w:cs="Arial"/>
                <w:sz w:val="20"/>
                <w:lang w:val="en-US" w:eastAsia="en-US"/>
              </w:rPr>
              <w:t>Liczba</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przedsiębiorstw</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otrzymujących</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wsparcie</w:t>
            </w:r>
            <w:proofErr w:type="spellEnd"/>
            <w:r w:rsidRPr="008940B1">
              <w:rPr>
                <w:rFonts w:asciiTheme="minorHAnsi" w:eastAsiaTheme="minorHAnsi" w:hAnsiTheme="minorHAnsi" w:cs="Arial"/>
                <w:sz w:val="20"/>
                <w:lang w:val="en-US" w:eastAsia="en-US"/>
              </w:rPr>
              <w:t xml:space="preserve"> w </w:t>
            </w:r>
            <w:proofErr w:type="spellStart"/>
            <w:r w:rsidRPr="008940B1">
              <w:rPr>
                <w:rFonts w:asciiTheme="minorHAnsi" w:eastAsiaTheme="minorHAnsi" w:hAnsiTheme="minorHAnsi" w:cs="Arial"/>
                <w:sz w:val="20"/>
                <w:lang w:val="en-US" w:eastAsia="en-US"/>
              </w:rPr>
              <w:t>dowolnej</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formie</w:t>
            </w:r>
            <w:proofErr w:type="spellEnd"/>
            <w:r w:rsidRPr="008940B1">
              <w:rPr>
                <w:rFonts w:asciiTheme="minorHAnsi" w:eastAsiaTheme="minorHAnsi" w:hAnsiTheme="minorHAnsi" w:cs="Arial"/>
                <w:sz w:val="20"/>
                <w:lang w:val="en-US" w:eastAsia="en-US"/>
              </w:rPr>
              <w:t xml:space="preserve"> z </w:t>
            </w:r>
            <w:proofErr w:type="spellStart"/>
            <w:r w:rsidRPr="008940B1">
              <w:rPr>
                <w:rFonts w:asciiTheme="minorHAnsi" w:eastAsiaTheme="minorHAnsi" w:hAnsiTheme="minorHAnsi" w:cs="Arial"/>
                <w:sz w:val="20"/>
                <w:lang w:val="en-US" w:eastAsia="en-US"/>
              </w:rPr>
              <w:t>funduszy</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strukturalnych</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niezależnie</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od</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tego</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czy</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wsparcie</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stanowi</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pomoc</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państwa</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czy</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nie</w:t>
            </w:r>
            <w:proofErr w:type="spellEnd"/>
            <w:r w:rsidRPr="008940B1">
              <w:rPr>
                <w:rFonts w:asciiTheme="minorHAnsi" w:eastAsiaTheme="minorHAnsi" w:hAnsiTheme="minorHAnsi" w:cs="Arial"/>
                <w:sz w:val="20"/>
                <w:lang w:val="en-US" w:eastAsia="en-US"/>
              </w:rPr>
              <w:t>).</w:t>
            </w:r>
          </w:p>
          <w:p w:rsidR="0068088E" w:rsidRPr="008940B1" w:rsidRDefault="0068088E" w:rsidP="0076746F">
            <w:pPr>
              <w:spacing w:before="0" w:line="240" w:lineRule="auto"/>
              <w:jc w:val="both"/>
              <w:rPr>
                <w:rFonts w:asciiTheme="minorHAnsi" w:eastAsiaTheme="minorHAnsi" w:hAnsiTheme="minorHAnsi" w:cs="Arial"/>
                <w:sz w:val="20"/>
                <w:lang w:val="en-US" w:eastAsia="en-US"/>
              </w:rPr>
            </w:pPr>
          </w:p>
          <w:p w:rsidR="0068088E" w:rsidRPr="008940B1" w:rsidRDefault="0068088E" w:rsidP="0076746F">
            <w:pPr>
              <w:spacing w:before="0" w:line="240" w:lineRule="auto"/>
              <w:jc w:val="both"/>
              <w:rPr>
                <w:rFonts w:asciiTheme="minorHAnsi" w:eastAsiaTheme="minorHAnsi" w:hAnsiTheme="minorHAnsi" w:cs="Arial"/>
                <w:sz w:val="20"/>
                <w:lang w:val="en-US" w:eastAsia="en-US"/>
              </w:rPr>
            </w:pPr>
            <w:proofErr w:type="spellStart"/>
            <w:r w:rsidRPr="008940B1">
              <w:rPr>
                <w:rFonts w:asciiTheme="minorHAnsi" w:eastAsiaTheme="minorHAnsi" w:hAnsiTheme="minorHAnsi" w:cs="Arial"/>
                <w:sz w:val="20"/>
                <w:lang w:val="en-US" w:eastAsia="en-US"/>
              </w:rPr>
              <w:t>Przedsiębiorstwo</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organizacja</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produkująca</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produkty</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lub</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usługi</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zaspokajające</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potrzeby</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rynku</w:t>
            </w:r>
            <w:proofErr w:type="spellEnd"/>
            <w:r w:rsidRPr="008940B1">
              <w:rPr>
                <w:rFonts w:asciiTheme="minorHAnsi" w:eastAsiaTheme="minorHAnsi" w:hAnsiTheme="minorHAnsi" w:cs="Arial"/>
                <w:sz w:val="20"/>
                <w:lang w:val="en-US" w:eastAsia="en-US"/>
              </w:rPr>
              <w:t xml:space="preserve"> w </w:t>
            </w:r>
            <w:proofErr w:type="spellStart"/>
            <w:r w:rsidRPr="008940B1">
              <w:rPr>
                <w:rFonts w:asciiTheme="minorHAnsi" w:eastAsiaTheme="minorHAnsi" w:hAnsiTheme="minorHAnsi" w:cs="Arial"/>
                <w:sz w:val="20"/>
                <w:lang w:val="en-US" w:eastAsia="en-US"/>
              </w:rPr>
              <w:t>celu</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osiągnięcia</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zysku</w:t>
            </w:r>
            <w:proofErr w:type="spellEnd"/>
            <w:r w:rsidRPr="008940B1">
              <w:rPr>
                <w:rFonts w:asciiTheme="minorHAnsi" w:eastAsiaTheme="minorHAnsi" w:hAnsiTheme="minorHAnsi" w:cs="Arial"/>
                <w:sz w:val="20"/>
                <w:lang w:val="en-US" w:eastAsia="en-US"/>
              </w:rPr>
              <w:t xml:space="preserve">. Forma </w:t>
            </w:r>
            <w:proofErr w:type="spellStart"/>
            <w:r w:rsidRPr="008940B1">
              <w:rPr>
                <w:rFonts w:asciiTheme="minorHAnsi" w:eastAsiaTheme="minorHAnsi" w:hAnsiTheme="minorHAnsi" w:cs="Arial"/>
                <w:sz w:val="20"/>
                <w:lang w:val="en-US" w:eastAsia="en-US"/>
              </w:rPr>
              <w:t>prawna</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przedsiębiorstwa</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może</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być</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różna</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osoby</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pracujące</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na</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własny</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rachunek</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lastRenderedPageBreak/>
              <w:t>spółki</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osobowe</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itp</w:t>
            </w:r>
            <w:proofErr w:type="spellEnd"/>
            <w:r w:rsidRPr="008940B1">
              <w:rPr>
                <w:rFonts w:asciiTheme="minorHAnsi" w:eastAsiaTheme="minorHAnsi" w:hAnsiTheme="minorHAnsi" w:cs="Arial"/>
                <w:sz w:val="20"/>
                <w:lang w:val="en-US" w:eastAsia="en-US"/>
              </w:rPr>
              <w:t>.).</w:t>
            </w:r>
          </w:p>
          <w:p w:rsidR="0068088E" w:rsidRPr="008940B1" w:rsidRDefault="0068088E" w:rsidP="0076746F">
            <w:pPr>
              <w:spacing w:before="0" w:line="240" w:lineRule="auto"/>
              <w:jc w:val="both"/>
              <w:rPr>
                <w:rFonts w:asciiTheme="minorHAnsi" w:eastAsiaTheme="minorHAnsi" w:hAnsiTheme="minorHAnsi" w:cs="Arial"/>
                <w:sz w:val="20"/>
                <w:lang w:val="en-US" w:eastAsia="en-US"/>
              </w:rPr>
            </w:pPr>
          </w:p>
          <w:p w:rsidR="00EE0005" w:rsidRPr="008940B1" w:rsidRDefault="00EE0005" w:rsidP="0076746F">
            <w:pPr>
              <w:spacing w:before="0" w:line="240" w:lineRule="auto"/>
              <w:jc w:val="both"/>
              <w:rPr>
                <w:rFonts w:asciiTheme="minorHAnsi" w:eastAsiaTheme="minorHAnsi" w:hAnsiTheme="minorHAnsi" w:cs="Arial"/>
                <w:sz w:val="20"/>
                <w:lang w:val="en-US" w:eastAsia="en-US"/>
              </w:rPr>
            </w:pPr>
            <w:r w:rsidRPr="008940B1">
              <w:rPr>
                <w:rFonts w:asciiTheme="minorHAnsi" w:eastAsiaTheme="minorHAnsi" w:hAnsiTheme="minorHAnsi" w:cs="Arial"/>
                <w:sz w:val="20"/>
                <w:lang w:val="en-US" w:eastAsia="en-US"/>
              </w:rPr>
              <w:t xml:space="preserve">Number of enterprises receiving support in any form from Structural Funds (whether the support represents state aid or not). </w:t>
            </w:r>
          </w:p>
          <w:p w:rsidR="00EE0005" w:rsidRPr="008940B1" w:rsidRDefault="00EE0005" w:rsidP="0076746F">
            <w:pPr>
              <w:spacing w:before="120" w:line="240" w:lineRule="auto"/>
              <w:jc w:val="both"/>
              <w:rPr>
                <w:rFonts w:asciiTheme="minorHAnsi" w:eastAsiaTheme="minorHAnsi" w:hAnsiTheme="minorHAnsi" w:cs="Arial"/>
                <w:sz w:val="20"/>
                <w:lang w:val="en-US" w:eastAsia="en-US"/>
              </w:rPr>
            </w:pPr>
            <w:r w:rsidRPr="008940B1">
              <w:rPr>
                <w:rFonts w:asciiTheme="minorHAnsi" w:eastAsiaTheme="minorHAnsi" w:hAnsiTheme="minorHAnsi" w:cs="Arial"/>
                <w:sz w:val="20"/>
                <w:lang w:val="en-US" w:eastAsia="en-US"/>
              </w:rPr>
              <w:t xml:space="preserve">Enterprise: </w:t>
            </w:r>
            <w:proofErr w:type="spellStart"/>
            <w:r w:rsidRPr="008940B1">
              <w:rPr>
                <w:rFonts w:asciiTheme="minorHAnsi" w:eastAsiaTheme="minorHAnsi" w:hAnsiTheme="minorHAnsi" w:cs="Arial"/>
                <w:sz w:val="20"/>
                <w:lang w:val="en-US" w:eastAsia="en-US"/>
              </w:rPr>
              <w:t>Organisation</w:t>
            </w:r>
            <w:proofErr w:type="spellEnd"/>
            <w:r w:rsidRPr="008940B1">
              <w:rPr>
                <w:rFonts w:asciiTheme="minorHAnsi" w:eastAsiaTheme="minorHAnsi" w:hAnsiTheme="minorHAnsi" w:cs="Arial"/>
                <w:sz w:val="20"/>
                <w:lang w:val="en-US" w:eastAsia="en-US"/>
              </w:rPr>
              <w:t xml:space="preserve"> producing products or services to satisfy market needs in order to reach profit. The legal form of enterprise may be various (self-employed persons, partnerships, etc.). </w:t>
            </w:r>
          </w:p>
        </w:tc>
        <w:tc>
          <w:tcPr>
            <w:tcW w:w="819" w:type="pct"/>
          </w:tcPr>
          <w:p w:rsidR="00EE0005" w:rsidRPr="008940B1" w:rsidRDefault="00EE0005" w:rsidP="0076746F">
            <w:pPr>
              <w:spacing w:line="240" w:lineRule="auto"/>
              <w:rPr>
                <w:rFonts w:asciiTheme="minorHAnsi" w:hAnsiTheme="minorHAnsi"/>
                <w:sz w:val="20"/>
              </w:rPr>
            </w:pPr>
            <w:proofErr w:type="spellStart"/>
            <w:r w:rsidRPr="008940B1">
              <w:rPr>
                <w:rFonts w:asciiTheme="minorHAnsi" w:hAnsiTheme="minorHAnsi"/>
                <w:sz w:val="20"/>
              </w:rPr>
              <w:lastRenderedPageBreak/>
              <w:t>SzOOP</w:t>
            </w:r>
            <w:proofErr w:type="spellEnd"/>
          </w:p>
        </w:tc>
      </w:tr>
      <w:tr w:rsidR="00EE0005" w:rsidRPr="008940B1" w:rsidTr="007E2D2C">
        <w:trPr>
          <w:trHeight w:val="20"/>
          <w:jc w:val="center"/>
        </w:trPr>
        <w:tc>
          <w:tcPr>
            <w:tcW w:w="1204" w:type="pct"/>
            <w:shd w:val="clear" w:color="auto" w:fill="auto"/>
          </w:tcPr>
          <w:p w:rsidR="00EE0005" w:rsidRPr="008940B1" w:rsidRDefault="00EE0005" w:rsidP="0076746F">
            <w:pPr>
              <w:spacing w:before="0" w:line="240" w:lineRule="auto"/>
              <w:rPr>
                <w:rFonts w:asciiTheme="minorHAnsi" w:eastAsiaTheme="minorHAnsi" w:hAnsiTheme="minorHAnsi"/>
                <w:sz w:val="20"/>
                <w:lang w:eastAsia="en-US"/>
              </w:rPr>
            </w:pPr>
            <w:r w:rsidRPr="008940B1">
              <w:rPr>
                <w:rFonts w:asciiTheme="minorHAnsi" w:eastAsiaTheme="minorHAnsi" w:hAnsiTheme="minorHAnsi"/>
                <w:sz w:val="20"/>
                <w:lang w:eastAsia="en-US"/>
              </w:rPr>
              <w:t>Liczba obiektów dostosowanych do potrzeb osób z niepełnosprawnościami</w:t>
            </w:r>
          </w:p>
        </w:tc>
        <w:tc>
          <w:tcPr>
            <w:tcW w:w="457" w:type="pct"/>
          </w:tcPr>
          <w:p w:rsidR="00EE0005" w:rsidRPr="008940B1" w:rsidRDefault="00EE0005" w:rsidP="0076746F">
            <w:pPr>
              <w:spacing w:before="0" w:line="240" w:lineRule="auto"/>
              <w:jc w:val="center"/>
              <w:rPr>
                <w:rFonts w:asciiTheme="minorHAnsi" w:eastAsiaTheme="minorHAnsi" w:hAnsiTheme="minorHAnsi"/>
                <w:sz w:val="20"/>
                <w:lang w:eastAsia="en-US"/>
              </w:rPr>
            </w:pPr>
            <w:r w:rsidRPr="008940B1">
              <w:rPr>
                <w:rFonts w:asciiTheme="minorHAnsi" w:eastAsiaTheme="minorHAnsi" w:hAnsiTheme="minorHAnsi"/>
                <w:sz w:val="20"/>
                <w:lang w:eastAsia="en-US"/>
              </w:rPr>
              <w:t>szt.</w:t>
            </w:r>
          </w:p>
        </w:tc>
        <w:tc>
          <w:tcPr>
            <w:tcW w:w="2520" w:type="pct"/>
            <w:shd w:val="clear" w:color="auto" w:fill="auto"/>
          </w:tcPr>
          <w:p w:rsidR="00EE0005" w:rsidRPr="008940B1" w:rsidRDefault="00EE0005" w:rsidP="0076746F">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 xml:space="preserve">Wskaźnik odnosi się do liczby obiektów, które zaopatrzono w specjalne podjazdy, windy, urządzenia głośnomówiące, bądź inne </w:t>
            </w:r>
            <w:r w:rsidRPr="008940B1">
              <w:rPr>
                <w:rFonts w:asciiTheme="minorHAnsi" w:eastAsiaTheme="minorHAnsi" w:hAnsiTheme="minorHAnsi" w:cs="Arial"/>
                <w:sz w:val="20"/>
                <w:lang w:eastAsia="en-US"/>
              </w:rPr>
              <w:t xml:space="preserve"> rozwiązania umożliwiające dostęp </w:t>
            </w:r>
            <w:r w:rsidRPr="008940B1">
              <w:rPr>
                <w:rFonts w:asciiTheme="minorHAnsi" w:eastAsiaTheme="minorHAnsi" w:hAnsiTheme="minorHAnsi"/>
                <w:sz w:val="20"/>
                <w:lang w:eastAsia="en-US"/>
              </w:rPr>
              <w:t>(tj. usunięcie barier w dostępie, w szczególności barier architektonicznych) do tych obiektów i poruszanie się po nich osobom niepełnosprawnym ruchowo czy sensorycznie.</w:t>
            </w:r>
          </w:p>
          <w:p w:rsidR="00EE0005" w:rsidRPr="008940B1" w:rsidRDefault="00EE0005" w:rsidP="0076746F">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Jako obiekty budowlane należy rozumieć konstrukcje połączone z gruntem w sposób trwały, wykonane z materiałów budowlanych i elementów składowych, będące wynikiem prac budowlanych (wg. def. PKOB).</w:t>
            </w:r>
          </w:p>
          <w:p w:rsidR="00EE0005" w:rsidRPr="008940B1" w:rsidRDefault="00EE0005" w:rsidP="0076746F">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 xml:space="preserve">Należy podać liczbę </w:t>
            </w:r>
            <w:r w:rsidRPr="008940B1">
              <w:rPr>
                <w:rFonts w:asciiTheme="minorHAnsi" w:eastAsiaTheme="minorHAnsi" w:hAnsiTheme="minorHAnsi" w:cs="Arial"/>
                <w:sz w:val="20"/>
                <w:lang w:eastAsia="en-US"/>
              </w:rPr>
              <w:t>wspartych lub zaopatrzonych w sprzęt obiektów</w:t>
            </w:r>
            <w:r w:rsidRPr="008940B1">
              <w:rPr>
                <w:rFonts w:asciiTheme="minorHAnsi" w:eastAsiaTheme="minorHAnsi" w:hAnsiTheme="minorHAnsi"/>
                <w:sz w:val="20"/>
                <w:lang w:eastAsia="en-US"/>
              </w:rPr>
              <w:t>, a nie liczbę sprzętów, urządzeń itp., w które obiekty zaopatrzono.</w:t>
            </w:r>
          </w:p>
          <w:p w:rsidR="00EE0005" w:rsidRPr="008940B1" w:rsidRDefault="00EE0005" w:rsidP="0076746F">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Jeśli instytucja, zakład itp. składa się z kilku obiektów, należy zliczyć wszystkie, które dostosowano do potrzeb osób niepełnosprawnych.</w:t>
            </w:r>
          </w:p>
        </w:tc>
        <w:tc>
          <w:tcPr>
            <w:tcW w:w="819" w:type="pct"/>
          </w:tcPr>
          <w:p w:rsidR="00EE0005" w:rsidRPr="008940B1" w:rsidRDefault="00EE0005" w:rsidP="0076746F">
            <w:pPr>
              <w:spacing w:before="0" w:line="240" w:lineRule="auto"/>
              <w:jc w:val="center"/>
              <w:rPr>
                <w:rFonts w:asciiTheme="minorHAnsi" w:hAnsiTheme="minorHAnsi"/>
                <w:sz w:val="20"/>
              </w:rPr>
            </w:pPr>
            <w:r w:rsidRPr="008940B1">
              <w:rPr>
                <w:rFonts w:asciiTheme="minorHAnsi" w:hAnsiTheme="minorHAnsi"/>
                <w:sz w:val="20"/>
              </w:rPr>
              <w:t>Horyzontalny</w:t>
            </w:r>
          </w:p>
        </w:tc>
      </w:tr>
      <w:tr w:rsidR="00EE0005" w:rsidRPr="008940B1" w:rsidTr="007E2D2C">
        <w:trPr>
          <w:trHeight w:val="20"/>
          <w:jc w:val="center"/>
        </w:trPr>
        <w:tc>
          <w:tcPr>
            <w:tcW w:w="1204" w:type="pct"/>
            <w:shd w:val="clear" w:color="auto" w:fill="auto"/>
          </w:tcPr>
          <w:p w:rsidR="00EE0005" w:rsidRPr="008940B1" w:rsidRDefault="00EE0005" w:rsidP="0076746F">
            <w:pPr>
              <w:spacing w:before="0" w:line="240" w:lineRule="auto"/>
              <w:rPr>
                <w:rFonts w:asciiTheme="minorHAnsi" w:eastAsiaTheme="minorHAnsi" w:hAnsiTheme="minorHAnsi"/>
                <w:sz w:val="20"/>
                <w:lang w:eastAsia="en-US"/>
              </w:rPr>
            </w:pPr>
            <w:r w:rsidRPr="008940B1">
              <w:rPr>
                <w:rFonts w:asciiTheme="minorHAnsi" w:eastAsiaTheme="minorHAnsi" w:hAnsiTheme="minorHAnsi"/>
                <w:sz w:val="20"/>
                <w:lang w:eastAsia="en-US"/>
              </w:rPr>
              <w:t>Liczba podmiotów wykorzystujących technologie informacyjno-komunikacyjne (TIK)</w:t>
            </w:r>
          </w:p>
        </w:tc>
        <w:tc>
          <w:tcPr>
            <w:tcW w:w="457" w:type="pct"/>
          </w:tcPr>
          <w:p w:rsidR="00EE0005" w:rsidRPr="008940B1" w:rsidRDefault="00EE0005" w:rsidP="0076746F">
            <w:pPr>
              <w:spacing w:before="0" w:line="240" w:lineRule="auto"/>
              <w:jc w:val="center"/>
              <w:rPr>
                <w:rFonts w:asciiTheme="minorHAnsi" w:eastAsiaTheme="minorHAnsi" w:hAnsiTheme="minorHAnsi"/>
                <w:sz w:val="20"/>
                <w:lang w:eastAsia="en-US"/>
              </w:rPr>
            </w:pPr>
            <w:r w:rsidRPr="008940B1">
              <w:rPr>
                <w:rFonts w:asciiTheme="minorHAnsi" w:eastAsiaTheme="minorHAnsi" w:hAnsiTheme="minorHAnsi"/>
                <w:sz w:val="20"/>
                <w:lang w:eastAsia="en-US"/>
              </w:rPr>
              <w:t>szt.</w:t>
            </w:r>
          </w:p>
        </w:tc>
        <w:tc>
          <w:tcPr>
            <w:tcW w:w="2520" w:type="pct"/>
            <w:shd w:val="clear" w:color="auto" w:fill="auto"/>
          </w:tcPr>
          <w:p w:rsidR="00EE0005" w:rsidRPr="008940B1" w:rsidRDefault="00EE0005" w:rsidP="0076746F">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EE0005" w:rsidRPr="008940B1" w:rsidRDefault="00EE0005" w:rsidP="0076746F">
            <w:pPr>
              <w:spacing w:before="0" w:line="240" w:lineRule="auto"/>
              <w:jc w:val="both"/>
              <w:rPr>
                <w:rFonts w:asciiTheme="minorHAnsi" w:eastAsiaTheme="minorHAnsi" w:hAnsiTheme="minorHAnsi"/>
                <w:sz w:val="20"/>
                <w:lang w:eastAsia="en-US"/>
              </w:rPr>
            </w:pPr>
          </w:p>
          <w:p w:rsidR="00EE0005" w:rsidRPr="008940B1" w:rsidRDefault="00EE0005" w:rsidP="0076746F">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EE0005" w:rsidRPr="008940B1" w:rsidRDefault="00EE0005" w:rsidP="0076746F">
            <w:pPr>
              <w:spacing w:before="0" w:line="240" w:lineRule="auto"/>
              <w:jc w:val="both"/>
              <w:rPr>
                <w:rFonts w:asciiTheme="minorHAnsi" w:eastAsiaTheme="minorHAnsi" w:hAnsiTheme="minorHAnsi"/>
                <w:sz w:val="20"/>
                <w:lang w:eastAsia="en-US"/>
              </w:rPr>
            </w:pPr>
          </w:p>
          <w:p w:rsidR="00EE0005" w:rsidRPr="008940B1" w:rsidRDefault="00EE0005" w:rsidP="0076746F">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EE0005" w:rsidRPr="008940B1" w:rsidRDefault="00EE0005" w:rsidP="0076746F">
            <w:pPr>
              <w:spacing w:before="0" w:line="240" w:lineRule="auto"/>
              <w:jc w:val="both"/>
              <w:rPr>
                <w:rFonts w:asciiTheme="minorHAnsi" w:eastAsiaTheme="minorHAnsi" w:hAnsiTheme="minorHAnsi"/>
                <w:sz w:val="20"/>
                <w:lang w:eastAsia="en-US"/>
              </w:rPr>
            </w:pPr>
          </w:p>
          <w:p w:rsidR="00EE0005" w:rsidRPr="008940B1" w:rsidRDefault="00EE0005" w:rsidP="0076746F">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w:t>
            </w:r>
            <w:r w:rsidRPr="008940B1">
              <w:rPr>
                <w:rFonts w:asciiTheme="minorHAnsi" w:eastAsiaTheme="minorHAnsi" w:hAnsiTheme="minorHAnsi"/>
                <w:sz w:val="20"/>
                <w:lang w:eastAsia="en-US"/>
              </w:rPr>
              <w:lastRenderedPageBreak/>
              <w:t>narzędzia TIK.</w:t>
            </w:r>
          </w:p>
        </w:tc>
        <w:tc>
          <w:tcPr>
            <w:tcW w:w="819" w:type="pct"/>
          </w:tcPr>
          <w:p w:rsidR="00EE0005" w:rsidRPr="008940B1" w:rsidRDefault="00EE0005" w:rsidP="0076746F">
            <w:pPr>
              <w:spacing w:before="0" w:line="240" w:lineRule="auto"/>
              <w:jc w:val="center"/>
              <w:rPr>
                <w:rFonts w:asciiTheme="minorHAnsi" w:hAnsiTheme="minorHAnsi"/>
                <w:sz w:val="20"/>
              </w:rPr>
            </w:pPr>
            <w:r w:rsidRPr="008940B1">
              <w:rPr>
                <w:rFonts w:asciiTheme="minorHAnsi" w:hAnsiTheme="minorHAnsi"/>
                <w:sz w:val="20"/>
              </w:rPr>
              <w:lastRenderedPageBreak/>
              <w:t>horyzontalny</w:t>
            </w:r>
          </w:p>
        </w:tc>
      </w:tr>
      <w:tr w:rsidR="00EE0005" w:rsidRPr="008940B1" w:rsidTr="007E2D2C">
        <w:trPr>
          <w:trHeight w:val="20"/>
          <w:jc w:val="center"/>
        </w:trPr>
        <w:tc>
          <w:tcPr>
            <w:tcW w:w="1204" w:type="pct"/>
            <w:shd w:val="clear" w:color="auto" w:fill="auto"/>
          </w:tcPr>
          <w:p w:rsidR="00EE0005" w:rsidRPr="008940B1" w:rsidRDefault="00EE0005" w:rsidP="0076746F">
            <w:pPr>
              <w:spacing w:before="0" w:line="240" w:lineRule="auto"/>
              <w:rPr>
                <w:rFonts w:asciiTheme="minorHAnsi" w:eastAsiaTheme="minorHAnsi" w:hAnsiTheme="minorHAnsi"/>
                <w:sz w:val="20"/>
                <w:lang w:eastAsia="en-US"/>
              </w:rPr>
            </w:pPr>
            <w:r w:rsidRPr="008940B1">
              <w:rPr>
                <w:rFonts w:asciiTheme="minorHAnsi" w:eastAsiaTheme="minorHAnsi" w:hAnsiTheme="minorHAnsi"/>
                <w:sz w:val="20"/>
                <w:lang w:eastAsia="en-US"/>
              </w:rPr>
              <w:t>Liczba osób objętych szkoleniami / doradztwem w zakresie kompetencji cyfrowych O/K/M</w:t>
            </w:r>
          </w:p>
        </w:tc>
        <w:tc>
          <w:tcPr>
            <w:tcW w:w="457" w:type="pct"/>
          </w:tcPr>
          <w:p w:rsidR="00EE0005" w:rsidRPr="008940B1" w:rsidRDefault="00EE0005" w:rsidP="0076746F">
            <w:pPr>
              <w:spacing w:before="0" w:line="240" w:lineRule="auto"/>
              <w:jc w:val="center"/>
              <w:rPr>
                <w:rFonts w:asciiTheme="minorHAnsi" w:eastAsiaTheme="minorHAnsi" w:hAnsiTheme="minorHAnsi"/>
                <w:sz w:val="20"/>
                <w:lang w:eastAsia="en-US"/>
              </w:rPr>
            </w:pPr>
            <w:r w:rsidRPr="008940B1">
              <w:rPr>
                <w:rFonts w:asciiTheme="minorHAnsi" w:eastAsiaTheme="minorHAnsi" w:hAnsiTheme="minorHAnsi"/>
                <w:sz w:val="20"/>
                <w:lang w:eastAsia="en-US"/>
              </w:rPr>
              <w:t>os.</w:t>
            </w:r>
          </w:p>
        </w:tc>
        <w:tc>
          <w:tcPr>
            <w:tcW w:w="2520" w:type="pct"/>
            <w:shd w:val="clear" w:color="auto" w:fill="auto"/>
          </w:tcPr>
          <w:p w:rsidR="00EE0005" w:rsidRPr="008940B1" w:rsidRDefault="00EE0005" w:rsidP="0076746F">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Wskaźnik mierzy liczbę osób objętych szkoleniami</w:t>
            </w:r>
            <w:r w:rsidR="00AF7EBE" w:rsidRPr="008940B1">
              <w:rPr>
                <w:rFonts w:asciiTheme="minorHAnsi" w:eastAsiaTheme="minorHAnsi" w:hAnsiTheme="minorHAnsi"/>
                <w:sz w:val="20"/>
                <w:lang w:eastAsia="en-US"/>
              </w:rPr>
              <w:t xml:space="preserve"> </w:t>
            </w:r>
            <w:r w:rsidRPr="008940B1">
              <w:rPr>
                <w:rFonts w:asciiTheme="minorHAnsi" w:eastAsiaTheme="minorHAnsi" w:hAnsiTheme="minorHAnsi"/>
                <w:sz w:val="20"/>
                <w:lang w:eastAsia="en-US"/>
              </w:rPr>
              <w:t>/</w:t>
            </w:r>
            <w:r w:rsidR="00AF7EBE" w:rsidRPr="008940B1">
              <w:rPr>
                <w:rFonts w:asciiTheme="minorHAnsi" w:eastAsiaTheme="minorHAnsi" w:hAnsiTheme="minorHAnsi"/>
                <w:sz w:val="20"/>
                <w:lang w:eastAsia="en-US"/>
              </w:rPr>
              <w:t xml:space="preserve"> </w:t>
            </w:r>
            <w:r w:rsidRPr="008940B1">
              <w:rPr>
                <w:rFonts w:asciiTheme="minorHAnsi" w:eastAsiaTheme="minorHAnsi" w:hAnsiTheme="minorHAnsi"/>
                <w:sz w:val="20"/>
                <w:lang w:eastAsia="en-US"/>
              </w:rPr>
              <w:t>doradztwem w zakresie nabywania /</w:t>
            </w:r>
            <w:r w:rsidR="00AF7EBE" w:rsidRPr="008940B1">
              <w:rPr>
                <w:rFonts w:asciiTheme="minorHAnsi" w:eastAsiaTheme="minorHAnsi" w:hAnsiTheme="minorHAnsi"/>
                <w:sz w:val="20"/>
                <w:lang w:eastAsia="en-US"/>
              </w:rPr>
              <w:t xml:space="preserve"> </w:t>
            </w:r>
            <w:r w:rsidRPr="008940B1">
              <w:rPr>
                <w:rFonts w:asciiTheme="minorHAnsi" w:eastAsiaTheme="minorHAnsi" w:hAnsiTheme="minorHAnsi"/>
                <w:sz w:val="20"/>
                <w:lang w:eastAsia="en-US"/>
              </w:rPr>
              <w:t xml:space="preserve">doskonalenia umiejętności warunkujących efektywne korzystanie z mediów elektronicznych tj. m.in. korzystania z komputera, różnych rodzajów oprogramowania, </w:t>
            </w:r>
            <w:proofErr w:type="spellStart"/>
            <w:r w:rsidRPr="008940B1">
              <w:rPr>
                <w:rFonts w:asciiTheme="minorHAnsi" w:eastAsiaTheme="minorHAnsi" w:hAnsiTheme="minorHAnsi"/>
                <w:sz w:val="20"/>
                <w:lang w:eastAsia="en-US"/>
              </w:rPr>
              <w:t>internetu</w:t>
            </w:r>
            <w:proofErr w:type="spellEnd"/>
            <w:r w:rsidRPr="008940B1">
              <w:rPr>
                <w:rFonts w:asciiTheme="minorHAnsi" w:eastAsiaTheme="minorHAnsi" w:hAnsiTheme="minorHAnsi"/>
                <w:sz w:val="20"/>
                <w:lang w:eastAsia="en-US"/>
              </w:rPr>
              <w:t xml:space="preserve"> oraz kompetencji ściśle informatycznych (np. programowanie, zarządzanie bazami danych, administracja sieciami, administracja witrynami internetowymi).</w:t>
            </w:r>
          </w:p>
        </w:tc>
        <w:tc>
          <w:tcPr>
            <w:tcW w:w="819" w:type="pct"/>
          </w:tcPr>
          <w:p w:rsidR="00EE0005" w:rsidRPr="008940B1" w:rsidRDefault="00EE0005" w:rsidP="0076746F">
            <w:pPr>
              <w:spacing w:before="0" w:line="240" w:lineRule="auto"/>
              <w:jc w:val="center"/>
              <w:rPr>
                <w:rFonts w:asciiTheme="minorHAnsi" w:hAnsiTheme="minorHAnsi"/>
                <w:sz w:val="20"/>
              </w:rPr>
            </w:pPr>
            <w:r w:rsidRPr="008940B1">
              <w:rPr>
                <w:rFonts w:asciiTheme="minorHAnsi" w:hAnsiTheme="minorHAnsi"/>
                <w:sz w:val="20"/>
              </w:rPr>
              <w:t>Horyzontalny</w:t>
            </w:r>
          </w:p>
        </w:tc>
      </w:tr>
      <w:tr w:rsidR="00EE0005" w:rsidRPr="008940B1" w:rsidTr="007E2D2C">
        <w:trPr>
          <w:trHeight w:val="20"/>
          <w:jc w:val="center"/>
        </w:trPr>
        <w:tc>
          <w:tcPr>
            <w:tcW w:w="1204" w:type="pct"/>
            <w:shd w:val="clear" w:color="auto" w:fill="auto"/>
          </w:tcPr>
          <w:p w:rsidR="00EE0005" w:rsidRPr="008940B1" w:rsidRDefault="00EE0005" w:rsidP="0076746F">
            <w:pPr>
              <w:spacing w:before="0" w:line="240" w:lineRule="auto"/>
              <w:rPr>
                <w:rFonts w:asciiTheme="minorHAnsi" w:eastAsiaTheme="minorHAnsi" w:hAnsiTheme="minorHAnsi"/>
                <w:sz w:val="20"/>
                <w:lang w:eastAsia="en-US"/>
              </w:rPr>
            </w:pPr>
            <w:r w:rsidRPr="008940B1">
              <w:rPr>
                <w:rFonts w:asciiTheme="minorHAnsi" w:eastAsiaTheme="minorHAnsi" w:hAnsiTheme="minorHAnsi" w:cs="Arial"/>
                <w:sz w:val="20"/>
                <w:lang w:eastAsia="en-US"/>
              </w:rPr>
              <w:t>Liczba projektów, w których sfinansowano koszty racjonalnych usprawnień dla osób z niepełnosprawnościami</w:t>
            </w:r>
          </w:p>
        </w:tc>
        <w:tc>
          <w:tcPr>
            <w:tcW w:w="457" w:type="pct"/>
          </w:tcPr>
          <w:p w:rsidR="00EE0005" w:rsidRPr="008940B1" w:rsidRDefault="00EE0005" w:rsidP="0076746F">
            <w:pPr>
              <w:spacing w:before="0" w:line="240" w:lineRule="auto"/>
              <w:jc w:val="center"/>
              <w:rPr>
                <w:rFonts w:asciiTheme="minorHAnsi" w:eastAsiaTheme="minorHAnsi" w:hAnsiTheme="minorHAnsi"/>
                <w:sz w:val="20"/>
                <w:lang w:eastAsia="en-US"/>
              </w:rPr>
            </w:pPr>
            <w:r w:rsidRPr="008940B1">
              <w:rPr>
                <w:rFonts w:asciiTheme="minorHAnsi" w:eastAsiaTheme="minorHAnsi" w:hAnsiTheme="minorHAnsi"/>
                <w:sz w:val="20"/>
                <w:lang w:eastAsia="en-US"/>
              </w:rPr>
              <w:t>szt.</w:t>
            </w:r>
          </w:p>
        </w:tc>
        <w:tc>
          <w:tcPr>
            <w:tcW w:w="2520" w:type="pct"/>
            <w:shd w:val="clear" w:color="auto" w:fill="auto"/>
          </w:tcPr>
          <w:p w:rsidR="00EE0005" w:rsidRPr="008940B1" w:rsidRDefault="00EE0005" w:rsidP="0076746F">
            <w:pPr>
              <w:autoSpaceDE w:val="0"/>
              <w:autoSpaceDN w:val="0"/>
              <w:adjustRightInd w:val="0"/>
              <w:spacing w:before="0" w:line="240" w:lineRule="auto"/>
              <w:jc w:val="both"/>
              <w:rPr>
                <w:rFonts w:asciiTheme="minorHAnsi" w:eastAsiaTheme="minorHAnsi" w:hAnsiTheme="minorHAnsi" w:cs="Arial"/>
                <w:sz w:val="20"/>
                <w:lang w:eastAsia="en-US"/>
              </w:rPr>
            </w:pPr>
            <w:r w:rsidRPr="008940B1">
              <w:rPr>
                <w:rFonts w:asciiTheme="minorHAnsi" w:eastAsiaTheme="minorHAnsi" w:hAnsiTheme="minorHAnsi" w:cs="Arial"/>
                <w:sz w:val="20"/>
                <w:lang w:eastAsia="en-US"/>
              </w:rPr>
              <w:t xml:space="preserve">Racjonalne usprawnienie oznacza konieczne </w:t>
            </w:r>
            <w:r w:rsidR="00C357EC" w:rsidRPr="008940B1">
              <w:rPr>
                <w:rFonts w:asciiTheme="minorHAnsi" w:eastAsiaTheme="minorHAnsi" w:hAnsiTheme="minorHAnsi" w:cs="Arial"/>
                <w:sz w:val="20"/>
                <w:lang w:eastAsia="en-US"/>
              </w:rPr>
              <w:br/>
            </w:r>
            <w:r w:rsidRPr="008940B1">
              <w:rPr>
                <w:rFonts w:asciiTheme="minorHAnsi" w:eastAsiaTheme="minorHAnsi" w:hAnsiTheme="minorHAnsi" w:cs="Arial"/>
                <w:sz w:val="20"/>
                <w:lang w:eastAsia="en-US"/>
              </w:rPr>
              <w:t>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w:t>
            </w:r>
          </w:p>
          <w:p w:rsidR="00EE0005" w:rsidRPr="008940B1" w:rsidRDefault="00EE0005" w:rsidP="0076746F">
            <w:pPr>
              <w:autoSpaceDE w:val="0"/>
              <w:autoSpaceDN w:val="0"/>
              <w:adjustRightInd w:val="0"/>
              <w:spacing w:before="0" w:line="240" w:lineRule="auto"/>
              <w:jc w:val="both"/>
              <w:rPr>
                <w:rFonts w:asciiTheme="minorHAnsi" w:eastAsiaTheme="minorHAnsi" w:hAnsiTheme="minorHAnsi" w:cs="Arial"/>
                <w:sz w:val="20"/>
                <w:lang w:eastAsia="en-US"/>
              </w:rPr>
            </w:pPr>
            <w:r w:rsidRPr="008940B1">
              <w:rPr>
                <w:rFonts w:asciiTheme="minorHAnsi" w:eastAsiaTheme="minorHAnsi" w:hAnsiTheme="minorHAnsi" w:cs="Arial"/>
                <w:sz w:val="20"/>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EE0005" w:rsidRPr="008940B1" w:rsidRDefault="00EE0005" w:rsidP="0076746F">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cs="Arial"/>
                <w:sz w:val="20"/>
                <w:lang w:eastAsia="en-US"/>
              </w:rPr>
              <w:t xml:space="preserve">Definicja na podstawie </w:t>
            </w:r>
            <w:r w:rsidRPr="008940B1">
              <w:rPr>
                <w:rFonts w:asciiTheme="minorHAnsi" w:eastAsiaTheme="minorHAnsi" w:hAnsiTheme="minorHAnsi" w:cs="Arial"/>
                <w:i/>
                <w:iCs/>
                <w:sz w:val="20"/>
                <w:lang w:eastAsia="en-US"/>
              </w:rPr>
              <w:t>Wytycznych w zakresie realizacji zasady równości szans i niedyskryminacji, w tym dostępności dla osób z niepełnosprawnościami oraz równości szans kobiet i mężczyzn w ramach funduszy unijnych na lata 2014-2020</w:t>
            </w:r>
            <w:r w:rsidRPr="008940B1">
              <w:rPr>
                <w:rFonts w:asciiTheme="minorHAnsi" w:eastAsiaTheme="minorHAnsi" w:hAnsiTheme="minorHAnsi" w:cs="Arial"/>
                <w:sz w:val="20"/>
                <w:lang w:eastAsia="en-US"/>
              </w:rPr>
              <w:t>.</w:t>
            </w:r>
          </w:p>
        </w:tc>
        <w:tc>
          <w:tcPr>
            <w:tcW w:w="819" w:type="pct"/>
          </w:tcPr>
          <w:p w:rsidR="00EE0005" w:rsidRPr="008940B1" w:rsidRDefault="00EE0005" w:rsidP="0076746F">
            <w:pPr>
              <w:spacing w:before="0" w:line="240" w:lineRule="auto"/>
              <w:jc w:val="center"/>
              <w:rPr>
                <w:rFonts w:asciiTheme="minorHAnsi" w:hAnsiTheme="minorHAnsi"/>
                <w:sz w:val="20"/>
              </w:rPr>
            </w:pPr>
            <w:r w:rsidRPr="008940B1">
              <w:rPr>
                <w:rFonts w:asciiTheme="minorHAnsi" w:hAnsiTheme="minorHAnsi"/>
                <w:sz w:val="20"/>
              </w:rPr>
              <w:t>Horyzontalny</w:t>
            </w:r>
          </w:p>
        </w:tc>
      </w:tr>
    </w:tbl>
    <w:p w:rsidR="00C912B2" w:rsidRPr="008940B1" w:rsidRDefault="00C912B2" w:rsidP="0076746F">
      <w:pPr>
        <w:pStyle w:val="Default"/>
        <w:spacing w:after="120"/>
        <w:jc w:val="both"/>
        <w:rPr>
          <w:rFonts w:asciiTheme="minorHAnsi" w:hAnsiTheme="minorHAnsi"/>
        </w:rPr>
      </w:pPr>
    </w:p>
    <w:p w:rsidR="00A81480" w:rsidRPr="008940B1" w:rsidRDefault="00A81480" w:rsidP="0076746F">
      <w:pPr>
        <w:spacing w:line="240" w:lineRule="auto"/>
        <w:jc w:val="both"/>
        <w:rPr>
          <w:rFonts w:asciiTheme="minorHAnsi" w:hAnsiTheme="minorHAnsi" w:cs="Arial"/>
          <w:sz w:val="20"/>
        </w:rPr>
      </w:pPr>
      <w:r w:rsidRPr="008940B1">
        <w:rPr>
          <w:rFonts w:asciiTheme="minorHAnsi" w:hAnsiTheme="minorHAnsi"/>
          <w:b/>
          <w:sz w:val="20"/>
        </w:rPr>
        <w:t>Wskaźniki rezultatu bezpośredniego</w:t>
      </w:r>
      <w:r w:rsidRPr="008940B1">
        <w:rPr>
          <w:rFonts w:asciiTheme="minorHAnsi" w:hAnsiTheme="minorHAnsi"/>
          <w:sz w:val="20"/>
        </w:rPr>
        <w:t xml:space="preserve"> są to w</w:t>
      </w:r>
      <w:r w:rsidRPr="008940B1">
        <w:rPr>
          <w:rFonts w:asciiTheme="minorHAnsi" w:hAnsiTheme="minorHAnsi" w:cs="Arial"/>
          <w:sz w:val="20"/>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A81480" w:rsidRPr="008940B1" w:rsidRDefault="00A81480" w:rsidP="0076746F">
      <w:pPr>
        <w:pStyle w:val="Default"/>
        <w:jc w:val="both"/>
      </w:pPr>
    </w:p>
    <w:p w:rsidR="00A81480" w:rsidRPr="008940B1" w:rsidRDefault="00A81480" w:rsidP="0076746F">
      <w:pPr>
        <w:pStyle w:val="Default"/>
        <w:spacing w:after="120"/>
        <w:jc w:val="both"/>
        <w:rPr>
          <w:rFonts w:asciiTheme="minorHAnsi" w:hAnsiTheme="minorHAnsi"/>
        </w:rPr>
      </w:pPr>
      <w:r w:rsidRPr="008940B1">
        <w:rPr>
          <w:rFonts w:asciiTheme="minorHAnsi" w:hAnsiTheme="minorHAnsi"/>
        </w:rPr>
        <w:t xml:space="preserve">Dla każdego z wybranych wskaźników wnioskodawca zobowiązany jest do wskazania </w:t>
      </w:r>
      <w:r w:rsidRPr="008940B1">
        <w:rPr>
          <w:rFonts w:asciiTheme="minorHAnsi" w:hAnsiTheme="minorHAnsi"/>
          <w:i/>
        </w:rPr>
        <w:t>„Jednostki miary”</w:t>
      </w:r>
      <w:r w:rsidRPr="008940B1">
        <w:rPr>
          <w:rFonts w:asciiTheme="minorHAnsi" w:hAnsiTheme="minorHAnsi"/>
        </w:rPr>
        <w:t xml:space="preserve">, </w:t>
      </w:r>
      <w:r w:rsidRPr="008940B1">
        <w:rPr>
          <w:rFonts w:asciiTheme="minorHAnsi" w:hAnsiTheme="minorHAnsi"/>
          <w:i/>
        </w:rPr>
        <w:t>„Wartości bazowej”</w:t>
      </w:r>
      <w:r w:rsidRPr="008940B1">
        <w:rPr>
          <w:rFonts w:asciiTheme="minorHAnsi" w:hAnsiTheme="minorHAnsi"/>
        </w:rPr>
        <w:t xml:space="preserve">, </w:t>
      </w:r>
      <w:r w:rsidRPr="008940B1">
        <w:rPr>
          <w:rFonts w:asciiTheme="minorHAnsi" w:hAnsiTheme="minorHAnsi"/>
          <w:i/>
        </w:rPr>
        <w:t>„Wartości docelowej wskaźnika”</w:t>
      </w:r>
      <w:r w:rsidRPr="008940B1">
        <w:rPr>
          <w:rFonts w:asciiTheme="minorHAnsi" w:hAnsiTheme="minorHAnsi"/>
        </w:rPr>
        <w:t xml:space="preserve">, a także </w:t>
      </w:r>
      <w:r w:rsidRPr="008940B1">
        <w:rPr>
          <w:rFonts w:asciiTheme="minorHAnsi" w:hAnsiTheme="minorHAnsi"/>
          <w:i/>
        </w:rPr>
        <w:t>„Źródła informacji</w:t>
      </w:r>
      <w:r w:rsidR="008940B1" w:rsidRPr="008940B1">
        <w:rPr>
          <w:rFonts w:asciiTheme="minorHAnsi" w:hAnsiTheme="minorHAnsi"/>
          <w:i/>
        </w:rPr>
        <w:t xml:space="preserve"> </w:t>
      </w:r>
      <w:r w:rsidRPr="008940B1">
        <w:rPr>
          <w:rFonts w:asciiTheme="minorHAnsi" w:hAnsiTheme="minorHAnsi"/>
          <w:i/>
        </w:rPr>
        <w:t>o wskaźniku”</w:t>
      </w:r>
      <w:r w:rsidRPr="008940B1">
        <w:rPr>
          <w:rFonts w:asciiTheme="minorHAnsi" w:hAnsiTheme="minorHAnsi"/>
        </w:rPr>
        <w:t xml:space="preserve">. </w:t>
      </w:r>
    </w:p>
    <w:p w:rsidR="00A81480" w:rsidRPr="008940B1" w:rsidRDefault="00A81480" w:rsidP="0076746F">
      <w:pPr>
        <w:pStyle w:val="Default"/>
        <w:spacing w:after="120"/>
        <w:jc w:val="both"/>
        <w:rPr>
          <w:rFonts w:asciiTheme="minorHAnsi" w:hAnsiTheme="minorHAnsi"/>
        </w:rPr>
      </w:pPr>
      <w:r w:rsidRPr="008940B1">
        <w:rPr>
          <w:rFonts w:asciiTheme="minorHAnsi" w:hAnsiTheme="minorHAnsi"/>
        </w:rPr>
        <w:t>Wartość docelowa dla wskaźnika rezultatu to wyrażony liczbowo stan danego wskaźnika uzyskany w efekcie realizacji projektu.</w:t>
      </w:r>
    </w:p>
    <w:p w:rsidR="00A81480" w:rsidRPr="008940B1" w:rsidRDefault="00A81480" w:rsidP="0076746F">
      <w:pPr>
        <w:autoSpaceDE w:val="0"/>
        <w:autoSpaceDN w:val="0"/>
        <w:adjustRightInd w:val="0"/>
        <w:spacing w:before="0" w:line="240" w:lineRule="auto"/>
        <w:jc w:val="both"/>
        <w:rPr>
          <w:rFonts w:asciiTheme="minorHAnsi" w:hAnsiTheme="minorHAnsi"/>
          <w:sz w:val="20"/>
        </w:rPr>
      </w:pPr>
      <w:r w:rsidRPr="008940B1">
        <w:rPr>
          <w:rFonts w:asciiTheme="minorHAnsi" w:hAnsiTheme="minorHAnsi"/>
          <w:sz w:val="20"/>
        </w:rPr>
        <w:t>Jako źródło informacji o wskaźniku wskazać należy odpowiedni dokument.</w:t>
      </w:r>
    </w:p>
    <w:p w:rsidR="00A81480" w:rsidRPr="008940B1" w:rsidRDefault="00A81480" w:rsidP="0076746F">
      <w:pPr>
        <w:autoSpaceDE w:val="0"/>
        <w:autoSpaceDN w:val="0"/>
        <w:adjustRightInd w:val="0"/>
        <w:spacing w:before="120" w:after="120" w:line="240" w:lineRule="auto"/>
        <w:jc w:val="both"/>
        <w:rPr>
          <w:rFonts w:asciiTheme="minorHAnsi" w:hAnsiTheme="minorHAnsi"/>
          <w:b/>
          <w:sz w:val="20"/>
        </w:rPr>
      </w:pPr>
      <w:r w:rsidRPr="008940B1">
        <w:rPr>
          <w:rFonts w:asciiTheme="minorHAnsi" w:hAnsiTheme="minorHAnsi"/>
          <w:b/>
          <w:sz w:val="20"/>
        </w:rPr>
        <w:t>Wszyscy wnioskodawcy są zobligowani do określenia poniższych wskaźników o charakterze rezultatu bezpośredniego – także horyzontalnych, jeśli są adekwatne do celu projektu</w:t>
      </w:r>
      <w:r w:rsidR="00AF1D78" w:rsidRPr="008940B1">
        <w:rPr>
          <w:rFonts w:asciiTheme="minorHAnsi" w:hAnsiTheme="minorHAnsi"/>
          <w:b/>
          <w:sz w:val="20"/>
        </w:rPr>
        <w:t>.</w:t>
      </w:r>
    </w:p>
    <w:p w:rsidR="0037462D" w:rsidRDefault="0037462D">
      <w:pPr>
        <w:spacing w:before="0" w:after="200" w:line="276" w:lineRule="auto"/>
        <w:rPr>
          <w:rFonts w:asciiTheme="minorHAnsi" w:hAnsiTheme="minorHAnsi"/>
          <w:sz w:val="20"/>
        </w:rPr>
      </w:pPr>
      <w:r>
        <w:rPr>
          <w:rFonts w:asciiTheme="minorHAnsi" w:hAnsiTheme="minorHAnsi"/>
          <w:sz w:val="20"/>
        </w:rPr>
        <w:br w:type="page"/>
      </w:r>
    </w:p>
    <w:p w:rsidR="008C495E" w:rsidRPr="008940B1" w:rsidRDefault="003D3BC5" w:rsidP="0076746F">
      <w:pPr>
        <w:autoSpaceDE w:val="0"/>
        <w:autoSpaceDN w:val="0"/>
        <w:adjustRightInd w:val="0"/>
        <w:spacing w:before="120" w:after="120" w:line="240" w:lineRule="auto"/>
        <w:jc w:val="both"/>
        <w:rPr>
          <w:rFonts w:asciiTheme="minorHAnsi" w:hAnsiTheme="minorHAnsi"/>
          <w:sz w:val="20"/>
        </w:rPr>
      </w:pPr>
      <w:r w:rsidRPr="008940B1">
        <w:rPr>
          <w:rFonts w:asciiTheme="minorHAnsi" w:hAnsiTheme="minorHAnsi"/>
          <w:sz w:val="20"/>
        </w:rPr>
        <w:lastRenderedPageBreak/>
        <w:t xml:space="preserve">W ramach Działania </w:t>
      </w:r>
      <w:r w:rsidR="00352B50" w:rsidRPr="008940B1">
        <w:rPr>
          <w:rFonts w:asciiTheme="minorHAnsi" w:hAnsiTheme="minorHAnsi"/>
          <w:sz w:val="20"/>
        </w:rPr>
        <w:t>3.</w:t>
      </w:r>
      <w:r w:rsidRPr="008940B1">
        <w:rPr>
          <w:rFonts w:asciiTheme="minorHAnsi" w:hAnsiTheme="minorHAnsi"/>
          <w:sz w:val="20"/>
        </w:rPr>
        <w:t>4 określono poniższe wskaźniki</w:t>
      </w:r>
      <w:r w:rsidRPr="008940B1">
        <w:rPr>
          <w:rFonts w:asciiTheme="minorHAnsi" w:hAnsiTheme="minorHAnsi"/>
          <w:b/>
          <w:sz w:val="20"/>
        </w:rPr>
        <w:t xml:space="preserve"> rezultatu bezpośredniego</w:t>
      </w:r>
      <w:r w:rsidRPr="008940B1">
        <w:rPr>
          <w:rFonts w:asciiTheme="minorHAnsi" w:hAnsiTheme="minorHAnsi"/>
          <w:sz w:val="20"/>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5657D8" w:rsidRPr="008940B1" w:rsidTr="007E2D2C">
        <w:trPr>
          <w:trHeight w:val="20"/>
          <w:jc w:val="center"/>
        </w:trPr>
        <w:tc>
          <w:tcPr>
            <w:tcW w:w="1189" w:type="pct"/>
            <w:shd w:val="clear" w:color="auto" w:fill="auto"/>
            <w:vAlign w:val="center"/>
          </w:tcPr>
          <w:p w:rsidR="005657D8" w:rsidRPr="008940B1" w:rsidRDefault="005657D8" w:rsidP="0076746F">
            <w:pPr>
              <w:spacing w:before="0" w:line="240" w:lineRule="auto"/>
              <w:jc w:val="center"/>
              <w:rPr>
                <w:rFonts w:asciiTheme="minorHAnsi" w:hAnsiTheme="minorHAnsi"/>
                <w:b/>
                <w:sz w:val="20"/>
              </w:rPr>
            </w:pPr>
            <w:r w:rsidRPr="008940B1">
              <w:rPr>
                <w:rFonts w:asciiTheme="minorHAnsi" w:hAnsiTheme="minorHAnsi"/>
                <w:b/>
                <w:sz w:val="20"/>
              </w:rPr>
              <w:t>Nazwa wskaźnika rezultatu bezpośredniego</w:t>
            </w:r>
          </w:p>
        </w:tc>
        <w:tc>
          <w:tcPr>
            <w:tcW w:w="701" w:type="pct"/>
            <w:vAlign w:val="center"/>
          </w:tcPr>
          <w:p w:rsidR="005657D8" w:rsidRPr="008940B1" w:rsidRDefault="005657D8" w:rsidP="0076746F">
            <w:pPr>
              <w:suppressAutoHyphens/>
              <w:spacing w:before="0" w:line="240" w:lineRule="auto"/>
              <w:jc w:val="center"/>
              <w:rPr>
                <w:rFonts w:asciiTheme="minorHAnsi" w:hAnsiTheme="minorHAnsi"/>
                <w:b/>
                <w:bCs/>
                <w:sz w:val="20"/>
              </w:rPr>
            </w:pPr>
            <w:r w:rsidRPr="008940B1">
              <w:rPr>
                <w:rFonts w:asciiTheme="minorHAnsi" w:hAnsiTheme="minorHAnsi"/>
                <w:b/>
                <w:bCs/>
                <w:sz w:val="20"/>
              </w:rPr>
              <w:t>Jednostka miary</w:t>
            </w:r>
          </w:p>
        </w:tc>
        <w:tc>
          <w:tcPr>
            <w:tcW w:w="2061" w:type="pct"/>
            <w:shd w:val="clear" w:color="auto" w:fill="auto"/>
            <w:vAlign w:val="center"/>
          </w:tcPr>
          <w:p w:rsidR="005657D8" w:rsidRPr="008940B1" w:rsidRDefault="005657D8" w:rsidP="0076746F">
            <w:pPr>
              <w:suppressAutoHyphens/>
              <w:spacing w:before="0" w:line="240" w:lineRule="auto"/>
              <w:jc w:val="center"/>
              <w:rPr>
                <w:rFonts w:asciiTheme="minorHAnsi" w:hAnsiTheme="minorHAnsi"/>
                <w:b/>
                <w:sz w:val="20"/>
              </w:rPr>
            </w:pPr>
            <w:r w:rsidRPr="008940B1">
              <w:rPr>
                <w:rFonts w:asciiTheme="minorHAnsi" w:hAnsiTheme="minorHAnsi"/>
                <w:b/>
                <w:bCs/>
                <w:sz w:val="20"/>
              </w:rPr>
              <w:t>Definicja wskaźnika</w:t>
            </w:r>
          </w:p>
        </w:tc>
        <w:tc>
          <w:tcPr>
            <w:tcW w:w="1049" w:type="pct"/>
            <w:vAlign w:val="center"/>
          </w:tcPr>
          <w:p w:rsidR="005657D8" w:rsidRPr="008940B1" w:rsidRDefault="007E025A" w:rsidP="0076746F">
            <w:pPr>
              <w:suppressAutoHyphens/>
              <w:spacing w:before="0" w:line="240" w:lineRule="auto"/>
              <w:jc w:val="center"/>
              <w:rPr>
                <w:rFonts w:asciiTheme="minorHAnsi" w:hAnsiTheme="minorHAnsi"/>
                <w:b/>
                <w:bCs/>
                <w:sz w:val="20"/>
              </w:rPr>
            </w:pPr>
            <w:r w:rsidRPr="008940B1">
              <w:rPr>
                <w:rFonts w:asciiTheme="minorHAnsi" w:hAnsiTheme="minorHAnsi"/>
                <w:b/>
                <w:bCs/>
                <w:sz w:val="20"/>
              </w:rPr>
              <w:t>Rodzaj dokumentu, w </w:t>
            </w:r>
            <w:r w:rsidR="005657D8" w:rsidRPr="008940B1">
              <w:rPr>
                <w:rFonts w:asciiTheme="minorHAnsi" w:hAnsiTheme="minorHAnsi"/>
                <w:b/>
                <w:bCs/>
                <w:sz w:val="20"/>
              </w:rPr>
              <w:t>którym określono wskaźnik</w:t>
            </w:r>
          </w:p>
        </w:tc>
      </w:tr>
      <w:tr w:rsidR="00BC18C8" w:rsidRPr="008940B1" w:rsidTr="008940B1">
        <w:trPr>
          <w:trHeight w:val="20"/>
          <w:jc w:val="center"/>
        </w:trPr>
        <w:tc>
          <w:tcPr>
            <w:tcW w:w="1189" w:type="pct"/>
            <w:shd w:val="clear" w:color="auto" w:fill="auto"/>
          </w:tcPr>
          <w:p w:rsidR="00BC18C8" w:rsidRPr="008940B1" w:rsidRDefault="00BC18C8" w:rsidP="0076746F">
            <w:pPr>
              <w:spacing w:before="40" w:after="40" w:line="240" w:lineRule="auto"/>
              <w:contextualSpacing/>
              <w:jc w:val="both"/>
              <w:rPr>
                <w:rFonts w:asciiTheme="minorHAnsi" w:hAnsiTheme="minorHAnsi" w:cs="Arial"/>
                <w:sz w:val="20"/>
              </w:rPr>
            </w:pPr>
            <w:r w:rsidRPr="008940B1">
              <w:rPr>
                <w:rFonts w:asciiTheme="minorHAnsi" w:hAnsiTheme="minorHAnsi" w:cs="Arial"/>
                <w:sz w:val="20"/>
              </w:rPr>
              <w:t xml:space="preserve">Liczba pojazdów korzystających z miejsc postojowych w wybudowanych obiektach „parkuj i jedź” </w:t>
            </w:r>
          </w:p>
        </w:tc>
        <w:tc>
          <w:tcPr>
            <w:tcW w:w="701" w:type="pct"/>
          </w:tcPr>
          <w:p w:rsidR="00BC18C8" w:rsidRPr="008940B1" w:rsidRDefault="00BC18C8" w:rsidP="0076746F">
            <w:pPr>
              <w:spacing w:before="0" w:line="240" w:lineRule="auto"/>
              <w:rPr>
                <w:rFonts w:asciiTheme="minorHAnsi" w:hAnsiTheme="minorHAnsi" w:cs="ArialNarrow"/>
                <w:sz w:val="20"/>
              </w:rPr>
            </w:pPr>
            <w:r w:rsidRPr="008940B1">
              <w:rPr>
                <w:rFonts w:asciiTheme="minorHAnsi" w:hAnsiTheme="minorHAnsi" w:cs="ArialNarrow"/>
                <w:sz w:val="20"/>
              </w:rPr>
              <w:t>szt.</w:t>
            </w:r>
          </w:p>
        </w:tc>
        <w:tc>
          <w:tcPr>
            <w:tcW w:w="2061" w:type="pct"/>
            <w:shd w:val="clear" w:color="auto" w:fill="auto"/>
          </w:tcPr>
          <w:p w:rsidR="00BC18C8" w:rsidRPr="008940B1" w:rsidRDefault="00BC18C8" w:rsidP="0076746F">
            <w:pPr>
              <w:spacing w:before="0" w:line="240" w:lineRule="auto"/>
              <w:contextualSpacing/>
              <w:jc w:val="both"/>
              <w:rPr>
                <w:rFonts w:asciiTheme="minorHAnsi" w:hAnsiTheme="minorHAnsi"/>
                <w:sz w:val="20"/>
              </w:rPr>
            </w:pPr>
            <w:r w:rsidRPr="008940B1">
              <w:rPr>
                <w:rFonts w:asciiTheme="minorHAnsi" w:hAnsiTheme="minorHAnsi"/>
                <w:sz w:val="20"/>
              </w:rPr>
              <w:t>Liczba pojazdów, które skorzystały z miejsc postojowych na terenie parkingu w systemie „parkuj i jedź” („</w:t>
            </w:r>
            <w:proofErr w:type="spellStart"/>
            <w:r w:rsidRPr="008940B1">
              <w:rPr>
                <w:rFonts w:asciiTheme="minorHAnsi" w:hAnsiTheme="minorHAnsi"/>
                <w:sz w:val="20"/>
              </w:rPr>
              <w:t>Park&amp;Ride</w:t>
            </w:r>
            <w:proofErr w:type="spellEnd"/>
            <w:r w:rsidRPr="008940B1">
              <w:rPr>
                <w:rFonts w:asciiTheme="minorHAnsi" w:hAnsiTheme="minorHAnsi"/>
                <w:sz w:val="20"/>
              </w:rPr>
              <w:t>”) w ciągu pełnego roku od zakończenia realizacji projektu.</w:t>
            </w:r>
          </w:p>
        </w:tc>
        <w:tc>
          <w:tcPr>
            <w:tcW w:w="1049" w:type="pct"/>
          </w:tcPr>
          <w:p w:rsidR="00BC18C8" w:rsidRPr="008940B1" w:rsidRDefault="00A545DA" w:rsidP="0076746F">
            <w:pPr>
              <w:spacing w:before="0" w:line="240" w:lineRule="auto"/>
              <w:jc w:val="center"/>
              <w:rPr>
                <w:rFonts w:asciiTheme="minorHAnsi" w:hAnsiTheme="minorHAnsi"/>
                <w:sz w:val="20"/>
              </w:rPr>
            </w:pPr>
            <w:proofErr w:type="spellStart"/>
            <w:r w:rsidRPr="00A545DA">
              <w:rPr>
                <w:rFonts w:asciiTheme="minorHAnsi" w:hAnsiTheme="minorHAnsi"/>
                <w:sz w:val="20"/>
              </w:rPr>
              <w:t>SzOOP</w:t>
            </w:r>
            <w:proofErr w:type="spellEnd"/>
          </w:p>
        </w:tc>
      </w:tr>
      <w:tr w:rsidR="00BC18C8" w:rsidRPr="008940B1" w:rsidTr="002F3353">
        <w:trPr>
          <w:trHeight w:val="20"/>
          <w:jc w:val="center"/>
        </w:trPr>
        <w:tc>
          <w:tcPr>
            <w:tcW w:w="1189" w:type="pct"/>
            <w:shd w:val="clear" w:color="auto" w:fill="auto"/>
          </w:tcPr>
          <w:p w:rsidR="00BC18C8" w:rsidRPr="008940B1" w:rsidRDefault="00BC18C8" w:rsidP="0076746F">
            <w:pPr>
              <w:spacing w:before="40" w:after="40" w:line="240" w:lineRule="auto"/>
              <w:contextualSpacing/>
              <w:jc w:val="both"/>
              <w:rPr>
                <w:rFonts w:asciiTheme="minorHAnsi" w:hAnsiTheme="minorHAnsi" w:cs="Arial"/>
                <w:sz w:val="20"/>
              </w:rPr>
            </w:pPr>
            <w:r w:rsidRPr="008940B1">
              <w:rPr>
                <w:rFonts w:asciiTheme="minorHAnsi" w:hAnsiTheme="minorHAnsi" w:cs="Arial"/>
                <w:sz w:val="20"/>
              </w:rPr>
              <w:t xml:space="preserve">Liczba przewozów komunikacją miejską na przebudowanych i nowych liniach komunikacji miejskiej </w:t>
            </w:r>
          </w:p>
        </w:tc>
        <w:tc>
          <w:tcPr>
            <w:tcW w:w="701" w:type="pct"/>
          </w:tcPr>
          <w:p w:rsidR="00BC18C8" w:rsidRPr="008940B1" w:rsidRDefault="00BC18C8" w:rsidP="0076746F">
            <w:pPr>
              <w:spacing w:before="0" w:line="240" w:lineRule="auto"/>
              <w:rPr>
                <w:rFonts w:asciiTheme="minorHAnsi" w:hAnsiTheme="minorHAnsi" w:cs="ArialNarrow"/>
                <w:sz w:val="20"/>
              </w:rPr>
            </w:pPr>
            <w:r w:rsidRPr="008940B1">
              <w:rPr>
                <w:rFonts w:asciiTheme="minorHAnsi" w:hAnsiTheme="minorHAnsi" w:cs="ArialNarrow"/>
                <w:sz w:val="20"/>
              </w:rPr>
              <w:t>szt./rok</w:t>
            </w:r>
          </w:p>
        </w:tc>
        <w:tc>
          <w:tcPr>
            <w:tcW w:w="2061" w:type="pct"/>
            <w:shd w:val="clear" w:color="auto" w:fill="auto"/>
            <w:vAlign w:val="center"/>
          </w:tcPr>
          <w:p w:rsidR="00BC18C8" w:rsidRPr="008940B1" w:rsidRDefault="00BC18C8" w:rsidP="0076746F">
            <w:pPr>
              <w:spacing w:before="0" w:line="240" w:lineRule="auto"/>
              <w:jc w:val="both"/>
              <w:rPr>
                <w:rFonts w:asciiTheme="minorHAnsi" w:hAnsiTheme="minorHAnsi"/>
                <w:sz w:val="20"/>
              </w:rPr>
            </w:pPr>
            <w:r w:rsidRPr="008940B1">
              <w:rPr>
                <w:rFonts w:asciiTheme="minorHAnsi" w:hAnsiTheme="minorHAnsi"/>
                <w:sz w:val="20"/>
              </w:rPr>
              <w:t>Przewóz o charakterze użyteczności publicznej – powszechnie dostępna usługa w zakresie publicznego transportu zbiorowego wykonywana przez operatora publicznego transportu zbiorowego w celu bieżącego i nieprzerwanego zaspokajania potrzeb przewozowych społeczności na danym obszarze.</w:t>
            </w:r>
          </w:p>
          <w:p w:rsidR="00D11D19" w:rsidRPr="008940B1" w:rsidRDefault="00D11D19" w:rsidP="0076746F">
            <w:pPr>
              <w:spacing w:before="0" w:line="240" w:lineRule="auto"/>
              <w:jc w:val="both"/>
              <w:rPr>
                <w:rFonts w:asciiTheme="minorHAnsi" w:eastAsiaTheme="minorHAnsi" w:hAnsiTheme="minorHAnsi"/>
                <w:b/>
                <w:sz w:val="20"/>
                <w:lang w:eastAsia="en-US"/>
              </w:rPr>
            </w:pPr>
          </w:p>
          <w:p w:rsidR="00BC18C8" w:rsidRPr="008940B1" w:rsidRDefault="00BC18C8" w:rsidP="0076746F">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b/>
                <w:sz w:val="20"/>
                <w:lang w:eastAsia="en-US"/>
              </w:rPr>
              <w:t xml:space="preserve">UWAGA </w:t>
            </w:r>
            <w:r w:rsidRPr="008940B1">
              <w:rPr>
                <w:rFonts w:asciiTheme="minorHAnsi" w:eastAsiaTheme="minorHAnsi" w:hAnsiTheme="minorHAnsi"/>
                <w:sz w:val="20"/>
                <w:lang w:eastAsia="en-US"/>
              </w:rPr>
              <w:t xml:space="preserve"> - ze względu na brak definicji wskaźnika na poziomie Umowy Partnerstwa, Instytucja Zarządzająca RPO WD proponuje ww. definicję, opartą o ustawę z dnia 16 grudnia 2010 r. o publicznym transporcie zbiorowym.</w:t>
            </w:r>
          </w:p>
          <w:p w:rsidR="00BC18C8" w:rsidRPr="008940B1" w:rsidRDefault="00BC18C8" w:rsidP="0076746F">
            <w:pPr>
              <w:spacing w:line="240" w:lineRule="auto"/>
              <w:jc w:val="both"/>
              <w:rPr>
                <w:rFonts w:asciiTheme="minorHAnsi" w:hAnsiTheme="minorHAnsi"/>
                <w:sz w:val="20"/>
              </w:rPr>
            </w:pPr>
            <w:r w:rsidRPr="008940B1">
              <w:rPr>
                <w:rFonts w:asciiTheme="minorHAnsi" w:hAnsiTheme="minorHAnsi" w:cs="TimesNewRoman,Bold"/>
                <w:sz w:val="20"/>
              </w:rPr>
              <w:t xml:space="preserve">W przypadku wprowadzenia w Umowie Partnerstwa innej definicji wskaźnika </w:t>
            </w:r>
            <w:r w:rsidRPr="008940B1">
              <w:rPr>
                <w:rFonts w:asciiTheme="minorHAnsi" w:hAnsiTheme="minorHAnsi" w:cs="TimesNewRoman,Bold"/>
                <w:i/>
                <w:sz w:val="20"/>
              </w:rPr>
              <w:t>Liczba przewozów komunikacją miejską na przebudowanych i nowych liniach komunikacji miejskiej</w:t>
            </w:r>
            <w:r w:rsidRPr="008940B1">
              <w:rPr>
                <w:rFonts w:asciiTheme="minorHAnsi" w:hAnsiTheme="minorHAnsi" w:cs="TimesNewRoman,Bold"/>
                <w:sz w:val="20"/>
              </w:rPr>
              <w:t>, Instytucja Zarządzająca RPO WD poinformuje o tym fakcie stosownym komunikatem.</w:t>
            </w:r>
          </w:p>
        </w:tc>
        <w:tc>
          <w:tcPr>
            <w:tcW w:w="1049" w:type="pct"/>
          </w:tcPr>
          <w:p w:rsidR="00BC18C8" w:rsidRPr="008940B1" w:rsidRDefault="00A545DA" w:rsidP="0076746F">
            <w:pPr>
              <w:spacing w:before="0" w:line="240" w:lineRule="auto"/>
              <w:jc w:val="center"/>
              <w:rPr>
                <w:rFonts w:asciiTheme="minorHAnsi" w:hAnsiTheme="minorHAnsi"/>
                <w:sz w:val="20"/>
              </w:rPr>
            </w:pPr>
            <w:proofErr w:type="spellStart"/>
            <w:r w:rsidRPr="00A545DA">
              <w:rPr>
                <w:rFonts w:asciiTheme="minorHAnsi" w:hAnsiTheme="minorHAnsi"/>
                <w:sz w:val="20"/>
              </w:rPr>
              <w:t>SzOOP</w:t>
            </w:r>
            <w:proofErr w:type="spellEnd"/>
          </w:p>
        </w:tc>
      </w:tr>
      <w:tr w:rsidR="00BC18C8" w:rsidRPr="008940B1" w:rsidTr="002F3353">
        <w:trPr>
          <w:trHeight w:val="20"/>
          <w:jc w:val="center"/>
        </w:trPr>
        <w:tc>
          <w:tcPr>
            <w:tcW w:w="1189" w:type="pct"/>
            <w:shd w:val="clear" w:color="auto" w:fill="auto"/>
          </w:tcPr>
          <w:p w:rsidR="00BC18C8" w:rsidRPr="008940B1" w:rsidRDefault="00BC18C8" w:rsidP="0076746F">
            <w:pPr>
              <w:spacing w:before="0" w:line="240" w:lineRule="auto"/>
              <w:rPr>
                <w:rFonts w:asciiTheme="minorHAnsi" w:hAnsiTheme="minorHAnsi"/>
                <w:sz w:val="20"/>
              </w:rPr>
            </w:pPr>
            <w:r w:rsidRPr="008940B1">
              <w:rPr>
                <w:rFonts w:asciiTheme="minorHAnsi" w:hAnsiTheme="minorHAnsi"/>
                <w:sz w:val="20"/>
              </w:rPr>
              <w:t xml:space="preserve">Szacowany roczny spadek emisji gazów cieplarnianych (CI 34) </w:t>
            </w:r>
          </w:p>
        </w:tc>
        <w:tc>
          <w:tcPr>
            <w:tcW w:w="701" w:type="pct"/>
          </w:tcPr>
          <w:p w:rsidR="00BC18C8" w:rsidRPr="008940B1" w:rsidRDefault="00BC18C8" w:rsidP="0076746F">
            <w:pPr>
              <w:spacing w:before="0" w:line="240" w:lineRule="auto"/>
              <w:rPr>
                <w:rFonts w:asciiTheme="minorHAnsi" w:hAnsiTheme="minorHAnsi" w:cs="ArialNarrow"/>
                <w:sz w:val="20"/>
              </w:rPr>
            </w:pPr>
            <w:r w:rsidRPr="008940B1">
              <w:rPr>
                <w:rFonts w:asciiTheme="minorHAnsi" w:hAnsiTheme="minorHAnsi"/>
                <w:sz w:val="20"/>
              </w:rPr>
              <w:t>tony równoważnika CO</w:t>
            </w:r>
            <w:r w:rsidRPr="008940B1">
              <w:rPr>
                <w:rFonts w:asciiTheme="minorHAnsi" w:hAnsiTheme="minorHAnsi"/>
                <w:sz w:val="20"/>
                <w:vertAlign w:val="subscript"/>
              </w:rPr>
              <w:t>2</w:t>
            </w:r>
          </w:p>
        </w:tc>
        <w:tc>
          <w:tcPr>
            <w:tcW w:w="2061" w:type="pct"/>
            <w:shd w:val="clear" w:color="auto" w:fill="auto"/>
            <w:vAlign w:val="center"/>
          </w:tcPr>
          <w:p w:rsidR="00BC18C8" w:rsidRPr="008940B1" w:rsidRDefault="00BC18C8" w:rsidP="0076746F">
            <w:pPr>
              <w:spacing w:before="0" w:line="240" w:lineRule="auto"/>
              <w:jc w:val="both"/>
              <w:rPr>
                <w:rFonts w:asciiTheme="minorHAnsi" w:hAnsiTheme="minorHAnsi"/>
                <w:sz w:val="20"/>
              </w:rPr>
            </w:pPr>
            <w:r w:rsidRPr="008940B1">
              <w:rPr>
                <w:rFonts w:asciiTheme="minorHAnsi" w:hAnsiTheme="minorHAnsi"/>
                <w:sz w:val="20"/>
              </w:rPr>
              <w:t>Tłumaczenie robocze:</w:t>
            </w:r>
          </w:p>
          <w:p w:rsidR="00BC18C8" w:rsidRPr="008940B1" w:rsidRDefault="00BC18C8" w:rsidP="0076746F">
            <w:pPr>
              <w:spacing w:line="240" w:lineRule="auto"/>
              <w:jc w:val="both"/>
              <w:rPr>
                <w:rFonts w:asciiTheme="minorHAnsi" w:hAnsiTheme="minorHAnsi"/>
                <w:sz w:val="20"/>
              </w:rPr>
            </w:pPr>
            <w:r w:rsidRPr="008940B1">
              <w:rPr>
                <w:rFonts w:asciiTheme="minorHAnsi" w:hAnsiTheme="minorHAnsi"/>
                <w:sz w:val="20"/>
              </w:rPr>
              <w:t>Wskaźnik ten jest liczony dla interwencji bezpośrednio zwiększających produkcję energii ze źródeł odnawialnych (patrz wskaźnik 30) lub zmniejszających zużycie energii za pomocą działań uzyskujących oszczędność energii (patrz wskaźniki 31 i 32), dlatego też jego stosowanie jest obowiązkowe tylko w przypadkach, gdzie wskaźniki te są istotne. Stosowanie wskaźnika w przypadku innych interwencji, gdzie możliwe są skutki emisji gazów cieplarnianych, jest opcjonalne przy użyciu metodologii opracowanej przez IZ. Wskaźnik pokaże całkowity szacowany roczny spadek na koniec okresu, a nie całkowity spadek w całym okresie.</w:t>
            </w:r>
          </w:p>
          <w:p w:rsidR="00BC18C8" w:rsidRPr="008940B1" w:rsidRDefault="00BC18C8" w:rsidP="0076746F">
            <w:pPr>
              <w:spacing w:line="240" w:lineRule="auto"/>
              <w:jc w:val="both"/>
              <w:rPr>
                <w:rFonts w:asciiTheme="minorHAnsi" w:hAnsiTheme="minorHAnsi"/>
                <w:sz w:val="20"/>
              </w:rPr>
            </w:pPr>
            <w:r w:rsidRPr="008940B1">
              <w:rPr>
                <w:rFonts w:asciiTheme="minorHAnsi" w:hAnsiTheme="minorHAnsi"/>
                <w:sz w:val="20"/>
              </w:rPr>
              <w:t xml:space="preserve">W przypadku produkcji energii odnawialnej, prognoza opiera się na ilości energii pierwotnej produkowanej przez wsparte przedsiębiorstwa/ podmioty w danym roku (albo rok po zakończeniu projektu lub rok </w:t>
            </w:r>
            <w:r w:rsidRPr="008940B1">
              <w:rPr>
                <w:rFonts w:asciiTheme="minorHAnsi" w:hAnsiTheme="minorHAnsi"/>
                <w:sz w:val="20"/>
              </w:rPr>
              <w:lastRenderedPageBreak/>
              <w:t>kalendarzowy po zakończeniu projektu). Energia odnawialna powinna być neutralna pod względem emisji gazów cieplarnianych i powinna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rsidR="00BC18C8" w:rsidRPr="008940B1" w:rsidRDefault="00BC18C8" w:rsidP="0076746F">
            <w:pPr>
              <w:spacing w:line="240" w:lineRule="auto"/>
              <w:jc w:val="both"/>
              <w:rPr>
                <w:rFonts w:asciiTheme="minorHAnsi" w:hAnsiTheme="minorHAnsi"/>
                <w:sz w:val="20"/>
              </w:rPr>
            </w:pPr>
            <w:r w:rsidRPr="008940B1">
              <w:rPr>
                <w:rFonts w:asciiTheme="minorHAnsi" w:hAnsiTheme="minorHAnsi"/>
                <w:sz w:val="20"/>
              </w:rPr>
              <w:t>W przypadku działań uzyskujących oszczędność energii, prognoza opiera się na ilości energii pierwotnej oszczędzonej w danym roku w ramach wspieranych operacji (albo rok po zakończeniu projektu, albo rok kalendarzowy po zakończeniu projektu). Zaoszczędzona energia ma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rsidR="00BC18C8" w:rsidRPr="008940B1" w:rsidRDefault="00BC18C8" w:rsidP="0076746F">
            <w:pPr>
              <w:spacing w:line="240" w:lineRule="auto"/>
              <w:jc w:val="both"/>
              <w:rPr>
                <w:rFonts w:asciiTheme="minorHAnsi" w:hAnsiTheme="minorHAnsi"/>
                <w:sz w:val="20"/>
                <w:lang w:val="en-US"/>
              </w:rPr>
            </w:pPr>
            <w:r w:rsidRPr="008940B1">
              <w:rPr>
                <w:rFonts w:asciiTheme="minorHAnsi" w:hAnsiTheme="minorHAnsi"/>
                <w:sz w:val="20"/>
                <w:lang w:val="en-US"/>
              </w:rPr>
              <w:t>This indicator is calculated for interventions directly aiming to increase renewable energy production (see indicator 30) or to decrease energy consumption through energy saving measures (see indicators 31 and 32), thus its use is mandatory only where these indicators are relevant. Uses for other interventions with possible GHG impact are optional with methodology developed by the MA. The indicator will show the total estimated of annual decrease by the end of the period, not the total decrease throughout the period.</w:t>
            </w:r>
          </w:p>
          <w:p w:rsidR="00BC18C8" w:rsidRPr="008940B1" w:rsidRDefault="00BC18C8" w:rsidP="0076746F">
            <w:pPr>
              <w:spacing w:line="240" w:lineRule="auto"/>
              <w:jc w:val="both"/>
              <w:rPr>
                <w:rFonts w:asciiTheme="minorHAnsi" w:hAnsiTheme="minorHAnsi"/>
                <w:sz w:val="20"/>
                <w:lang w:val="en-US"/>
              </w:rPr>
            </w:pPr>
            <w:r w:rsidRPr="008940B1">
              <w:rPr>
                <w:rFonts w:asciiTheme="minorHAnsi" w:hAnsiTheme="minorHAnsi"/>
                <w:sz w:val="20"/>
                <w:lang w:val="en-US"/>
              </w:rPr>
              <w:t>In case of renewable energy production, the estimate is based on the amount of primary energy produced by supported facilities in a given year (either one year following project completion or the calendar year after project completion). Renewable energy is supposed to be GHG neutral and replacing non-renewable energy production. GHG impact of nonrenewable energy is estimated through the MS total GHG emission per unit of non-renewable energy production.</w:t>
            </w:r>
          </w:p>
          <w:p w:rsidR="00BC18C8" w:rsidRPr="008940B1" w:rsidRDefault="00BC18C8" w:rsidP="0076746F">
            <w:pPr>
              <w:spacing w:line="240" w:lineRule="auto"/>
              <w:jc w:val="both"/>
              <w:rPr>
                <w:rFonts w:asciiTheme="minorHAnsi" w:hAnsiTheme="minorHAnsi"/>
                <w:sz w:val="20"/>
                <w:lang w:val="en-US"/>
              </w:rPr>
            </w:pPr>
            <w:r w:rsidRPr="008940B1">
              <w:rPr>
                <w:rFonts w:asciiTheme="minorHAnsi" w:hAnsiTheme="minorHAnsi"/>
                <w:sz w:val="20"/>
                <w:lang w:val="en-US"/>
              </w:rPr>
              <w:t xml:space="preserve">In case of energy saving measures, the estimate is based on the amount of primary energy saved through in a given year supported operations (either one year </w:t>
            </w:r>
            <w:r w:rsidRPr="008940B1">
              <w:rPr>
                <w:rFonts w:asciiTheme="minorHAnsi" w:hAnsiTheme="minorHAnsi"/>
                <w:sz w:val="20"/>
                <w:lang w:val="en-US"/>
              </w:rPr>
              <w:lastRenderedPageBreak/>
              <w:t>following project completion or the calendar year after project completion). Saved energy is supposed to be replacing non-renewable energy production. GHG impact of non-renewable energy is estimated through the MS total GHG emission per unit of non-renewable energy production.</w:t>
            </w:r>
          </w:p>
        </w:tc>
        <w:tc>
          <w:tcPr>
            <w:tcW w:w="1049" w:type="pct"/>
          </w:tcPr>
          <w:p w:rsidR="00BC18C8" w:rsidRPr="008940B1" w:rsidRDefault="00A545DA" w:rsidP="0076746F">
            <w:pPr>
              <w:spacing w:before="0" w:line="240" w:lineRule="auto"/>
              <w:jc w:val="center"/>
              <w:rPr>
                <w:rFonts w:asciiTheme="minorHAnsi" w:hAnsiTheme="minorHAnsi"/>
                <w:sz w:val="20"/>
              </w:rPr>
            </w:pPr>
            <w:r w:rsidRPr="00A545DA">
              <w:rPr>
                <w:rFonts w:asciiTheme="minorHAnsi" w:hAnsiTheme="minorHAnsi"/>
                <w:sz w:val="20"/>
              </w:rPr>
              <w:lastRenderedPageBreak/>
              <w:t>SzOOP</w:t>
            </w:r>
          </w:p>
        </w:tc>
      </w:tr>
      <w:tr w:rsidR="00BC18C8" w:rsidRPr="008940B1" w:rsidTr="007E2D2C">
        <w:trPr>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BC18C8" w:rsidRPr="008940B1" w:rsidRDefault="00BC18C8" w:rsidP="0076746F">
            <w:pPr>
              <w:autoSpaceDE w:val="0"/>
              <w:autoSpaceDN w:val="0"/>
              <w:adjustRightInd w:val="0"/>
              <w:spacing w:before="0" w:line="240" w:lineRule="auto"/>
              <w:rPr>
                <w:rFonts w:asciiTheme="minorHAnsi" w:hAnsiTheme="minorHAnsi" w:cs="ArialNarrow"/>
                <w:sz w:val="20"/>
              </w:rPr>
            </w:pPr>
            <w:r w:rsidRPr="008940B1">
              <w:rPr>
                <w:rFonts w:asciiTheme="minorHAnsi" w:hAnsiTheme="minorHAnsi" w:cs="ArialNarrow"/>
                <w:sz w:val="20"/>
              </w:rPr>
              <w:lastRenderedPageBreak/>
              <w:t>Wzrost zatrudnienia we wspieranych podmiotach (innych niż przedsiębiorstwa)</w:t>
            </w:r>
          </w:p>
          <w:p w:rsidR="00BC18C8" w:rsidRPr="008940B1" w:rsidRDefault="00BC18C8" w:rsidP="0076746F">
            <w:pPr>
              <w:autoSpaceDE w:val="0"/>
              <w:autoSpaceDN w:val="0"/>
              <w:adjustRightInd w:val="0"/>
              <w:spacing w:before="0" w:line="240" w:lineRule="auto"/>
              <w:rPr>
                <w:rFonts w:asciiTheme="minorHAnsi" w:hAnsiTheme="minorHAnsi" w:cs="ArialNarrow"/>
                <w:sz w:val="20"/>
              </w:rPr>
            </w:pPr>
            <w:r w:rsidRPr="008940B1">
              <w:rPr>
                <w:rFonts w:asciiTheme="minorHAnsi" w:hAnsiTheme="minorHAnsi" w:cs="ArialNarrow"/>
                <w:sz w:val="20"/>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C18C8" w:rsidRPr="008940B1" w:rsidRDefault="00BC18C8" w:rsidP="0076746F">
            <w:pPr>
              <w:spacing w:before="0" w:line="240" w:lineRule="auto"/>
              <w:jc w:val="center"/>
              <w:rPr>
                <w:rFonts w:asciiTheme="minorHAnsi" w:hAnsiTheme="minorHAnsi" w:cs="ArialNarrow"/>
                <w:sz w:val="20"/>
              </w:rPr>
            </w:pPr>
            <w:r w:rsidRPr="008940B1">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BC18C8" w:rsidRPr="008940B1" w:rsidRDefault="00BC18C8" w:rsidP="0076746F">
            <w:pPr>
              <w:spacing w:before="0" w:line="240" w:lineRule="auto"/>
              <w:jc w:val="both"/>
              <w:rPr>
                <w:rFonts w:asciiTheme="minorHAnsi" w:hAnsiTheme="minorHAnsi"/>
                <w:sz w:val="20"/>
              </w:rPr>
            </w:pPr>
            <w:r w:rsidRPr="008940B1">
              <w:rPr>
                <w:rFonts w:asciiTheme="minorHAnsi" w:hAnsiTheme="minorHAnsi"/>
                <w:sz w:val="20"/>
              </w:rPr>
              <w:t xml:space="preserve">Nowe miejsca pracy brutto we wspartych  podmiotach wyrażone w ekwiwalencie pełnego czasu pracy (EPC). </w:t>
            </w:r>
          </w:p>
          <w:p w:rsidR="00BC18C8" w:rsidRPr="008940B1" w:rsidRDefault="00BC18C8" w:rsidP="0076746F">
            <w:pPr>
              <w:spacing w:before="0" w:line="240" w:lineRule="auto"/>
              <w:jc w:val="both"/>
              <w:rPr>
                <w:rFonts w:asciiTheme="minorHAnsi" w:hAnsiTheme="minorHAnsi"/>
                <w:sz w:val="20"/>
              </w:rPr>
            </w:pPr>
            <w:r w:rsidRPr="008940B1">
              <w:rPr>
                <w:rFonts w:asciiTheme="minorHAnsi" w:hAnsiTheme="minorHAnsi"/>
                <w:sz w:val="20"/>
              </w:rPr>
              <w:t xml:space="preserve">Wskaźnik ukazuje zmianę "przed-po" </w:t>
            </w:r>
            <w:r w:rsidRPr="008940B1">
              <w:rPr>
                <w:rFonts w:asciiTheme="minorHAnsi" w:hAnsiTheme="minorHAnsi"/>
                <w:sz w:val="20"/>
              </w:rPr>
              <w:br/>
              <w:t xml:space="preserve">i obejmuje część wzrostu zatrudnienia </w:t>
            </w:r>
            <w:r w:rsidRPr="008940B1">
              <w:rPr>
                <w:rFonts w:asciiTheme="minorHAnsi" w:hAnsiTheme="minorHAnsi"/>
                <w:sz w:val="20"/>
              </w:rPr>
              <w:br/>
              <w:t xml:space="preserve">w podmiocie będącego bezpośrednim skutkiem zakończenia realizacji projektu (nie są wliczani pracownicy zatrudnieni do realizacji projektu). </w:t>
            </w:r>
          </w:p>
          <w:p w:rsidR="00BC18C8" w:rsidRPr="008940B1" w:rsidRDefault="00BC18C8" w:rsidP="0076746F">
            <w:pPr>
              <w:spacing w:before="0" w:after="240" w:line="240" w:lineRule="auto"/>
              <w:jc w:val="both"/>
              <w:rPr>
                <w:rFonts w:asciiTheme="minorHAnsi" w:hAnsiTheme="minorHAnsi"/>
                <w:sz w:val="20"/>
              </w:rPr>
            </w:pPr>
            <w:r w:rsidRPr="008940B1">
              <w:rPr>
                <w:rFonts w:asciiTheme="minorHAnsi" w:hAnsiTheme="minorHAnsi"/>
                <w:sz w:val="20"/>
              </w:rPr>
              <w:t>Uwzględnia się obsadzone miejsca pracy (wakaty nie są liczone), które zwiększają łączną liczbę miejsc pracy w podmiocie. Brak wzrostu w całkowitym zatrudnieniu w podmiocie oznacza, że wartość wskaźnika jest równa zero, co traktuje się jako wyrównanie miejsc pracy, a nie wzrost. Nie wlicza się miejsc pracy, np. utrzymanych dzięki realizacji projektu.</w:t>
            </w:r>
          </w:p>
          <w:p w:rsidR="00BC18C8" w:rsidRPr="008940B1" w:rsidRDefault="00BC18C8" w:rsidP="0076746F">
            <w:pPr>
              <w:spacing w:before="0" w:after="240" w:line="240" w:lineRule="auto"/>
              <w:jc w:val="both"/>
              <w:rPr>
                <w:rFonts w:asciiTheme="minorHAnsi" w:hAnsiTheme="minorHAnsi"/>
                <w:sz w:val="20"/>
              </w:rPr>
            </w:pPr>
            <w:r w:rsidRPr="008940B1">
              <w:rPr>
                <w:rFonts w:asciiTheme="minorHAnsi" w:hAnsiTheme="minorHAnsi"/>
                <w:sz w:val="20"/>
              </w:rPr>
              <w:t>Brutto: Nie uwzględniamy miejsca pracy otrzymanego w wyniku zmian wewnątrz podmiocie, dopóki nie przyczyni się to do całkowitego wzrostu liczby miejsc pracy.. Wskaźnik powinien być zastosowany, jeżeli wzrost zatrudnienia może być wiarygodnie przypisany do wsparcia w ramach projektu.</w:t>
            </w:r>
          </w:p>
          <w:p w:rsidR="00BC18C8" w:rsidRPr="008940B1" w:rsidRDefault="00BC18C8" w:rsidP="0076746F">
            <w:pPr>
              <w:spacing w:before="0" w:line="240" w:lineRule="auto"/>
              <w:jc w:val="both"/>
              <w:rPr>
                <w:rFonts w:asciiTheme="minorHAnsi" w:hAnsiTheme="minorHAnsi"/>
                <w:sz w:val="20"/>
              </w:rPr>
            </w:pPr>
            <w:r w:rsidRPr="008940B1">
              <w:rPr>
                <w:rFonts w:asciiTheme="minorHAnsi" w:hAnsiTheme="minorHAnsi"/>
                <w:sz w:val="20"/>
              </w:rPr>
              <w:t>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w:t>
            </w:r>
            <w:r w:rsidR="00D11D19" w:rsidRPr="008940B1">
              <w:rPr>
                <w:rFonts w:asciiTheme="minorHAnsi" w:hAnsiTheme="minorHAnsi"/>
                <w:sz w:val="20"/>
              </w:rPr>
              <w:t xml:space="preserve"> </w:t>
            </w:r>
            <w:r w:rsidRPr="008940B1">
              <w:rPr>
                <w:rFonts w:asciiTheme="minorHAnsi" w:hAnsiTheme="minorHAnsi"/>
                <w:sz w:val="20"/>
              </w:rPr>
              <w:t>/ statystycznych</w:t>
            </w:r>
            <w:r w:rsidR="00D11D19" w:rsidRPr="008940B1">
              <w:rPr>
                <w:rFonts w:asciiTheme="minorHAnsi" w:hAnsiTheme="minorHAnsi"/>
                <w:sz w:val="20"/>
              </w:rPr>
              <w:t xml:space="preserve">  </w:t>
            </w:r>
            <w:r w:rsidRPr="008940B1">
              <w:rPr>
                <w:rFonts w:asciiTheme="minorHAnsi" w:hAnsiTheme="minorHAnsi"/>
                <w:sz w:val="20"/>
              </w:rPr>
              <w:t xml:space="preserve">/innych. </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BC18C8" w:rsidRPr="008940B1" w:rsidRDefault="00BC18C8" w:rsidP="0076746F">
            <w:pPr>
              <w:spacing w:before="0" w:line="240" w:lineRule="auto"/>
              <w:jc w:val="center"/>
              <w:rPr>
                <w:rFonts w:asciiTheme="minorHAnsi" w:hAnsiTheme="minorHAnsi"/>
                <w:sz w:val="20"/>
              </w:rPr>
            </w:pPr>
            <w:r w:rsidRPr="008940B1">
              <w:rPr>
                <w:rFonts w:asciiTheme="minorHAnsi" w:hAnsiTheme="minorHAnsi"/>
                <w:sz w:val="20"/>
              </w:rPr>
              <w:t>horyzontalny</w:t>
            </w:r>
          </w:p>
        </w:tc>
      </w:tr>
      <w:tr w:rsidR="00BC18C8" w:rsidRPr="008940B1" w:rsidTr="007E2D2C">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BC18C8" w:rsidRPr="008940B1" w:rsidRDefault="00BC18C8" w:rsidP="0076746F">
            <w:pPr>
              <w:autoSpaceDE w:val="0"/>
              <w:autoSpaceDN w:val="0"/>
              <w:adjustRightInd w:val="0"/>
              <w:spacing w:before="0" w:line="240" w:lineRule="auto"/>
              <w:rPr>
                <w:rFonts w:asciiTheme="minorHAnsi" w:hAnsiTheme="minorHAnsi" w:cs="ArialNarrow"/>
                <w:sz w:val="20"/>
              </w:rPr>
            </w:pPr>
            <w:r w:rsidRPr="008940B1">
              <w:rPr>
                <w:rFonts w:asciiTheme="minorHAnsi" w:hAnsiTheme="minorHAnsi" w:cs="ArialNarrow"/>
                <w:sz w:val="20"/>
              </w:rPr>
              <w:t>Liczba utrzymanych miejsc pracy</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C18C8" w:rsidRPr="008940B1" w:rsidRDefault="00BC18C8" w:rsidP="0076746F">
            <w:pPr>
              <w:spacing w:before="0" w:line="240" w:lineRule="auto"/>
              <w:jc w:val="center"/>
              <w:rPr>
                <w:rFonts w:asciiTheme="minorHAnsi" w:hAnsiTheme="minorHAnsi" w:cs="ArialNarrow"/>
                <w:sz w:val="20"/>
              </w:rPr>
            </w:pPr>
            <w:r w:rsidRPr="008940B1">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BC18C8" w:rsidRPr="008940B1" w:rsidRDefault="00BC18C8" w:rsidP="0076746F">
            <w:pPr>
              <w:autoSpaceDE w:val="0"/>
              <w:autoSpaceDN w:val="0"/>
              <w:adjustRightInd w:val="0"/>
              <w:spacing w:before="0" w:line="240" w:lineRule="auto"/>
              <w:jc w:val="both"/>
              <w:rPr>
                <w:rFonts w:asciiTheme="minorHAnsi" w:eastAsiaTheme="minorHAnsi" w:hAnsiTheme="minorHAnsi" w:cstheme="minorBidi"/>
                <w:sz w:val="20"/>
                <w:lang w:eastAsia="en-US"/>
              </w:rPr>
            </w:pPr>
            <w:r w:rsidRPr="008940B1">
              <w:rPr>
                <w:rFonts w:asciiTheme="minorHAnsi" w:eastAsiaTheme="minorHAnsi" w:hAnsiTheme="minorHAnsi" w:cstheme="minorBidi"/>
                <w:sz w:val="20"/>
                <w:lang w:eastAsia="en-US"/>
              </w:rPr>
              <w:t>Miejsca pracy utworzone w wyniku realizacji projektu, lecz nie powodują wzrostu zatrudnienia w organizacji</w:t>
            </w:r>
            <w:r w:rsidR="00D11D19" w:rsidRPr="008940B1">
              <w:rPr>
                <w:rFonts w:asciiTheme="minorHAnsi" w:eastAsiaTheme="minorHAnsi" w:hAnsiTheme="minorHAnsi" w:cstheme="minorBidi"/>
                <w:sz w:val="20"/>
                <w:lang w:eastAsia="en-US"/>
              </w:rPr>
              <w:t>.</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BC18C8" w:rsidRPr="008940B1" w:rsidRDefault="00BC18C8" w:rsidP="0076746F">
            <w:pPr>
              <w:spacing w:before="0" w:line="240" w:lineRule="auto"/>
              <w:jc w:val="center"/>
              <w:rPr>
                <w:rFonts w:asciiTheme="minorHAnsi" w:hAnsiTheme="minorHAnsi"/>
                <w:sz w:val="20"/>
              </w:rPr>
            </w:pPr>
            <w:r w:rsidRPr="008940B1">
              <w:rPr>
                <w:rFonts w:asciiTheme="minorHAnsi" w:hAnsiTheme="minorHAnsi"/>
                <w:sz w:val="20"/>
              </w:rPr>
              <w:t>horyzontalny</w:t>
            </w:r>
          </w:p>
        </w:tc>
      </w:tr>
      <w:tr w:rsidR="00BC18C8" w:rsidRPr="008940B1" w:rsidTr="007E2D2C">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BC18C8" w:rsidRPr="008940B1" w:rsidRDefault="00BC18C8" w:rsidP="0076746F">
            <w:pPr>
              <w:autoSpaceDE w:val="0"/>
              <w:autoSpaceDN w:val="0"/>
              <w:adjustRightInd w:val="0"/>
              <w:spacing w:before="0" w:line="240" w:lineRule="auto"/>
              <w:rPr>
                <w:rFonts w:asciiTheme="minorHAnsi" w:hAnsiTheme="minorHAnsi" w:cs="ArialNarrow"/>
                <w:sz w:val="20"/>
              </w:rPr>
            </w:pPr>
            <w:r w:rsidRPr="008940B1">
              <w:rPr>
                <w:rFonts w:asciiTheme="minorHAnsi" w:hAnsiTheme="minorHAnsi" w:cs="ArialNarrow"/>
                <w:sz w:val="20"/>
              </w:rPr>
              <w:t xml:space="preserve">Liczba nowo utworzonych miejsc pracy - pozostałe formy </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BC18C8" w:rsidRPr="008940B1" w:rsidRDefault="00BC18C8" w:rsidP="0076746F">
            <w:pPr>
              <w:spacing w:before="0" w:line="240" w:lineRule="auto"/>
              <w:jc w:val="center"/>
              <w:rPr>
                <w:rFonts w:asciiTheme="minorHAnsi" w:hAnsiTheme="minorHAnsi" w:cs="ArialNarrow"/>
                <w:sz w:val="20"/>
              </w:rPr>
            </w:pPr>
            <w:r w:rsidRPr="008940B1">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BC18C8" w:rsidRPr="008940B1" w:rsidRDefault="00BC18C8" w:rsidP="0076746F">
            <w:pPr>
              <w:autoSpaceDE w:val="0"/>
              <w:autoSpaceDN w:val="0"/>
              <w:adjustRightInd w:val="0"/>
              <w:spacing w:before="0" w:line="240" w:lineRule="auto"/>
              <w:jc w:val="both"/>
              <w:rPr>
                <w:rFonts w:asciiTheme="minorHAnsi" w:eastAsiaTheme="minorHAnsi" w:hAnsiTheme="minorHAnsi" w:cs="Verdana"/>
                <w:sz w:val="20"/>
                <w:lang w:eastAsia="en-US"/>
              </w:rPr>
            </w:pPr>
            <w:r w:rsidRPr="008940B1">
              <w:rPr>
                <w:rFonts w:asciiTheme="minorHAnsi" w:eastAsiaTheme="minorHAnsi" w:hAnsiTheme="minorHAnsi" w:cstheme="minorBidi"/>
                <w:iCs/>
                <w:sz w:val="20"/>
                <w:lang w:eastAsia="en-US"/>
              </w:rPr>
              <w:t>Pozostałe formy</w:t>
            </w:r>
            <w:r w:rsidRPr="008940B1">
              <w:rPr>
                <w:rFonts w:asciiTheme="minorHAnsi" w:eastAsiaTheme="minorHAnsi" w:hAnsiTheme="minorHAnsi" w:cs="Verdana"/>
                <w:sz w:val="20"/>
                <w:lang w:eastAsia="en-US"/>
              </w:rPr>
              <w:t>, np. umowy cywilnoprawne, miejsca pracy do obsługi projektu, nietrwałe miejsca pracy</w:t>
            </w:r>
            <w:r w:rsidR="00F0154B">
              <w:rPr>
                <w:rFonts w:asciiTheme="minorHAnsi" w:eastAsiaTheme="minorHAnsi" w:hAnsiTheme="minorHAnsi" w:cs="Verdana"/>
                <w:sz w:val="20"/>
                <w:lang w:eastAsia="en-US"/>
              </w:rPr>
              <w:t xml:space="preserve"> (w</w:t>
            </w:r>
            <w:r w:rsidR="00F0154B" w:rsidRPr="00F0154B">
              <w:rPr>
                <w:rFonts w:asciiTheme="minorHAnsi" w:eastAsiaTheme="minorHAnsi" w:hAnsiTheme="minorHAnsi" w:cs="Verdana"/>
                <w:sz w:val="20"/>
                <w:lang w:eastAsia="en-US"/>
              </w:rPr>
              <w:t>skaźnik ma charakter informacyjny)</w:t>
            </w:r>
            <w:r w:rsidR="00F0154B">
              <w:rPr>
                <w:rFonts w:asciiTheme="minorHAnsi" w:eastAsiaTheme="minorHAnsi" w:hAnsiTheme="minorHAnsi" w:cs="Verdana"/>
                <w:sz w:val="20"/>
                <w:lang w:eastAsia="en-US"/>
              </w:rPr>
              <w:t>.</w:t>
            </w: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BC18C8" w:rsidRPr="008940B1" w:rsidRDefault="00BC18C8" w:rsidP="0076746F">
            <w:pPr>
              <w:spacing w:before="0" w:line="240" w:lineRule="auto"/>
              <w:jc w:val="center"/>
              <w:rPr>
                <w:rFonts w:asciiTheme="minorHAnsi" w:hAnsiTheme="minorHAnsi"/>
                <w:sz w:val="20"/>
              </w:rPr>
            </w:pPr>
            <w:r w:rsidRPr="008940B1">
              <w:rPr>
                <w:rFonts w:asciiTheme="minorHAnsi" w:hAnsiTheme="minorHAnsi"/>
                <w:sz w:val="20"/>
              </w:rPr>
              <w:t>horyzontalny</w:t>
            </w:r>
          </w:p>
        </w:tc>
      </w:tr>
    </w:tbl>
    <w:p w:rsidR="008B73B1" w:rsidRPr="008940B1" w:rsidRDefault="008B73B1" w:rsidP="0076746F">
      <w:pPr>
        <w:autoSpaceDE w:val="0"/>
        <w:autoSpaceDN w:val="0"/>
        <w:adjustRightInd w:val="0"/>
        <w:spacing w:before="120" w:after="120" w:line="240" w:lineRule="auto"/>
        <w:jc w:val="both"/>
        <w:rPr>
          <w:rFonts w:asciiTheme="minorHAnsi" w:eastAsiaTheme="minorHAnsi" w:hAnsiTheme="minorHAnsi" w:cs="Arial"/>
          <w:sz w:val="20"/>
          <w:lang w:eastAsia="en-US"/>
        </w:rPr>
      </w:pPr>
    </w:p>
    <w:p w:rsidR="00C912B2" w:rsidRPr="008940B1" w:rsidRDefault="00C912B2" w:rsidP="0076746F">
      <w:pPr>
        <w:pStyle w:val="Default"/>
        <w:spacing w:after="120"/>
        <w:jc w:val="both"/>
        <w:rPr>
          <w:rFonts w:asciiTheme="minorHAnsi" w:hAnsiTheme="minorHAnsi"/>
        </w:rPr>
      </w:pPr>
      <w:r w:rsidRPr="008940B1">
        <w:rPr>
          <w:rFonts w:asciiTheme="minorHAnsi" w:hAnsiTheme="minorHAnsi"/>
        </w:rPr>
        <w:t>Zgodnie z załącznikiem nr 2 „Lista Wskaźników do wykonania celów pośrednich oraz końcowych”  do Porozumienia nr DEF-Z/986/15 z dnia 9 czerwca 2015 r. zawartego pomiędzy Województwem Dolnośląskim – Zarządem Województwa Dolnośląskiego, pełniącym funkcję IZ</w:t>
      </w:r>
      <w:r w:rsidR="009F121E" w:rsidRPr="008940B1">
        <w:rPr>
          <w:rFonts w:asciiTheme="minorHAnsi" w:hAnsiTheme="minorHAnsi"/>
        </w:rPr>
        <w:t xml:space="preserve"> RPO WD 2014 - 2020</w:t>
      </w:r>
      <w:r w:rsidRPr="008940B1">
        <w:rPr>
          <w:rFonts w:asciiTheme="minorHAnsi" w:hAnsiTheme="minorHAnsi"/>
        </w:rPr>
        <w:t xml:space="preserve"> a Gminą Wrocław</w:t>
      </w:r>
      <w:r w:rsidR="009F121E" w:rsidRPr="008940B1">
        <w:rPr>
          <w:rFonts w:asciiTheme="minorHAnsi" w:hAnsiTheme="minorHAnsi"/>
        </w:rPr>
        <w:t>,</w:t>
      </w:r>
      <w:r w:rsidRPr="008940B1">
        <w:rPr>
          <w:rFonts w:asciiTheme="minorHAnsi" w:hAnsiTheme="minorHAnsi"/>
        </w:rPr>
        <w:t xml:space="preserve"> pełniącą </w:t>
      </w:r>
      <w:r w:rsidRPr="008940B1">
        <w:rPr>
          <w:rFonts w:asciiTheme="minorHAnsi" w:hAnsiTheme="minorHAnsi"/>
        </w:rPr>
        <w:lastRenderedPageBreak/>
        <w:t>funkcję Instytucji Pośredniczącej</w:t>
      </w:r>
      <w:r w:rsidR="009F121E" w:rsidRPr="008940B1">
        <w:rPr>
          <w:rFonts w:asciiTheme="minorHAnsi" w:hAnsiTheme="minorHAnsi"/>
        </w:rPr>
        <w:t xml:space="preserve"> (w wersji ustalonej aneksem nr 5 z dnia 7 sierpnia 2018 r.)</w:t>
      </w:r>
      <w:r w:rsidRPr="008940B1">
        <w:rPr>
          <w:rFonts w:asciiTheme="minorHAnsi" w:hAnsiTheme="minorHAnsi"/>
        </w:rPr>
        <w:t xml:space="preserve">, wskaźniki produktu weryfikowane na etapie oceny zgodności ze Strategią ZIT </w:t>
      </w:r>
      <w:proofErr w:type="spellStart"/>
      <w:r w:rsidRPr="008940B1">
        <w:rPr>
          <w:rFonts w:asciiTheme="minorHAnsi" w:hAnsiTheme="minorHAnsi"/>
        </w:rPr>
        <w:t>WrOF</w:t>
      </w:r>
      <w:proofErr w:type="spellEnd"/>
      <w:r w:rsidRPr="008940B1">
        <w:rPr>
          <w:rFonts w:asciiTheme="minorHAnsi" w:hAnsiTheme="minorHAnsi"/>
        </w:rPr>
        <w:t xml:space="preserve"> są tożsame z wyżej wskazanymi tj.:</w:t>
      </w:r>
    </w:p>
    <w:p w:rsidR="00C912B2" w:rsidRPr="0037462D" w:rsidRDefault="009F121E" w:rsidP="0076746F">
      <w:pPr>
        <w:pStyle w:val="Default"/>
        <w:numPr>
          <w:ilvl w:val="0"/>
          <w:numId w:val="11"/>
        </w:numPr>
        <w:jc w:val="both"/>
        <w:rPr>
          <w:rFonts w:asciiTheme="minorHAnsi" w:hAnsiTheme="minorHAnsi"/>
        </w:rPr>
      </w:pPr>
      <w:r w:rsidRPr="0037462D">
        <w:rPr>
          <w:rFonts w:asciiTheme="minorHAnsi" w:hAnsiTheme="minorHAnsi" w:cs="Calibri"/>
        </w:rPr>
        <w:t>Długość wspartej infrastruktury rowerowej</w:t>
      </w:r>
      <w:r w:rsidR="00C912B2" w:rsidRPr="0037462D">
        <w:rPr>
          <w:rFonts w:asciiTheme="minorHAnsi" w:hAnsiTheme="minorHAnsi" w:cs="Calibri"/>
        </w:rPr>
        <w:t xml:space="preserve"> </w:t>
      </w:r>
      <w:r w:rsidR="00C912B2" w:rsidRPr="0037462D">
        <w:rPr>
          <w:rFonts w:asciiTheme="minorHAnsi" w:hAnsiTheme="minorHAnsi"/>
        </w:rPr>
        <w:t xml:space="preserve">  </w:t>
      </w:r>
    </w:p>
    <w:p w:rsidR="00C912B2" w:rsidRPr="0037462D" w:rsidRDefault="009F121E" w:rsidP="0076746F">
      <w:pPr>
        <w:pStyle w:val="Akapitzlist"/>
        <w:numPr>
          <w:ilvl w:val="0"/>
          <w:numId w:val="11"/>
        </w:numPr>
        <w:autoSpaceDE w:val="0"/>
        <w:autoSpaceDN w:val="0"/>
        <w:adjustRightInd w:val="0"/>
        <w:spacing w:before="0" w:line="240" w:lineRule="auto"/>
        <w:contextualSpacing/>
        <w:jc w:val="both"/>
        <w:rPr>
          <w:rFonts w:asciiTheme="minorHAnsi" w:hAnsiTheme="minorHAnsi" w:cs="ArialNarrow"/>
          <w:sz w:val="20"/>
        </w:rPr>
      </w:pPr>
      <w:r w:rsidRPr="0037462D">
        <w:rPr>
          <w:rFonts w:asciiTheme="minorHAnsi" w:hAnsiTheme="minorHAnsi" w:cs="Calibri"/>
          <w:sz w:val="20"/>
        </w:rPr>
        <w:t>Liczba wybudowanych obiektów „parkuj i jedź”</w:t>
      </w:r>
    </w:p>
    <w:p w:rsidR="009F121E" w:rsidRPr="0037462D" w:rsidRDefault="009F121E" w:rsidP="0076746F">
      <w:pPr>
        <w:pStyle w:val="Akapitzlist"/>
        <w:numPr>
          <w:ilvl w:val="0"/>
          <w:numId w:val="11"/>
        </w:numPr>
        <w:autoSpaceDE w:val="0"/>
        <w:autoSpaceDN w:val="0"/>
        <w:adjustRightInd w:val="0"/>
        <w:spacing w:before="0" w:line="240" w:lineRule="auto"/>
        <w:contextualSpacing/>
        <w:jc w:val="both"/>
        <w:rPr>
          <w:rFonts w:asciiTheme="minorHAnsi" w:hAnsiTheme="minorHAnsi" w:cs="ArialNarrow"/>
          <w:sz w:val="20"/>
        </w:rPr>
      </w:pPr>
      <w:r w:rsidRPr="0037462D">
        <w:rPr>
          <w:rFonts w:asciiTheme="minorHAnsi" w:hAnsiTheme="minorHAnsi" w:cs="ArialNarrow"/>
          <w:sz w:val="20"/>
        </w:rPr>
        <w:t>Szacowany roczny spadek emisji gazów cieplarnianych</w:t>
      </w:r>
    </w:p>
    <w:p w:rsidR="00C912B2" w:rsidRPr="008940B1" w:rsidRDefault="00C912B2" w:rsidP="0076746F">
      <w:pPr>
        <w:autoSpaceDE w:val="0"/>
        <w:autoSpaceDN w:val="0"/>
        <w:adjustRightInd w:val="0"/>
        <w:spacing w:before="120" w:after="120" w:line="240" w:lineRule="auto"/>
        <w:jc w:val="both"/>
        <w:rPr>
          <w:rFonts w:asciiTheme="minorHAnsi" w:eastAsiaTheme="minorHAnsi" w:hAnsiTheme="minorHAnsi" w:cs="Arial"/>
          <w:sz w:val="20"/>
          <w:lang w:eastAsia="en-US"/>
        </w:rPr>
      </w:pPr>
    </w:p>
    <w:p w:rsidR="00DF6D97" w:rsidRPr="008940B1" w:rsidRDefault="00DF6D97" w:rsidP="0076746F">
      <w:pPr>
        <w:autoSpaceDE w:val="0"/>
        <w:autoSpaceDN w:val="0"/>
        <w:adjustRightInd w:val="0"/>
        <w:spacing w:before="120" w:after="120" w:line="240" w:lineRule="auto"/>
        <w:jc w:val="both"/>
        <w:rPr>
          <w:rFonts w:asciiTheme="minorHAnsi" w:eastAsiaTheme="minorHAnsi" w:hAnsiTheme="minorHAnsi" w:cs="Arial"/>
          <w:sz w:val="20"/>
          <w:lang w:eastAsia="en-US"/>
        </w:rPr>
      </w:pPr>
      <w:r w:rsidRPr="008940B1">
        <w:rPr>
          <w:rFonts w:asciiTheme="minorHAnsi" w:eastAsiaTheme="minorHAnsi" w:hAnsiTheme="minorHAnsi" w:cs="Arial"/>
          <w:sz w:val="20"/>
          <w:lang w:eastAsia="en-US"/>
        </w:rPr>
        <w:t xml:space="preserve">W ramach wniosku o dofinansowanie Wnioskodawca ma obowiązek uwzględnić </w:t>
      </w:r>
      <w:r w:rsidRPr="008940B1">
        <w:rPr>
          <w:rFonts w:asciiTheme="minorHAnsi" w:eastAsiaTheme="minorHAnsi" w:hAnsiTheme="minorHAnsi" w:cs="Arial"/>
          <w:b/>
          <w:sz w:val="20"/>
          <w:lang w:eastAsia="en-US"/>
        </w:rPr>
        <w:t>wszystkie adekwatne</w:t>
      </w:r>
      <w:r w:rsidRPr="008940B1">
        <w:rPr>
          <w:rFonts w:asciiTheme="minorHAnsi" w:eastAsiaTheme="minorHAnsi" w:hAnsiTheme="minorHAnsi" w:cs="Arial"/>
          <w:sz w:val="20"/>
          <w:lang w:eastAsia="en-US"/>
        </w:rPr>
        <w:t xml:space="preserve"> wskaźniki produktu oraz rezultatu bezpośredniego z listy przedstawionej  w powyższych tabelach, odpowiadające celowi projektu. </w:t>
      </w:r>
      <w:r w:rsidRPr="008940B1">
        <w:rPr>
          <w:rFonts w:asciiTheme="minorHAnsi" w:hAnsiTheme="minorHAnsi"/>
          <w:sz w:val="20"/>
        </w:rPr>
        <w:t>Dodatkowo w ramach wniosku o dofinansowanie Wnioskodawca może określić inne, dodatkowe wskaźniki specyficzne dla danego projektu, o ile będzie to niezbędne dla prawidłowej realizacji projektu (tzw. wskaźniki projektowe).</w:t>
      </w:r>
    </w:p>
    <w:p w:rsidR="00DF6D97" w:rsidRPr="008940B1" w:rsidRDefault="00DF6D97" w:rsidP="0076746F">
      <w:pPr>
        <w:pStyle w:val="Default"/>
        <w:jc w:val="both"/>
        <w:rPr>
          <w:rFonts w:asciiTheme="minorHAnsi" w:eastAsiaTheme="minorHAnsi" w:hAnsiTheme="minorHAnsi" w:cstheme="minorBidi"/>
          <w:lang w:eastAsia="en-US"/>
        </w:rPr>
      </w:pPr>
      <w:r w:rsidRPr="008940B1">
        <w:rPr>
          <w:rFonts w:asciiTheme="minorHAnsi" w:eastAsiaTheme="minorHAnsi" w:hAnsiTheme="minorHAnsi" w:cstheme="minorBidi"/>
          <w:lang w:eastAsia="en-US"/>
        </w:rPr>
        <w:t>We wniosku o dofinansowanie należy określić, w jaki sposób i na jakiej podstawie mierzone będą wskaźniki realizacji celu projektu poprzez ustalenie źródła weryfikacji</w:t>
      </w:r>
      <w:r w:rsidR="00970181" w:rsidRPr="008940B1">
        <w:rPr>
          <w:rFonts w:asciiTheme="minorHAnsi" w:eastAsiaTheme="minorHAnsi" w:hAnsiTheme="minorHAnsi" w:cstheme="minorBidi"/>
          <w:lang w:eastAsia="en-US"/>
        </w:rPr>
        <w:t xml:space="preserve"> </w:t>
      </w:r>
      <w:r w:rsidRPr="008940B1">
        <w:rPr>
          <w:rFonts w:asciiTheme="minorHAnsi" w:eastAsiaTheme="minorHAnsi" w:hAnsiTheme="minorHAnsi" w:cstheme="minorBidi"/>
          <w:lang w:eastAsia="en-US"/>
        </w:rPr>
        <w:t>/</w:t>
      </w:r>
      <w:r w:rsidR="00970181" w:rsidRPr="008940B1">
        <w:rPr>
          <w:rFonts w:asciiTheme="minorHAnsi" w:eastAsiaTheme="minorHAnsi" w:hAnsiTheme="minorHAnsi" w:cstheme="minorBidi"/>
          <w:lang w:eastAsia="en-US"/>
        </w:rPr>
        <w:t xml:space="preserve"> </w:t>
      </w:r>
      <w:r w:rsidRPr="008940B1">
        <w:rPr>
          <w:rFonts w:asciiTheme="minorHAnsi" w:eastAsiaTheme="minorHAnsi" w:hAnsiTheme="minorHAnsi" w:cstheme="minorBidi"/>
          <w:lang w:eastAsia="en-US"/>
        </w:rPr>
        <w:t xml:space="preserve">pozyskania danych do pomiaru wskaźnika oraz częstotliwości pomiaru. Dlatego przy określaniu wskaźników należy wziąć pod uwagę dostępność </w:t>
      </w:r>
      <w:r w:rsidR="00DB13A7">
        <w:rPr>
          <w:rFonts w:asciiTheme="minorHAnsi" w:eastAsiaTheme="minorHAnsi" w:hAnsiTheme="minorHAnsi" w:cstheme="minorBidi"/>
          <w:lang w:eastAsia="en-US"/>
        </w:rPr>
        <w:br/>
      </w:r>
      <w:r w:rsidRPr="008940B1">
        <w:rPr>
          <w:rFonts w:asciiTheme="minorHAnsi" w:eastAsiaTheme="minorHAnsi" w:hAnsiTheme="minorHAnsi" w:cstheme="minorBidi"/>
          <w:lang w:eastAsia="en-US"/>
        </w:rPr>
        <w:t xml:space="preserve">i wiarygodność danych niezbędnych do pomiaru danego wskaźnika. </w:t>
      </w:r>
    </w:p>
    <w:p w:rsidR="00DF6D97" w:rsidRPr="008940B1" w:rsidRDefault="00DF6D97" w:rsidP="0076746F">
      <w:pPr>
        <w:spacing w:line="240" w:lineRule="auto"/>
        <w:jc w:val="both"/>
        <w:rPr>
          <w:rFonts w:asciiTheme="minorHAnsi" w:hAnsiTheme="minorHAnsi" w:cs="Arial"/>
          <w:b/>
          <w:sz w:val="20"/>
          <w:u w:val="single"/>
        </w:rPr>
      </w:pPr>
      <w:r w:rsidRPr="008940B1">
        <w:rPr>
          <w:rFonts w:asciiTheme="minorHAnsi" w:hAnsiTheme="minorHAnsi" w:cs="Arial"/>
          <w:b/>
          <w:sz w:val="20"/>
          <w:u w:val="single"/>
        </w:rPr>
        <w:t>Wartość bazowa (tzn. wartość w momencie rozpoczęcia realizacji projektu) w przypadku każdego wskaźnika powinna być wykazana na poziomie „0”.</w:t>
      </w:r>
    </w:p>
    <w:p w:rsidR="00DF6D97" w:rsidRPr="008940B1" w:rsidRDefault="00DF6D97" w:rsidP="0076746F">
      <w:pPr>
        <w:spacing w:line="240" w:lineRule="auto"/>
        <w:jc w:val="both"/>
        <w:rPr>
          <w:rFonts w:asciiTheme="minorHAnsi" w:hAnsiTheme="minorHAnsi" w:cs="Arial"/>
          <w:b/>
          <w:sz w:val="20"/>
          <w:u w:val="single"/>
        </w:rPr>
      </w:pPr>
      <w:r w:rsidRPr="008940B1">
        <w:rPr>
          <w:rFonts w:asciiTheme="minorHAnsi" w:hAnsiTheme="minorHAnsi" w:cs="Arial"/>
          <w:b/>
          <w:sz w:val="20"/>
          <w:u w:val="single"/>
        </w:rPr>
        <w:t xml:space="preserve">O ile w umowie o dofinansowanie projektu nie wskazano inaczej, efekt wsparcia na poziomie projektu występuje: </w:t>
      </w:r>
    </w:p>
    <w:p w:rsidR="00DF6D97" w:rsidRPr="008940B1" w:rsidRDefault="00DF6D97" w:rsidP="0076746F">
      <w:pPr>
        <w:spacing w:line="240" w:lineRule="auto"/>
        <w:jc w:val="both"/>
        <w:rPr>
          <w:rFonts w:asciiTheme="minorHAnsi" w:hAnsiTheme="minorHAnsi" w:cs="Arial"/>
          <w:b/>
          <w:sz w:val="20"/>
          <w:u w:val="single"/>
        </w:rPr>
      </w:pPr>
      <w:r w:rsidRPr="008940B1">
        <w:rPr>
          <w:rFonts w:asciiTheme="minorHAnsi" w:hAnsiTheme="minorHAnsi" w:cs="Arial"/>
          <w:b/>
          <w:sz w:val="20"/>
          <w:u w:val="single"/>
        </w:rPr>
        <w:t>a) w przypadku wskaźników produktu – w okresie od podpisania umowy o dofinansowanie, przy czym osiągnięte wartości powinny zostać wykazane najpóźniej we wniosku o płatność końcową</w:t>
      </w:r>
      <w:r w:rsidR="00DB13A7">
        <w:rPr>
          <w:rFonts w:asciiTheme="minorHAnsi" w:hAnsiTheme="minorHAnsi" w:cs="Arial"/>
          <w:b/>
          <w:sz w:val="20"/>
          <w:u w:val="single"/>
        </w:rPr>
        <w:t xml:space="preserve"> </w:t>
      </w:r>
      <w:r w:rsidR="00DB13A7" w:rsidRPr="00DB13A7">
        <w:rPr>
          <w:rFonts w:asciiTheme="minorHAnsi" w:hAnsiTheme="minorHAnsi" w:cs="Arial"/>
          <w:b/>
          <w:sz w:val="20"/>
          <w:u w:val="single"/>
        </w:rPr>
        <w:t>oraz utrzymane w okresie trwałości projektu</w:t>
      </w:r>
      <w:r w:rsidRPr="008940B1">
        <w:rPr>
          <w:rFonts w:asciiTheme="minorHAnsi" w:hAnsiTheme="minorHAnsi" w:cs="Arial"/>
          <w:b/>
          <w:sz w:val="20"/>
          <w:u w:val="single"/>
        </w:rPr>
        <w:t xml:space="preserve">, </w:t>
      </w:r>
    </w:p>
    <w:p w:rsidR="00DF6D97" w:rsidRPr="008940B1" w:rsidRDefault="00DF6D97" w:rsidP="0076746F">
      <w:pPr>
        <w:spacing w:line="240" w:lineRule="auto"/>
        <w:jc w:val="both"/>
        <w:rPr>
          <w:rFonts w:asciiTheme="minorHAnsi" w:hAnsiTheme="minorHAnsi" w:cs="Arial"/>
          <w:b/>
          <w:sz w:val="20"/>
          <w:u w:val="single"/>
        </w:rPr>
      </w:pPr>
      <w:r w:rsidRPr="008940B1">
        <w:rPr>
          <w:rFonts w:asciiTheme="minorHAnsi" w:hAnsiTheme="minorHAnsi" w:cs="Arial"/>
          <w:b/>
          <w:sz w:val="20"/>
          <w:u w:val="single"/>
        </w:rPr>
        <w:t xml:space="preserve">b) w przypadku wskaźników rezultatu określonych na poziomie projektu: </w:t>
      </w:r>
    </w:p>
    <w:p w:rsidR="00DB13A7" w:rsidRPr="00DB13A7" w:rsidRDefault="00DF6D97" w:rsidP="0076746F">
      <w:pPr>
        <w:pStyle w:val="Akapitzlist"/>
        <w:numPr>
          <w:ilvl w:val="0"/>
          <w:numId w:val="6"/>
        </w:numPr>
        <w:spacing w:before="0" w:after="200" w:line="240" w:lineRule="auto"/>
        <w:ind w:left="1080"/>
        <w:contextualSpacing/>
        <w:jc w:val="both"/>
        <w:rPr>
          <w:rFonts w:ascii="Calibri" w:hAnsi="Calibri"/>
          <w:b/>
          <w:bCs/>
          <w:sz w:val="20"/>
          <w:u w:val="single"/>
        </w:rPr>
      </w:pPr>
      <w:r w:rsidRPr="00DB13A7">
        <w:rPr>
          <w:rFonts w:asciiTheme="minorHAnsi" w:hAnsiTheme="minorHAnsi" w:cs="Arial"/>
          <w:b/>
          <w:sz w:val="20"/>
          <w:u w:val="single"/>
        </w:rPr>
        <w:t xml:space="preserve">co do zasady – w okresie 12 miesięcy od zakończenia okresu realizacji projektu określonego w umowie o dofinansowaniu projektu lub, o ile wynika to ze specyfiki projektu, od uruchomienia przedsięwzięcia, </w:t>
      </w:r>
      <w:r w:rsidR="00DB13A7" w:rsidRPr="00DB13A7">
        <w:rPr>
          <w:rFonts w:ascii="Calibri" w:hAnsi="Calibri"/>
          <w:b/>
          <w:bCs/>
          <w:sz w:val="20"/>
          <w:u w:val="single"/>
        </w:rPr>
        <w:t>przy czym osiągnięte wartości wykazywane są we wniosku o płatność końcową lub jego korekcie. Wskaźniki rezultatu powinny być utrzymane w okresie trwałości projektu, lub</w:t>
      </w:r>
    </w:p>
    <w:p w:rsidR="0032765F" w:rsidRPr="00DB13A7" w:rsidRDefault="00DB13A7" w:rsidP="0076746F">
      <w:pPr>
        <w:pStyle w:val="Akapitzlist"/>
        <w:numPr>
          <w:ilvl w:val="0"/>
          <w:numId w:val="6"/>
        </w:numPr>
        <w:spacing w:before="0" w:after="200" w:line="240" w:lineRule="auto"/>
        <w:ind w:left="1080"/>
        <w:contextualSpacing/>
        <w:jc w:val="both"/>
        <w:rPr>
          <w:rFonts w:ascii="Calibri" w:hAnsi="Calibri"/>
          <w:b/>
          <w:bCs/>
          <w:sz w:val="20"/>
          <w:u w:val="single"/>
        </w:rPr>
      </w:pPr>
      <w:r w:rsidRPr="00DB13A7">
        <w:rPr>
          <w:rFonts w:ascii="Calibri" w:hAnsi="Calibri"/>
          <w:b/>
          <w:bCs/>
          <w:sz w:val="20"/>
          <w:u w:val="single"/>
        </w:rPr>
        <w:t>w okresie trwałości projektu, na zasadach określonych przez IZ RPO (w umowie o dofinansowanie projektu/decyzji o dofinansowaniu) – w przypadku wskaźników, których termin realizacji został wydłużony na wniosek Beneficjenta i za zgodą IZ RPO, jednak nie później niż do dnia 31.12.2023 r.</w:t>
      </w:r>
    </w:p>
    <w:sectPr w:rsidR="0032765F" w:rsidRPr="00DB13A7" w:rsidSect="00830641">
      <w:headerReference w:type="default" r:id="rId8"/>
      <w:footerReference w:type="default" r:id="rId9"/>
      <w:pgSz w:w="11906" w:h="16838"/>
      <w:pgMar w:top="1417" w:right="1417" w:bottom="1417" w:left="1417"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A74" w:rsidRDefault="00577A74" w:rsidP="008C495E">
      <w:pPr>
        <w:spacing w:before="0" w:line="240" w:lineRule="auto"/>
      </w:pPr>
      <w:r>
        <w:separator/>
      </w:r>
    </w:p>
  </w:endnote>
  <w:endnote w:type="continuationSeparator" w:id="0">
    <w:p w:rsidR="00577A74" w:rsidRDefault="00577A74"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490311"/>
      <w:docPartObj>
        <w:docPartGallery w:val="Page Numbers (Bottom of Page)"/>
        <w:docPartUnique/>
      </w:docPartObj>
    </w:sdtPr>
    <w:sdtEndPr>
      <w:rPr>
        <w:rFonts w:asciiTheme="minorHAnsi" w:hAnsiTheme="minorHAnsi"/>
      </w:rPr>
    </w:sdtEndPr>
    <w:sdtContent>
      <w:p w:rsidR="00830641" w:rsidRPr="00830641" w:rsidRDefault="00830641">
        <w:pPr>
          <w:pStyle w:val="Stopka"/>
          <w:jc w:val="center"/>
          <w:rPr>
            <w:rFonts w:asciiTheme="minorHAnsi" w:hAnsiTheme="minorHAnsi"/>
          </w:rPr>
        </w:pPr>
        <w:r w:rsidRPr="00830641">
          <w:rPr>
            <w:rFonts w:asciiTheme="minorHAnsi" w:hAnsiTheme="minorHAnsi"/>
          </w:rPr>
          <w:fldChar w:fldCharType="begin"/>
        </w:r>
        <w:r w:rsidRPr="00830641">
          <w:rPr>
            <w:rFonts w:asciiTheme="minorHAnsi" w:hAnsiTheme="minorHAnsi"/>
          </w:rPr>
          <w:instrText>PAGE   \* MERGEFORMAT</w:instrText>
        </w:r>
        <w:r w:rsidRPr="00830641">
          <w:rPr>
            <w:rFonts w:asciiTheme="minorHAnsi" w:hAnsiTheme="minorHAnsi"/>
          </w:rPr>
          <w:fldChar w:fldCharType="separate"/>
        </w:r>
        <w:r>
          <w:rPr>
            <w:rFonts w:asciiTheme="minorHAnsi" w:hAnsiTheme="minorHAnsi"/>
            <w:noProof/>
          </w:rPr>
          <w:t>7</w:t>
        </w:r>
        <w:r w:rsidRPr="00830641">
          <w:rPr>
            <w:rFonts w:asciiTheme="minorHAnsi" w:hAnsiTheme="minorHAnsi"/>
          </w:rPr>
          <w:fldChar w:fldCharType="end"/>
        </w:r>
      </w:p>
    </w:sdtContent>
  </w:sdt>
  <w:p w:rsidR="00830641" w:rsidRDefault="008306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A74" w:rsidRDefault="00577A74" w:rsidP="008C495E">
      <w:pPr>
        <w:spacing w:before="0" w:line="240" w:lineRule="auto"/>
      </w:pPr>
      <w:r>
        <w:separator/>
      </w:r>
    </w:p>
  </w:footnote>
  <w:footnote w:type="continuationSeparator" w:id="0">
    <w:p w:rsidR="00577A74" w:rsidRDefault="00577A74"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91C" w:rsidRDefault="00C0278F" w:rsidP="007F5A9A">
    <w:pPr>
      <w:pStyle w:val="Nagwek"/>
      <w:jc w:val="right"/>
      <w:rPr>
        <w:rFonts w:asciiTheme="minorHAnsi" w:hAnsiTheme="minorHAnsi"/>
        <w:sz w:val="20"/>
      </w:rPr>
    </w:pPr>
    <w:r>
      <w:tab/>
    </w:r>
    <w:r w:rsidRPr="00C0278F">
      <w:rPr>
        <w:rFonts w:asciiTheme="minorHAnsi" w:hAnsiTheme="minorHAnsi"/>
        <w:sz w:val="20"/>
      </w:rPr>
      <w:t xml:space="preserve">Załącznik  nr </w:t>
    </w:r>
    <w:r w:rsidR="00B65B2E">
      <w:rPr>
        <w:rFonts w:asciiTheme="minorHAnsi" w:hAnsiTheme="minorHAnsi"/>
        <w:sz w:val="20"/>
      </w:rPr>
      <w:t>2</w:t>
    </w:r>
    <w:r w:rsidRPr="00C0278F">
      <w:rPr>
        <w:rFonts w:asciiTheme="minorHAnsi" w:hAnsiTheme="minorHAnsi"/>
        <w:sz w:val="20"/>
      </w:rPr>
      <w:t xml:space="preserve"> do Regulaminu konkursu </w:t>
    </w:r>
  </w:p>
  <w:p w:rsidR="00C0278F" w:rsidRPr="007F5A9A" w:rsidRDefault="007B491C" w:rsidP="007F5A9A">
    <w:pPr>
      <w:pStyle w:val="Nagwek"/>
      <w:jc w:val="right"/>
      <w:rPr>
        <w:rFonts w:asciiTheme="minorHAnsi" w:hAnsiTheme="minorHAnsi"/>
        <w:sz w:val="20"/>
      </w:rPr>
    </w:pPr>
    <w:r w:rsidRPr="007B491C">
      <w:rPr>
        <w:rFonts w:asciiTheme="minorHAnsi" w:hAnsiTheme="minorHAnsi"/>
        <w:sz w:val="20"/>
      </w:rPr>
      <w:t xml:space="preserve">nr naboru </w:t>
    </w:r>
    <w:r w:rsidR="00A33762" w:rsidRPr="00A33762">
      <w:rPr>
        <w:rFonts w:asciiTheme="minorHAnsi" w:hAnsiTheme="minorHAnsi"/>
        <w:sz w:val="20"/>
      </w:rPr>
      <w:t>RPDS.0</w:t>
    </w:r>
    <w:r w:rsidR="00352B50">
      <w:rPr>
        <w:rFonts w:asciiTheme="minorHAnsi" w:hAnsiTheme="minorHAnsi"/>
        <w:sz w:val="20"/>
      </w:rPr>
      <w:t>3</w:t>
    </w:r>
    <w:r w:rsidR="00A33762" w:rsidRPr="00A33762">
      <w:rPr>
        <w:rFonts w:asciiTheme="minorHAnsi" w:hAnsiTheme="minorHAnsi"/>
        <w:sz w:val="20"/>
      </w:rPr>
      <w:t>.0</w:t>
    </w:r>
    <w:r w:rsidR="00352B50">
      <w:rPr>
        <w:rFonts w:asciiTheme="minorHAnsi" w:hAnsiTheme="minorHAnsi"/>
        <w:sz w:val="20"/>
      </w:rPr>
      <w:t>4</w:t>
    </w:r>
    <w:r w:rsidR="00A33762" w:rsidRPr="00A33762">
      <w:rPr>
        <w:rFonts w:asciiTheme="minorHAnsi" w:hAnsiTheme="minorHAnsi"/>
        <w:sz w:val="20"/>
      </w:rPr>
      <w:t>.02-IZ.</w:t>
    </w:r>
    <w:r w:rsidR="00A33762" w:rsidRPr="008427CD">
      <w:rPr>
        <w:rFonts w:asciiTheme="minorHAnsi" w:hAnsiTheme="minorHAnsi"/>
        <w:sz w:val="20"/>
      </w:rPr>
      <w:t>00-02-</w:t>
    </w:r>
    <w:r w:rsidR="00F77128" w:rsidRPr="008427CD">
      <w:rPr>
        <w:rFonts w:asciiTheme="minorHAnsi" w:hAnsiTheme="minorHAnsi"/>
        <w:sz w:val="20"/>
      </w:rPr>
      <w:t>384</w:t>
    </w:r>
    <w:r w:rsidR="00A33762" w:rsidRPr="008427CD">
      <w:rPr>
        <w:rFonts w:asciiTheme="minorHAnsi" w:hAnsiTheme="minorHAnsi"/>
        <w:sz w:val="20"/>
      </w:rPr>
      <w:t>/</w:t>
    </w:r>
    <w:r w:rsidR="00ED53A8" w:rsidRPr="008427CD">
      <w:rPr>
        <w:rFonts w:asciiTheme="minorHAnsi" w:hAnsiTheme="minorHAnsi"/>
        <w:sz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B10331B"/>
    <w:multiLevelType w:val="hybridMultilevel"/>
    <w:tmpl w:val="7CF431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FEB0D58"/>
    <w:multiLevelType w:val="hybridMultilevel"/>
    <w:tmpl w:val="27FEA4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8"/>
  </w:num>
  <w:num w:numId="8">
    <w:abstractNumId w:val="5"/>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95E"/>
    <w:rsid w:val="00094C3F"/>
    <w:rsid w:val="000B7AC3"/>
    <w:rsid w:val="000D0008"/>
    <w:rsid w:val="000F5C98"/>
    <w:rsid w:val="00141571"/>
    <w:rsid w:val="0015486C"/>
    <w:rsid w:val="00181054"/>
    <w:rsid w:val="0018137B"/>
    <w:rsid w:val="00191605"/>
    <w:rsid w:val="001C4F9E"/>
    <w:rsid w:val="001D1816"/>
    <w:rsid w:val="00247EDA"/>
    <w:rsid w:val="00253FAA"/>
    <w:rsid w:val="00273701"/>
    <w:rsid w:val="002972E4"/>
    <w:rsid w:val="002D5507"/>
    <w:rsid w:val="002E6E1E"/>
    <w:rsid w:val="002F3FD3"/>
    <w:rsid w:val="002F6273"/>
    <w:rsid w:val="00315984"/>
    <w:rsid w:val="00322399"/>
    <w:rsid w:val="0032765F"/>
    <w:rsid w:val="00340A6B"/>
    <w:rsid w:val="003424BF"/>
    <w:rsid w:val="00352B50"/>
    <w:rsid w:val="00370466"/>
    <w:rsid w:val="0037462D"/>
    <w:rsid w:val="00374DEB"/>
    <w:rsid w:val="003972F3"/>
    <w:rsid w:val="003B7C59"/>
    <w:rsid w:val="003C5549"/>
    <w:rsid w:val="003C55C7"/>
    <w:rsid w:val="003D2C3D"/>
    <w:rsid w:val="003D3BC5"/>
    <w:rsid w:val="0041446A"/>
    <w:rsid w:val="00421C29"/>
    <w:rsid w:val="00433A72"/>
    <w:rsid w:val="00440CD9"/>
    <w:rsid w:val="0046263E"/>
    <w:rsid w:val="00471B0C"/>
    <w:rsid w:val="00476947"/>
    <w:rsid w:val="004B303A"/>
    <w:rsid w:val="004C1A62"/>
    <w:rsid w:val="00516B06"/>
    <w:rsid w:val="00522930"/>
    <w:rsid w:val="00522C13"/>
    <w:rsid w:val="00535E8F"/>
    <w:rsid w:val="00554023"/>
    <w:rsid w:val="00555321"/>
    <w:rsid w:val="005657D8"/>
    <w:rsid w:val="00570D1E"/>
    <w:rsid w:val="00577A74"/>
    <w:rsid w:val="005E34B0"/>
    <w:rsid w:val="005F044E"/>
    <w:rsid w:val="0060140B"/>
    <w:rsid w:val="00620A45"/>
    <w:rsid w:val="00635DB0"/>
    <w:rsid w:val="0063731A"/>
    <w:rsid w:val="006455F0"/>
    <w:rsid w:val="0068088E"/>
    <w:rsid w:val="006A09F0"/>
    <w:rsid w:val="006C652C"/>
    <w:rsid w:val="00701E65"/>
    <w:rsid w:val="00704612"/>
    <w:rsid w:val="00704B1F"/>
    <w:rsid w:val="00723BBC"/>
    <w:rsid w:val="007300ED"/>
    <w:rsid w:val="00741B27"/>
    <w:rsid w:val="007650AC"/>
    <w:rsid w:val="0076746F"/>
    <w:rsid w:val="00782B3D"/>
    <w:rsid w:val="00785000"/>
    <w:rsid w:val="00787387"/>
    <w:rsid w:val="007910C4"/>
    <w:rsid w:val="007A172C"/>
    <w:rsid w:val="007B491C"/>
    <w:rsid w:val="007D1CF1"/>
    <w:rsid w:val="007D7DE7"/>
    <w:rsid w:val="007E025A"/>
    <w:rsid w:val="007E2D2C"/>
    <w:rsid w:val="007E6D53"/>
    <w:rsid w:val="007F5A9A"/>
    <w:rsid w:val="00821152"/>
    <w:rsid w:val="00822185"/>
    <w:rsid w:val="00830641"/>
    <w:rsid w:val="0083716C"/>
    <w:rsid w:val="008427CD"/>
    <w:rsid w:val="008940B1"/>
    <w:rsid w:val="008A09D1"/>
    <w:rsid w:val="008A195C"/>
    <w:rsid w:val="008B21E1"/>
    <w:rsid w:val="008B73B1"/>
    <w:rsid w:val="008C495E"/>
    <w:rsid w:val="008E3F0D"/>
    <w:rsid w:val="009024D3"/>
    <w:rsid w:val="00911273"/>
    <w:rsid w:val="009456DB"/>
    <w:rsid w:val="00965BB1"/>
    <w:rsid w:val="00970181"/>
    <w:rsid w:val="009D3C56"/>
    <w:rsid w:val="009E60AF"/>
    <w:rsid w:val="009E65D0"/>
    <w:rsid w:val="009F121E"/>
    <w:rsid w:val="00A25539"/>
    <w:rsid w:val="00A33762"/>
    <w:rsid w:val="00A545DA"/>
    <w:rsid w:val="00A81480"/>
    <w:rsid w:val="00A816DE"/>
    <w:rsid w:val="00A87308"/>
    <w:rsid w:val="00AA0801"/>
    <w:rsid w:val="00AD2437"/>
    <w:rsid w:val="00AF1D78"/>
    <w:rsid w:val="00AF7EBE"/>
    <w:rsid w:val="00B204DD"/>
    <w:rsid w:val="00B235B0"/>
    <w:rsid w:val="00B65B2E"/>
    <w:rsid w:val="00B80838"/>
    <w:rsid w:val="00B840A9"/>
    <w:rsid w:val="00BA2582"/>
    <w:rsid w:val="00BB367B"/>
    <w:rsid w:val="00BC03CE"/>
    <w:rsid w:val="00BC18C8"/>
    <w:rsid w:val="00BD1CC9"/>
    <w:rsid w:val="00C0278F"/>
    <w:rsid w:val="00C10532"/>
    <w:rsid w:val="00C357EC"/>
    <w:rsid w:val="00C40E8D"/>
    <w:rsid w:val="00C90F5E"/>
    <w:rsid w:val="00C912B2"/>
    <w:rsid w:val="00CC7758"/>
    <w:rsid w:val="00CF69D1"/>
    <w:rsid w:val="00D03CAB"/>
    <w:rsid w:val="00D11CB4"/>
    <w:rsid w:val="00D11D19"/>
    <w:rsid w:val="00D11E26"/>
    <w:rsid w:val="00D5098A"/>
    <w:rsid w:val="00D56A03"/>
    <w:rsid w:val="00D56E5D"/>
    <w:rsid w:val="00D93881"/>
    <w:rsid w:val="00DB13A7"/>
    <w:rsid w:val="00DF6D97"/>
    <w:rsid w:val="00E13197"/>
    <w:rsid w:val="00E32B6F"/>
    <w:rsid w:val="00E61834"/>
    <w:rsid w:val="00E72468"/>
    <w:rsid w:val="00E83262"/>
    <w:rsid w:val="00E90CA0"/>
    <w:rsid w:val="00E9718E"/>
    <w:rsid w:val="00E97A52"/>
    <w:rsid w:val="00EB34D2"/>
    <w:rsid w:val="00ED53A8"/>
    <w:rsid w:val="00EE0005"/>
    <w:rsid w:val="00F0154B"/>
    <w:rsid w:val="00F02218"/>
    <w:rsid w:val="00F11106"/>
    <w:rsid w:val="00F223FC"/>
    <w:rsid w:val="00F77128"/>
    <w:rsid w:val="00F81827"/>
    <w:rsid w:val="00FA51D7"/>
    <w:rsid w:val="00FC6B1D"/>
    <w:rsid w:val="00FD702E"/>
    <w:rsid w:val="00FE7C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0292B"/>
  <w15:docId w15:val="{9693512F-AFF2-4468-83B9-DF1A2EA5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 w:id="2023388468">
      <w:bodyDiv w:val="1"/>
      <w:marLeft w:val="0"/>
      <w:marRight w:val="0"/>
      <w:marTop w:val="0"/>
      <w:marBottom w:val="0"/>
      <w:divBdr>
        <w:top w:val="none" w:sz="0" w:space="0" w:color="auto"/>
        <w:left w:val="none" w:sz="0" w:space="0" w:color="auto"/>
        <w:bottom w:val="none" w:sz="0" w:space="0" w:color="auto"/>
        <w:right w:val="none" w:sz="0" w:space="0" w:color="auto"/>
      </w:divBdr>
      <w:divsChild>
        <w:div w:id="472869475">
          <w:marLeft w:val="0"/>
          <w:marRight w:val="0"/>
          <w:marTop w:val="0"/>
          <w:marBottom w:val="0"/>
          <w:divBdr>
            <w:top w:val="none" w:sz="0" w:space="0" w:color="auto"/>
            <w:left w:val="none" w:sz="0" w:space="0" w:color="auto"/>
            <w:bottom w:val="none" w:sz="0" w:space="0" w:color="auto"/>
            <w:right w:val="none" w:sz="0" w:space="0" w:color="auto"/>
          </w:divBdr>
          <w:divsChild>
            <w:div w:id="18403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70B13-D47D-4044-A1BB-3D2B79CF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3271</Words>
  <Characters>19629</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49</cp:revision>
  <cp:lastPrinted>2018-09-19T10:49:00Z</cp:lastPrinted>
  <dcterms:created xsi:type="dcterms:W3CDTF">2017-03-03T07:55:00Z</dcterms:created>
  <dcterms:modified xsi:type="dcterms:W3CDTF">2020-02-17T13:53:00Z</dcterms:modified>
</cp:coreProperties>
</file>