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D1331" w14:textId="77777777" w:rsidR="00890C4C" w:rsidRPr="00633E1B" w:rsidRDefault="00890C4C" w:rsidP="00F56C82">
      <w:pPr>
        <w:pStyle w:val="Nagwek"/>
        <w:tabs>
          <w:tab w:val="clear" w:pos="4536"/>
        </w:tabs>
        <w:spacing w:before="120" w:after="120"/>
        <w:rPr>
          <w:rFonts w:cstheme="minorHAnsi"/>
          <w:b/>
          <w:sz w:val="24"/>
          <w:szCs w:val="24"/>
        </w:rPr>
      </w:pPr>
      <w:bookmarkStart w:id="0" w:name="_GoBack"/>
      <w:r w:rsidRPr="00633E1B">
        <w:rPr>
          <w:rFonts w:cstheme="minorHAnsi"/>
          <w:noProof/>
          <w:sz w:val="24"/>
          <w:szCs w:val="24"/>
          <w:lang w:eastAsia="pl-PL"/>
        </w:rPr>
        <w:drawing>
          <wp:anchor distT="0" distB="0" distL="114300" distR="114300" simplePos="0" relativeHeight="251658240" behindDoc="1" locked="0" layoutInCell="1" allowOverlap="1" wp14:anchorId="4C76853E" wp14:editId="79E2779B">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773634F6" w14:textId="77777777" w:rsidR="002533D1" w:rsidRPr="00633E1B" w:rsidRDefault="002533D1" w:rsidP="00F56C82">
      <w:pPr>
        <w:spacing w:line="360" w:lineRule="auto"/>
        <w:rPr>
          <w:rFonts w:cstheme="minorHAnsi"/>
          <w:b/>
          <w:sz w:val="24"/>
          <w:szCs w:val="24"/>
        </w:rPr>
      </w:pPr>
    </w:p>
    <w:p w14:paraId="759AAC70" w14:textId="77777777" w:rsidR="00594CA5" w:rsidRPr="00633E1B" w:rsidRDefault="00104A3E" w:rsidP="00F56C82">
      <w:pPr>
        <w:autoSpaceDE w:val="0"/>
        <w:spacing w:line="360" w:lineRule="auto"/>
        <w:ind w:left="770"/>
        <w:contextualSpacing/>
        <w:rPr>
          <w:rFonts w:cstheme="minorHAnsi"/>
          <w:b/>
          <w:sz w:val="24"/>
          <w:szCs w:val="24"/>
        </w:rPr>
      </w:pPr>
      <w:r w:rsidRPr="00633E1B">
        <w:rPr>
          <w:rFonts w:cstheme="minorHAnsi"/>
          <w:b/>
          <w:sz w:val="24"/>
          <w:szCs w:val="24"/>
        </w:rPr>
        <w:t xml:space="preserve">Zarząd Województwa Dolnośląskiego, pełniący funkcję </w:t>
      </w:r>
    </w:p>
    <w:p w14:paraId="49D63441" w14:textId="77777777" w:rsidR="00104A3E" w:rsidRPr="00633E1B" w:rsidRDefault="00104A3E" w:rsidP="00F56C82">
      <w:pPr>
        <w:autoSpaceDE w:val="0"/>
        <w:spacing w:after="120" w:line="360" w:lineRule="auto"/>
        <w:ind w:left="771"/>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p w14:paraId="399F8D49" w14:textId="77777777" w:rsidR="008C79E0" w:rsidRPr="00633E1B" w:rsidRDefault="008C79E0" w:rsidP="00F56C82">
      <w:pPr>
        <w:autoSpaceDE w:val="0"/>
        <w:spacing w:line="360" w:lineRule="auto"/>
        <w:contextualSpacing/>
        <w:rPr>
          <w:rFonts w:cstheme="minorHAnsi"/>
          <w:b/>
          <w:bCs/>
          <w:sz w:val="24"/>
          <w:szCs w:val="24"/>
        </w:rPr>
      </w:pPr>
      <w:r w:rsidRPr="00633E1B">
        <w:rPr>
          <w:rFonts w:cstheme="minorHAnsi"/>
          <w:b/>
          <w:bCs/>
          <w:sz w:val="24"/>
          <w:szCs w:val="24"/>
        </w:rPr>
        <w:t>ogłasza nabór wniosków o dofinansowanie realizacji projektów</w:t>
      </w:r>
    </w:p>
    <w:p w14:paraId="38FC0409" w14:textId="77777777" w:rsidR="008C79E0" w:rsidRPr="00633E1B" w:rsidRDefault="008C79E0" w:rsidP="00F56C82">
      <w:pPr>
        <w:autoSpaceDE w:val="0"/>
        <w:spacing w:line="360" w:lineRule="auto"/>
        <w:contextualSpacing/>
        <w:rPr>
          <w:rFonts w:cstheme="minorHAnsi"/>
          <w:b/>
          <w:bCs/>
          <w:sz w:val="24"/>
          <w:szCs w:val="24"/>
        </w:rPr>
      </w:pPr>
      <w:r w:rsidRPr="00633E1B">
        <w:rPr>
          <w:rFonts w:cstheme="minorHAnsi"/>
          <w:b/>
          <w:bCs/>
          <w:sz w:val="24"/>
          <w:szCs w:val="24"/>
        </w:rPr>
        <w:t>ze środków Europejskiego Funduszu Rozwoju Regionalnego</w:t>
      </w:r>
    </w:p>
    <w:p w14:paraId="373390EE" w14:textId="77777777" w:rsidR="008C79E0" w:rsidRPr="00633E1B" w:rsidRDefault="008C79E0" w:rsidP="00F56C82">
      <w:pPr>
        <w:autoSpaceDE w:val="0"/>
        <w:spacing w:before="240" w:after="120" w:line="360" w:lineRule="auto"/>
        <w:rPr>
          <w:rFonts w:cstheme="minorHAnsi"/>
          <w:b/>
          <w:bCs/>
          <w:sz w:val="24"/>
          <w:szCs w:val="24"/>
        </w:rPr>
      </w:pPr>
      <w:r w:rsidRPr="00633E1B">
        <w:rPr>
          <w:rFonts w:cstheme="minorHAnsi"/>
          <w:b/>
          <w:bCs/>
          <w:sz w:val="24"/>
          <w:szCs w:val="24"/>
        </w:rPr>
        <w:t>w  ramach Regionalnego Programu Operacyjnego Województwa Dolnośląskiego 2014-2020</w:t>
      </w:r>
    </w:p>
    <w:p w14:paraId="504BD520" w14:textId="77777777" w:rsidR="00FA3BA0" w:rsidRDefault="00FA3BA0" w:rsidP="00F56C82">
      <w:pPr>
        <w:spacing w:before="240" w:after="0" w:line="240" w:lineRule="auto"/>
        <w:rPr>
          <w:rFonts w:cstheme="minorHAnsi"/>
          <w:b/>
          <w:sz w:val="24"/>
          <w:szCs w:val="24"/>
        </w:rPr>
      </w:pPr>
    </w:p>
    <w:p w14:paraId="083BFE3A" w14:textId="77777777" w:rsidR="001666BC" w:rsidRPr="001666BC" w:rsidRDefault="001666BC" w:rsidP="00F56C82">
      <w:pPr>
        <w:spacing w:before="240" w:after="0" w:line="240" w:lineRule="auto"/>
        <w:rPr>
          <w:rFonts w:cstheme="minorHAnsi"/>
          <w:b/>
          <w:sz w:val="24"/>
          <w:szCs w:val="24"/>
        </w:rPr>
      </w:pPr>
      <w:r w:rsidRPr="001666BC">
        <w:rPr>
          <w:rFonts w:cstheme="minorHAnsi"/>
          <w:b/>
          <w:sz w:val="24"/>
          <w:szCs w:val="24"/>
        </w:rPr>
        <w:t>Oś priorytetowa 3 Gospodarka niskoemisyjna</w:t>
      </w:r>
    </w:p>
    <w:p w14:paraId="0094A322" w14:textId="77777777" w:rsidR="001666BC" w:rsidRPr="001666BC" w:rsidRDefault="001666BC" w:rsidP="00F56C82">
      <w:pPr>
        <w:spacing w:before="240" w:after="0" w:line="240" w:lineRule="auto"/>
        <w:rPr>
          <w:rFonts w:cstheme="minorHAnsi"/>
          <w:b/>
          <w:sz w:val="24"/>
          <w:szCs w:val="24"/>
        </w:rPr>
      </w:pPr>
      <w:r w:rsidRPr="001666BC">
        <w:rPr>
          <w:rFonts w:cstheme="minorHAnsi"/>
          <w:b/>
          <w:sz w:val="24"/>
          <w:szCs w:val="24"/>
        </w:rPr>
        <w:t>Działanie 3.4 Wdrażanie strategii niskoemisyjnych</w:t>
      </w:r>
    </w:p>
    <w:p w14:paraId="6142FB55" w14:textId="77777777" w:rsidR="001666BC" w:rsidRDefault="001666BC" w:rsidP="00F56C82">
      <w:pPr>
        <w:spacing w:before="240" w:after="0" w:line="240" w:lineRule="auto"/>
        <w:rPr>
          <w:rFonts w:cstheme="minorHAnsi"/>
          <w:b/>
          <w:sz w:val="24"/>
          <w:szCs w:val="24"/>
        </w:rPr>
      </w:pPr>
      <w:r w:rsidRPr="001666BC">
        <w:rPr>
          <w:rFonts w:cstheme="minorHAnsi"/>
          <w:b/>
          <w:sz w:val="24"/>
          <w:szCs w:val="24"/>
        </w:rPr>
        <w:t xml:space="preserve">Poddziałanie 3.4.2 Wdrażanie strategii niskoemisyjnych – ZIT </w:t>
      </w:r>
      <w:proofErr w:type="spellStart"/>
      <w:r w:rsidRPr="001666BC">
        <w:rPr>
          <w:rFonts w:cstheme="minorHAnsi"/>
          <w:b/>
          <w:sz w:val="24"/>
          <w:szCs w:val="24"/>
        </w:rPr>
        <w:t>WrOF</w:t>
      </w:r>
      <w:proofErr w:type="spellEnd"/>
    </w:p>
    <w:p w14:paraId="61B0DD9F" w14:textId="77777777" w:rsidR="00381EA1" w:rsidRPr="001666BC" w:rsidRDefault="00381EA1" w:rsidP="00F56C82">
      <w:pPr>
        <w:spacing w:before="240" w:after="0" w:line="240" w:lineRule="auto"/>
        <w:rPr>
          <w:rFonts w:cstheme="minorHAnsi"/>
          <w:b/>
          <w:sz w:val="24"/>
          <w:szCs w:val="24"/>
        </w:rPr>
      </w:pPr>
    </w:p>
    <w:p w14:paraId="5932F7B9" w14:textId="77777777" w:rsidR="001666BC" w:rsidRPr="001666BC" w:rsidRDefault="001666BC" w:rsidP="00F56C82">
      <w:pPr>
        <w:spacing w:after="0" w:line="240" w:lineRule="auto"/>
        <w:rPr>
          <w:rFonts w:cstheme="minorHAnsi"/>
          <w:b/>
          <w:sz w:val="24"/>
          <w:szCs w:val="24"/>
        </w:rPr>
      </w:pPr>
    </w:p>
    <w:p w14:paraId="135661AE" w14:textId="77777777" w:rsidR="001666BC" w:rsidRPr="001666BC" w:rsidRDefault="001666BC" w:rsidP="00F56C82">
      <w:pPr>
        <w:spacing w:after="0" w:line="240" w:lineRule="auto"/>
        <w:rPr>
          <w:rFonts w:cstheme="minorHAnsi"/>
          <w:b/>
          <w:sz w:val="24"/>
          <w:szCs w:val="24"/>
        </w:rPr>
      </w:pPr>
      <w:r w:rsidRPr="001666BC">
        <w:rPr>
          <w:rFonts w:cstheme="minorHAnsi"/>
          <w:b/>
          <w:sz w:val="24"/>
          <w:szCs w:val="24"/>
        </w:rPr>
        <w:t>3.4 b inwestycje ograniczające indywidualny ruch zmotoryzowany w centrach miast np. P&amp;R, B&amp;R, zintegrowane centra przesiadkowe, stacje ładowania pojazdów elektrycznych, stacje tankowania paliw alternatywnych (np. CNG, LNG, LPG), wspólny bilet</w:t>
      </w:r>
    </w:p>
    <w:p w14:paraId="73EE1225" w14:textId="77777777" w:rsidR="00594CA5" w:rsidRPr="00633E1B" w:rsidRDefault="001666BC" w:rsidP="00F56C82">
      <w:pPr>
        <w:spacing w:line="240" w:lineRule="auto"/>
        <w:rPr>
          <w:rFonts w:cstheme="minorHAnsi"/>
          <w:b/>
          <w:sz w:val="24"/>
          <w:szCs w:val="24"/>
        </w:rPr>
      </w:pPr>
      <w:r w:rsidRPr="001666BC">
        <w:rPr>
          <w:rFonts w:cstheme="minorHAnsi"/>
          <w:b/>
          <w:sz w:val="24"/>
          <w:szCs w:val="24"/>
        </w:rPr>
        <w:t>3.4 d inwestycje ograniczające indywidualny ruch zmotoryzowany w centrach miast: drogi rowerowe, ciągi pieszo – rowerowe</w:t>
      </w:r>
    </w:p>
    <w:p w14:paraId="0F3B0FA7" w14:textId="77777777" w:rsidR="00594CA5" w:rsidRPr="00633E1B" w:rsidRDefault="00594CA5" w:rsidP="00F56C82">
      <w:pPr>
        <w:spacing w:after="120" w:line="360" w:lineRule="auto"/>
        <w:rPr>
          <w:rFonts w:cstheme="minorHAnsi"/>
          <w:b/>
          <w:sz w:val="24"/>
          <w:szCs w:val="24"/>
        </w:rPr>
      </w:pPr>
      <w:r w:rsidRPr="00633E1B">
        <w:rPr>
          <w:rFonts w:cstheme="minorHAnsi"/>
          <w:b/>
          <w:sz w:val="24"/>
          <w:szCs w:val="24"/>
        </w:rPr>
        <w:t>Nr naboru RPDS.0</w:t>
      </w:r>
      <w:r w:rsidR="001666BC">
        <w:rPr>
          <w:rFonts w:cstheme="minorHAnsi"/>
          <w:b/>
          <w:sz w:val="24"/>
          <w:szCs w:val="24"/>
        </w:rPr>
        <w:t>3</w:t>
      </w:r>
      <w:r w:rsidRPr="00633E1B">
        <w:rPr>
          <w:rFonts w:cstheme="minorHAnsi"/>
          <w:b/>
          <w:sz w:val="24"/>
          <w:szCs w:val="24"/>
        </w:rPr>
        <w:t>.0</w:t>
      </w:r>
      <w:r w:rsidR="001666BC">
        <w:rPr>
          <w:rFonts w:cstheme="minorHAnsi"/>
          <w:b/>
          <w:sz w:val="24"/>
          <w:szCs w:val="24"/>
        </w:rPr>
        <w:t>4</w:t>
      </w:r>
      <w:r w:rsidRPr="00633E1B">
        <w:rPr>
          <w:rFonts w:cstheme="minorHAnsi"/>
          <w:b/>
          <w:sz w:val="24"/>
          <w:szCs w:val="24"/>
        </w:rPr>
        <w:t>.0</w:t>
      </w:r>
      <w:r w:rsidR="001666BC">
        <w:rPr>
          <w:rFonts w:cstheme="minorHAnsi"/>
          <w:b/>
          <w:sz w:val="24"/>
          <w:szCs w:val="24"/>
        </w:rPr>
        <w:t>2</w:t>
      </w:r>
      <w:r w:rsidRPr="00633E1B">
        <w:rPr>
          <w:rFonts w:cstheme="minorHAnsi"/>
          <w:b/>
          <w:sz w:val="24"/>
          <w:szCs w:val="24"/>
        </w:rPr>
        <w:t>-IZ.00-02-3</w:t>
      </w:r>
      <w:r w:rsidR="001666BC">
        <w:rPr>
          <w:rFonts w:cstheme="minorHAnsi"/>
          <w:b/>
          <w:sz w:val="24"/>
          <w:szCs w:val="24"/>
        </w:rPr>
        <w:t>84</w:t>
      </w:r>
      <w:r w:rsidRPr="00633E1B">
        <w:rPr>
          <w:rFonts w:cstheme="minorHAnsi"/>
          <w:b/>
          <w:sz w:val="24"/>
          <w:szCs w:val="24"/>
        </w:rPr>
        <w:t>/</w:t>
      </w:r>
      <w:r w:rsidR="001666BC">
        <w:rPr>
          <w:rFonts w:cstheme="minorHAnsi"/>
          <w:b/>
          <w:sz w:val="24"/>
          <w:szCs w:val="24"/>
        </w:rPr>
        <w:t>20</w:t>
      </w:r>
    </w:p>
    <w:p w14:paraId="67D43708" w14:textId="77777777" w:rsidR="00381EA1" w:rsidRDefault="00381EA1" w:rsidP="00F56C82">
      <w:pPr>
        <w:spacing w:after="0" w:line="360" w:lineRule="auto"/>
        <w:rPr>
          <w:rFonts w:cstheme="minorHAnsi"/>
          <w:sz w:val="24"/>
          <w:szCs w:val="24"/>
        </w:rPr>
      </w:pPr>
    </w:p>
    <w:p w14:paraId="5350250B" w14:textId="77777777" w:rsidR="00381EA1" w:rsidRDefault="00381EA1" w:rsidP="00F56C82">
      <w:pPr>
        <w:spacing w:after="0" w:line="360" w:lineRule="auto"/>
        <w:rPr>
          <w:rFonts w:cstheme="minorHAnsi"/>
          <w:sz w:val="24"/>
          <w:szCs w:val="24"/>
        </w:rPr>
      </w:pPr>
    </w:p>
    <w:p w14:paraId="44A9E97E" w14:textId="77777777" w:rsidR="00381EA1" w:rsidRDefault="00381EA1" w:rsidP="00F56C82">
      <w:pPr>
        <w:spacing w:after="0" w:line="360" w:lineRule="auto"/>
        <w:rPr>
          <w:rFonts w:cstheme="minorHAnsi"/>
          <w:sz w:val="24"/>
          <w:szCs w:val="24"/>
        </w:rPr>
      </w:pPr>
    </w:p>
    <w:p w14:paraId="456F6017" w14:textId="77777777" w:rsidR="001666BC" w:rsidRDefault="00594CA5" w:rsidP="00F56C82">
      <w:pPr>
        <w:spacing w:after="0" w:line="360" w:lineRule="auto"/>
        <w:rPr>
          <w:rFonts w:cstheme="minorHAnsi"/>
          <w:sz w:val="24"/>
          <w:szCs w:val="24"/>
        </w:rPr>
      </w:pPr>
      <w:r w:rsidRPr="00633E1B">
        <w:rPr>
          <w:rFonts w:cstheme="minorHAnsi"/>
          <w:sz w:val="24"/>
          <w:szCs w:val="24"/>
        </w:rPr>
        <w:t xml:space="preserve">Wrocław, </w:t>
      </w:r>
      <w:r w:rsidR="001666BC">
        <w:rPr>
          <w:rFonts w:cstheme="minorHAnsi"/>
          <w:sz w:val="24"/>
          <w:szCs w:val="24"/>
        </w:rPr>
        <w:t xml:space="preserve">luty </w:t>
      </w:r>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14:paraId="5CC6199C" w14:textId="77777777" w:rsidR="001666BC" w:rsidRDefault="001666BC" w:rsidP="00F56C82">
      <w:pPr>
        <w:rPr>
          <w:rFonts w:cstheme="minorHAnsi"/>
          <w:sz w:val="24"/>
          <w:szCs w:val="24"/>
        </w:rPr>
      </w:pPr>
      <w:r>
        <w:rPr>
          <w:rFonts w:cstheme="minorHAnsi"/>
          <w:sz w:val="24"/>
          <w:szCs w:val="24"/>
        </w:rPr>
        <w:br w:type="page"/>
      </w:r>
    </w:p>
    <w:p w14:paraId="36D16BE9" w14:textId="77777777" w:rsidR="00594CA5" w:rsidRPr="00633E1B" w:rsidRDefault="00594CA5" w:rsidP="00F56C82">
      <w:pPr>
        <w:spacing w:after="0" w:line="360" w:lineRule="auto"/>
        <w:rPr>
          <w:rFonts w:cstheme="minorHAnsi"/>
          <w:b/>
          <w:sz w:val="24"/>
          <w:szCs w:val="24"/>
        </w:rPr>
      </w:pPr>
    </w:p>
    <w:p w14:paraId="1B259540" w14:textId="77777777" w:rsidR="009938A4" w:rsidRPr="00633E1B" w:rsidRDefault="001F3778" w:rsidP="00F56C82">
      <w:pPr>
        <w:pStyle w:val="Nagwek1"/>
        <w:spacing w:before="0" w:after="0" w:line="36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14:paraId="0BDB764B" w14:textId="77777777" w:rsidR="00381EA1" w:rsidRPr="00381EA1" w:rsidRDefault="00B730C8" w:rsidP="00F56C82">
      <w:pPr>
        <w:spacing w:after="0" w:line="360" w:lineRule="auto"/>
        <w:rPr>
          <w:rFonts w:cstheme="minorHAnsi"/>
          <w:sz w:val="24"/>
          <w:szCs w:val="24"/>
          <w:highlight w:val="lightGray"/>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w:t>
      </w:r>
      <w:r w:rsidRPr="00381EA1">
        <w:rPr>
          <w:rFonts w:cstheme="minorHAnsi"/>
          <w:sz w:val="24"/>
          <w:szCs w:val="24"/>
        </w:rPr>
        <w:t xml:space="preserve">przygotowywania wniosków o dofinansowanie realizacji projektu w ramach Regionalnego Programu Operacyjnego Województwa Dolnośląskiego 2014-2020 – </w:t>
      </w:r>
      <w:r w:rsidR="00381EA1" w:rsidRPr="00381EA1">
        <w:rPr>
          <w:rFonts w:cstheme="minorHAnsi"/>
          <w:sz w:val="24"/>
          <w:szCs w:val="24"/>
        </w:rPr>
        <w:t xml:space="preserve">Oś priorytetowa 3 Gospodarka niskoemisyjna, Działanie 3.4 </w:t>
      </w:r>
      <w:r w:rsidR="00381EA1" w:rsidRPr="00381EA1">
        <w:rPr>
          <w:rFonts w:cs="Arial"/>
          <w:sz w:val="24"/>
          <w:szCs w:val="24"/>
        </w:rPr>
        <w:t>Wdrażanie strategii niskoemisyjnych</w:t>
      </w:r>
      <w:r w:rsidR="00381EA1" w:rsidRPr="00381EA1">
        <w:rPr>
          <w:rFonts w:cstheme="minorHAnsi"/>
          <w:sz w:val="24"/>
          <w:szCs w:val="24"/>
        </w:rPr>
        <w:t xml:space="preserve">, </w:t>
      </w:r>
      <w:r w:rsidR="00381EA1" w:rsidRPr="00381EA1">
        <w:rPr>
          <w:rFonts w:cstheme="minorHAnsi"/>
          <w:b/>
          <w:bCs/>
          <w:sz w:val="24"/>
          <w:szCs w:val="24"/>
        </w:rPr>
        <w:t xml:space="preserve">Poddziałanie 3.4.2 Wdrażanie strategii niskoemisyjnych – ZIT </w:t>
      </w:r>
      <w:proofErr w:type="spellStart"/>
      <w:r w:rsidR="00381EA1" w:rsidRPr="00381EA1">
        <w:rPr>
          <w:rFonts w:cstheme="minorHAnsi"/>
          <w:b/>
          <w:bCs/>
          <w:sz w:val="24"/>
          <w:szCs w:val="24"/>
        </w:rPr>
        <w:t>WrOF</w:t>
      </w:r>
      <w:proofErr w:type="spellEnd"/>
    </w:p>
    <w:p w14:paraId="7D55DE01" w14:textId="77777777" w:rsidR="00B730C8" w:rsidRPr="00B730C8" w:rsidRDefault="00B730C8" w:rsidP="00F56C82">
      <w:pPr>
        <w:tabs>
          <w:tab w:val="left" w:pos="2835"/>
        </w:tabs>
        <w:spacing w:line="36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oraz na portalu Funduszy Europejskich: http://www.funduszeeuropejskie.gov.pl.</w:t>
      </w:r>
    </w:p>
    <w:p w14:paraId="6232C67F" w14:textId="77777777" w:rsidR="00B730C8" w:rsidRPr="00B730C8" w:rsidRDefault="00B730C8" w:rsidP="00F56C82">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50F5D2F9" w14:textId="77777777" w:rsidR="00B730C8" w:rsidRPr="00B730C8" w:rsidRDefault="00B730C8" w:rsidP="00F56C82">
      <w:pPr>
        <w:tabs>
          <w:tab w:val="left" w:pos="2835"/>
        </w:tabs>
        <w:spacing w:line="36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01AB7653" w14:textId="77777777" w:rsidR="00B730C8" w:rsidRPr="00B730C8" w:rsidRDefault="00B730C8" w:rsidP="00F56C82">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9E6F5CB" w14:textId="77777777" w:rsidR="00B730C8" w:rsidRPr="00B730C8" w:rsidRDefault="00B730C8" w:rsidP="00F56C82">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702399" w14:textId="77777777" w:rsidR="00B730C8" w:rsidRPr="00B730C8" w:rsidRDefault="00B730C8" w:rsidP="00F56C82">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15126D91" w14:textId="77777777" w:rsidR="008B25A2" w:rsidRDefault="008B25A2" w:rsidP="00F56C82">
      <w:pPr>
        <w:tabs>
          <w:tab w:val="left" w:pos="2835"/>
        </w:tabs>
        <w:spacing w:line="360" w:lineRule="auto"/>
        <w:rPr>
          <w:rFonts w:cstheme="minorHAnsi"/>
          <w:b/>
          <w:bCs/>
          <w:sz w:val="24"/>
          <w:szCs w:val="24"/>
        </w:rPr>
      </w:pPr>
    </w:p>
    <w:p w14:paraId="7F020400" w14:textId="77777777" w:rsidR="009938A4" w:rsidRPr="00633E1B" w:rsidRDefault="001F3778" w:rsidP="00F56C82">
      <w:pPr>
        <w:tabs>
          <w:tab w:val="left" w:pos="2835"/>
        </w:tabs>
        <w:spacing w:line="360" w:lineRule="auto"/>
        <w:rPr>
          <w:rFonts w:cstheme="minorHAnsi"/>
          <w:b/>
          <w:bCs/>
          <w:sz w:val="24"/>
          <w:szCs w:val="24"/>
        </w:rPr>
      </w:pPr>
      <w:r w:rsidRPr="00633E1B">
        <w:rPr>
          <w:rFonts w:cstheme="minorHAnsi"/>
          <w:b/>
          <w:bCs/>
          <w:sz w:val="24"/>
          <w:szCs w:val="24"/>
        </w:rPr>
        <w:lastRenderedPageBreak/>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0B607A46" w14:textId="77777777" w:rsidR="00381EA1" w:rsidRPr="00381EA1" w:rsidRDefault="00381EA1" w:rsidP="00F56C82">
      <w:pPr>
        <w:spacing w:after="0" w:line="36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14:paraId="0F3F9617" w14:textId="77777777" w:rsidR="00381EA1" w:rsidRPr="00381EA1" w:rsidRDefault="00381EA1" w:rsidP="00F56C82">
      <w:pPr>
        <w:spacing w:after="0" w:line="360" w:lineRule="auto"/>
        <w:rPr>
          <w:rFonts w:cstheme="minorHAnsi"/>
          <w:sz w:val="24"/>
          <w:szCs w:val="24"/>
        </w:rPr>
      </w:pPr>
    </w:p>
    <w:p w14:paraId="156DAED9" w14:textId="77777777" w:rsidR="00381EA1" w:rsidRPr="00381EA1" w:rsidRDefault="00381EA1" w:rsidP="00F56C82">
      <w:pPr>
        <w:spacing w:after="0" w:line="360" w:lineRule="auto"/>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14:paraId="2BD9810B" w14:textId="77777777" w:rsidR="00381EA1" w:rsidRPr="00381EA1" w:rsidRDefault="00381EA1" w:rsidP="00F56C82">
      <w:pPr>
        <w:spacing w:after="0" w:line="360" w:lineRule="auto"/>
        <w:rPr>
          <w:rFonts w:cstheme="minorHAnsi"/>
          <w:sz w:val="24"/>
          <w:szCs w:val="24"/>
        </w:rPr>
      </w:pPr>
      <w:r w:rsidRPr="00381EA1">
        <w:rPr>
          <w:rFonts w:cstheme="minorHAnsi"/>
          <w:sz w:val="24"/>
          <w:szCs w:val="24"/>
        </w:rPr>
        <w:t>oraz</w:t>
      </w:r>
    </w:p>
    <w:p w14:paraId="52383E0A" w14:textId="77777777" w:rsidR="000565B1" w:rsidRPr="00633E1B" w:rsidRDefault="00381EA1" w:rsidP="00F56C82">
      <w:pPr>
        <w:spacing w:after="0" w:line="360" w:lineRule="auto"/>
        <w:rPr>
          <w:rFonts w:cstheme="minorHAnsi"/>
          <w:sz w:val="24"/>
          <w:szCs w:val="24"/>
        </w:rPr>
      </w:pPr>
      <w:r w:rsidRPr="00381EA1">
        <w:rPr>
          <w:rFonts w:cstheme="minorHAnsi"/>
          <w:sz w:val="24"/>
          <w:szCs w:val="24"/>
        </w:rPr>
        <w:t>Gmina Wrocław pełniąca funkcję Instytucji Pośredniczącej, pl. Nowy Targ 1-8, kod pocztowy 50-141 Wrocław.</w:t>
      </w:r>
    </w:p>
    <w:p w14:paraId="52B0E491" w14:textId="77777777" w:rsidR="008B25A2" w:rsidRDefault="008B25A2" w:rsidP="00F56C82">
      <w:pPr>
        <w:tabs>
          <w:tab w:val="left" w:pos="2835"/>
        </w:tabs>
        <w:spacing w:line="360" w:lineRule="auto"/>
        <w:rPr>
          <w:rFonts w:cstheme="minorHAnsi"/>
          <w:b/>
          <w:bCs/>
          <w:sz w:val="24"/>
          <w:szCs w:val="24"/>
        </w:rPr>
      </w:pPr>
    </w:p>
    <w:p w14:paraId="673D6DD5" w14:textId="77777777" w:rsidR="009938A4" w:rsidRPr="00633E1B" w:rsidRDefault="001F3778" w:rsidP="00F56C82">
      <w:pPr>
        <w:tabs>
          <w:tab w:val="left" w:pos="2835"/>
        </w:tabs>
        <w:spacing w:line="36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AAB7872" w14:textId="77777777" w:rsidR="00381EA1" w:rsidRPr="00381EA1" w:rsidRDefault="00381EA1" w:rsidP="00F56C82">
      <w:pPr>
        <w:spacing w:after="0" w:line="360" w:lineRule="auto"/>
        <w:rPr>
          <w:rFonts w:eastAsia="Calibri" w:cs="Calibri"/>
          <w:sz w:val="24"/>
          <w:szCs w:val="24"/>
          <w:lang w:eastAsia="pl-PL"/>
        </w:rPr>
      </w:pPr>
      <w:r w:rsidRPr="00381EA1">
        <w:rPr>
          <w:rFonts w:eastAsia="Calibri" w:cs="Calibri"/>
          <w:sz w:val="24"/>
          <w:szCs w:val="24"/>
          <w:lang w:eastAsia="pl-PL"/>
        </w:rPr>
        <w:t xml:space="preserve">Przedmiotem konkursu jest realizowany na terenie ZIT </w:t>
      </w:r>
      <w:proofErr w:type="spellStart"/>
      <w:r w:rsidRPr="00381EA1">
        <w:rPr>
          <w:rFonts w:eastAsia="Calibri" w:cs="Calibri"/>
          <w:sz w:val="24"/>
          <w:szCs w:val="24"/>
          <w:lang w:eastAsia="pl-PL"/>
        </w:rPr>
        <w:t>WrOF</w:t>
      </w:r>
      <w:proofErr w:type="spellEnd"/>
      <w:r w:rsidRPr="00381EA1">
        <w:rPr>
          <w:rFonts w:eastAsia="Calibri" w:cs="Calibri"/>
          <w:sz w:val="24"/>
          <w:szCs w:val="24"/>
          <w:lang w:eastAsia="pl-PL"/>
        </w:rPr>
        <w:t xml:space="preserve"> typ projektu określony dla Działania 3.4 Wdrażanie strategii niskoemisyjnych, Poddziałania 3.4.2 Wdrażanie strategii niskoemisyjnych Osi Priorytetowej 3 Gospodarka niskoemisyjna, dotyczący:</w:t>
      </w:r>
    </w:p>
    <w:p w14:paraId="5F386EC0" w14:textId="77777777" w:rsidR="00381EA1" w:rsidRPr="00381EA1" w:rsidRDefault="00381EA1" w:rsidP="00F56C82">
      <w:pPr>
        <w:spacing w:after="0" w:line="360" w:lineRule="auto"/>
        <w:rPr>
          <w:rFonts w:eastAsia="Calibri" w:cs="Calibri"/>
          <w:sz w:val="24"/>
          <w:szCs w:val="24"/>
          <w:lang w:eastAsia="pl-PL"/>
        </w:rPr>
      </w:pPr>
      <w:r w:rsidRPr="0022191E">
        <w:rPr>
          <w:rFonts w:eastAsia="Calibri" w:cs="Calibri"/>
          <w:b/>
          <w:bCs/>
          <w:sz w:val="24"/>
          <w:szCs w:val="24"/>
          <w:lang w:eastAsia="pl-PL"/>
        </w:rPr>
        <w:t xml:space="preserve">3.4 b inwestycje ograniczające indywidualny ruch zmotoryzowany w centrach miast np. P&amp;R, B&amp;R, zintegrowane centra przesiadkowe, stacje ładowania pojazdów elektrycznych, stacje tankowania paliw alternatywnych (np. CNG, LNG, LPG), wspólny bilet </w:t>
      </w:r>
      <w:r w:rsidRPr="00381EA1">
        <w:rPr>
          <w:rFonts w:eastAsia="Calibri" w:cs="Calibri"/>
          <w:sz w:val="24"/>
          <w:szCs w:val="24"/>
          <w:lang w:eastAsia="pl-PL"/>
        </w:rPr>
        <w:t>(przy czym stacje ładowania pojazdów elektrycznych / tankowania paliw alternatywnych, wspólny bilet itp. nie mogą stanowić samodzielnego elementu projektu</w:t>
      </w:r>
      <w:r w:rsidR="008B25A2">
        <w:rPr>
          <w:rFonts w:eastAsia="Calibri" w:cs="Calibri"/>
          <w:sz w:val="24"/>
          <w:szCs w:val="24"/>
          <w:lang w:eastAsia="pl-PL"/>
        </w:rPr>
        <w:t>,</w:t>
      </w:r>
      <w:r w:rsidRPr="00381EA1">
        <w:rPr>
          <w:rFonts w:eastAsia="Calibri" w:cs="Calibri"/>
          <w:sz w:val="24"/>
          <w:szCs w:val="24"/>
          <w:lang w:eastAsia="pl-PL"/>
        </w:rPr>
        <w:t xml:space="preserve"> lecz jedynie uzupełniający, poniżej 49% wartości wydatków kwalifikowalnych projektu) itp.</w:t>
      </w:r>
    </w:p>
    <w:p w14:paraId="12FDA494" w14:textId="77777777" w:rsidR="00381EA1" w:rsidRPr="00381EA1" w:rsidRDefault="00381EA1" w:rsidP="00F56C82">
      <w:pPr>
        <w:spacing w:after="0" w:line="360" w:lineRule="auto"/>
        <w:rPr>
          <w:rFonts w:eastAsia="Calibri" w:cs="Calibri"/>
          <w:sz w:val="24"/>
          <w:szCs w:val="24"/>
          <w:lang w:eastAsia="pl-PL"/>
        </w:rPr>
      </w:pPr>
      <w:r w:rsidRPr="0022191E">
        <w:rPr>
          <w:rFonts w:eastAsia="Calibri" w:cs="Calibri"/>
          <w:b/>
          <w:bCs/>
          <w:sz w:val="24"/>
          <w:szCs w:val="24"/>
          <w:lang w:eastAsia="pl-PL"/>
        </w:rPr>
        <w:t>3.4 d inwestycje ograniczające indywidualny ruch zmotoryzowany w centrach miast: drogi rowerowe, ciągi pieszo</w:t>
      </w:r>
      <w:r w:rsidR="008B25A2">
        <w:rPr>
          <w:rFonts w:eastAsia="Calibri" w:cs="Calibri"/>
          <w:b/>
          <w:bCs/>
          <w:sz w:val="24"/>
          <w:szCs w:val="24"/>
          <w:lang w:eastAsia="pl-PL"/>
        </w:rPr>
        <w:t>-</w:t>
      </w:r>
      <w:r w:rsidRPr="0022191E">
        <w:rPr>
          <w:rFonts w:eastAsia="Calibri" w:cs="Calibri"/>
          <w:b/>
          <w:bCs/>
          <w:sz w:val="24"/>
          <w:szCs w:val="24"/>
          <w:lang w:eastAsia="pl-PL"/>
        </w:rPr>
        <w:t>rowerowe</w:t>
      </w:r>
      <w:r w:rsidR="008B25A2">
        <w:rPr>
          <w:rFonts w:eastAsia="Calibri" w:cs="Calibri"/>
          <w:sz w:val="24"/>
          <w:szCs w:val="24"/>
          <w:lang w:eastAsia="pl-PL"/>
        </w:rPr>
        <w:t>,</w:t>
      </w:r>
      <w:r w:rsidRPr="0022191E">
        <w:rPr>
          <w:rFonts w:eastAsia="Calibri" w:cs="Calibri"/>
          <w:b/>
          <w:bCs/>
          <w:sz w:val="24"/>
          <w:szCs w:val="24"/>
          <w:lang w:eastAsia="pl-PL"/>
        </w:rPr>
        <w:t xml:space="preserve"> </w:t>
      </w:r>
      <w:r w:rsidRPr="00381EA1">
        <w:rPr>
          <w:rFonts w:eastAsia="Calibri" w:cs="Calibri"/>
          <w:sz w:val="24"/>
          <w:szCs w:val="24"/>
          <w:lang w:eastAsia="pl-PL"/>
        </w:rPr>
        <w:t>przy czym możliwe jest  finansowanie samego ciągu pieszego (ale nie może on stanowić odrębnego projektu, a jedynie element uzupełniający), jeśli jego separacja od ciągu rowerowego wynika z warunków lokalnych, np. ciąg pieszo</w:t>
      </w:r>
      <w:r w:rsidR="008B25A2">
        <w:rPr>
          <w:rFonts w:eastAsia="Calibri" w:cs="Calibri"/>
          <w:sz w:val="24"/>
          <w:szCs w:val="24"/>
          <w:lang w:eastAsia="pl-PL"/>
        </w:rPr>
        <w:t>-</w:t>
      </w:r>
      <w:r w:rsidRPr="00381EA1">
        <w:rPr>
          <w:rFonts w:eastAsia="Calibri" w:cs="Calibri"/>
          <w:sz w:val="24"/>
          <w:szCs w:val="24"/>
          <w:lang w:eastAsia="pl-PL"/>
        </w:rPr>
        <w:t xml:space="preserve">rowerowy prowadzi do skrzyżowania, za którym nie ma możliwości kontynuowania ciągu łącznie i istnieje konieczność oddzielenia drogi dla rowerów od ciągu pieszego – na tym odcinku możliwa jest </w:t>
      </w:r>
      <w:r w:rsidRPr="00381EA1">
        <w:rPr>
          <w:rFonts w:eastAsia="Calibri" w:cs="Calibri"/>
          <w:sz w:val="24"/>
          <w:szCs w:val="24"/>
          <w:lang w:eastAsia="pl-PL"/>
        </w:rPr>
        <w:lastRenderedPageBreak/>
        <w:t>inwestycja również w ciąg pieszy. Koszt takiego wydzielonego ciągu pieszego powinien zawsze stanowić mniej niż 49% całkowitych wydatków kwalifikowalnych w projekcie przeznaczonych na drogi rowerowe.</w:t>
      </w:r>
    </w:p>
    <w:p w14:paraId="279F79AA" w14:textId="77777777" w:rsidR="00381EA1" w:rsidRPr="00C603E0" w:rsidRDefault="00381EA1" w:rsidP="00F56C82">
      <w:pPr>
        <w:spacing w:after="0" w:line="360" w:lineRule="auto"/>
        <w:rPr>
          <w:rFonts w:eastAsia="Calibri" w:cs="Calibri"/>
          <w:b/>
          <w:bCs/>
          <w:sz w:val="24"/>
          <w:szCs w:val="24"/>
          <w:lang w:eastAsia="pl-PL"/>
        </w:rPr>
      </w:pPr>
      <w:r w:rsidRPr="00C603E0">
        <w:rPr>
          <w:rFonts w:eastAsia="Calibri" w:cs="Calibri"/>
          <w:b/>
          <w:bCs/>
          <w:sz w:val="24"/>
          <w:szCs w:val="24"/>
          <w:lang w:eastAsia="pl-PL"/>
        </w:rPr>
        <w:t>Możliwe jest łączenie ww. typów projektów.</w:t>
      </w:r>
    </w:p>
    <w:p w14:paraId="2C0B3591" w14:textId="77777777" w:rsidR="00C603E0" w:rsidRPr="00C603E0" w:rsidRDefault="00C603E0" w:rsidP="00F56C82">
      <w:pPr>
        <w:spacing w:line="360" w:lineRule="auto"/>
        <w:rPr>
          <w:sz w:val="24"/>
          <w:szCs w:val="24"/>
        </w:rPr>
      </w:pPr>
      <w:r w:rsidRPr="00C603E0">
        <w:rPr>
          <w:sz w:val="24"/>
          <w:szCs w:val="24"/>
        </w:rPr>
        <w:t xml:space="preserve">Przez </w:t>
      </w:r>
      <w:r w:rsidRPr="00C603E0">
        <w:rPr>
          <w:b/>
          <w:bCs/>
          <w:sz w:val="24"/>
          <w:szCs w:val="24"/>
        </w:rPr>
        <w:t>drogi rowerowe</w:t>
      </w:r>
      <w:r w:rsidRPr="00C603E0">
        <w:rPr>
          <w:sz w:val="24"/>
          <w:szCs w:val="24"/>
        </w:rPr>
        <w:t xml:space="preserve"> należy rozumieć drogi dla rowerów, zgodnie z definicją z ustawy z dnia 20 czerwca 1997 r. Prawo o ruchu drogowym. Drogami dla rowerów nie są pasy ruchu dla rowerów:</w:t>
      </w:r>
    </w:p>
    <w:p w14:paraId="4512C81A" w14:textId="77777777" w:rsidR="00C603E0" w:rsidRPr="00C603E0" w:rsidRDefault="00C603E0" w:rsidP="00F56C82">
      <w:pPr>
        <w:spacing w:line="360" w:lineRule="auto"/>
        <w:rPr>
          <w:sz w:val="24"/>
          <w:szCs w:val="24"/>
        </w:rPr>
      </w:pPr>
      <w:r w:rsidRPr="00C603E0">
        <w:rPr>
          <w:b/>
          <w:bCs/>
          <w:sz w:val="24"/>
          <w:szCs w:val="24"/>
        </w:rPr>
        <w:t>droga dla rowerów</w:t>
      </w:r>
      <w:r w:rsidRPr="00C603E0">
        <w:rPr>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7C9371C5" w14:textId="77777777" w:rsidR="00C603E0" w:rsidRPr="00C603E0" w:rsidRDefault="00C603E0" w:rsidP="00F56C82">
      <w:pPr>
        <w:spacing w:line="360" w:lineRule="auto"/>
        <w:rPr>
          <w:sz w:val="24"/>
          <w:szCs w:val="24"/>
        </w:rPr>
      </w:pPr>
      <w:r w:rsidRPr="00C603E0">
        <w:rPr>
          <w:b/>
          <w:bCs/>
          <w:sz w:val="24"/>
          <w:szCs w:val="24"/>
        </w:rPr>
        <w:t>pas ruchu dla rowerów</w:t>
      </w:r>
      <w:r w:rsidRPr="00C603E0">
        <w:rPr>
          <w:sz w:val="24"/>
          <w:szCs w:val="24"/>
        </w:rPr>
        <w:t xml:space="preserve"> – część jezdni przeznaczona do ruchu rowerów w jednym kierunku, oznaczona odpowiednimi znakami drogowymi.</w:t>
      </w:r>
    </w:p>
    <w:p w14:paraId="3F809B16" w14:textId="77777777" w:rsidR="00C603E0" w:rsidRPr="00C603E0" w:rsidRDefault="00C603E0" w:rsidP="00F56C82">
      <w:pPr>
        <w:spacing w:line="360" w:lineRule="auto"/>
        <w:rPr>
          <w:sz w:val="24"/>
          <w:szCs w:val="24"/>
        </w:rPr>
      </w:pPr>
      <w:r w:rsidRPr="00C603E0">
        <w:rPr>
          <w:sz w:val="24"/>
          <w:szCs w:val="24"/>
        </w:rPr>
        <w:t xml:space="preserve">Przez inwestycje ograniczające ruch w centrach miast nie należy rozumieć wyłącznie inwestycji zlokalizowanych w centrach miast – istotne jest oddziaływanie na centra miast. </w:t>
      </w:r>
    </w:p>
    <w:p w14:paraId="43CA7308" w14:textId="77777777" w:rsidR="00C603E0" w:rsidRPr="00C603E0" w:rsidRDefault="00C603E0" w:rsidP="00F56C82">
      <w:pPr>
        <w:spacing w:line="360" w:lineRule="auto"/>
        <w:rPr>
          <w:sz w:val="24"/>
          <w:szCs w:val="24"/>
        </w:rPr>
      </w:pPr>
      <w:r w:rsidRPr="00C603E0">
        <w:rPr>
          <w:sz w:val="24"/>
          <w:szCs w:val="24"/>
        </w:rPr>
        <w:t xml:space="preserve">Inwestycje w infrastrukturę drogową transportu publicznego mogą stanowić element uzupełniający w projekcie o wartości nie przekraczającej 35% </w:t>
      </w:r>
      <w:r w:rsidRPr="00C603E0">
        <w:rPr>
          <w:rFonts w:cs="Arial"/>
          <w:sz w:val="24"/>
          <w:szCs w:val="24"/>
        </w:rPr>
        <w:t xml:space="preserve">wartości wydatków kwalifikowalnych </w:t>
      </w:r>
      <w:r w:rsidRPr="00C603E0">
        <w:rPr>
          <w:sz w:val="24"/>
          <w:szCs w:val="24"/>
        </w:rPr>
        <w:t>– pod warunkiem spełniania poniższych warunków:</w:t>
      </w:r>
    </w:p>
    <w:p w14:paraId="48ABE428" w14:textId="77777777" w:rsidR="00C603E0" w:rsidRPr="00C603E0" w:rsidRDefault="00C603E0" w:rsidP="00F56C82">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055C9BBD" w14:textId="77777777" w:rsidR="00C603E0" w:rsidRPr="00C603E0" w:rsidRDefault="00C603E0" w:rsidP="00F56C82">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przebudowa skrzyżowań w celu ułatwienia i/lub nadania priorytetu transportowi publicznemu w ruchu, np. pasy skrętów dla autobusów, śluzy na skrzyżowaniach itp.;</w:t>
      </w:r>
    </w:p>
    <w:p w14:paraId="4CCF66E5" w14:textId="77777777" w:rsidR="00C603E0" w:rsidRPr="00C603E0" w:rsidRDefault="00C603E0" w:rsidP="00F56C82">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infrastruktura drogowa przy pętlach autobusowych / tramwajowych, stacjach kolejowych lub parkingach P&amp;R i B&amp;R – odcinki dróg łączące takie terminale bezpośrednio z siecią dróg miejskich.</w:t>
      </w:r>
    </w:p>
    <w:p w14:paraId="4BAB32BC" w14:textId="77777777" w:rsidR="00C603E0" w:rsidRPr="00C603E0" w:rsidRDefault="00C603E0" w:rsidP="00F56C82">
      <w:pPr>
        <w:spacing w:line="360" w:lineRule="auto"/>
        <w:rPr>
          <w:sz w:val="24"/>
          <w:szCs w:val="24"/>
        </w:rPr>
      </w:pPr>
      <w:r w:rsidRPr="00C603E0">
        <w:rPr>
          <w:sz w:val="24"/>
          <w:szCs w:val="24"/>
        </w:rPr>
        <w:t>Nie przewiduje się realizacji samodzielnych projektów drogowych.</w:t>
      </w:r>
    </w:p>
    <w:p w14:paraId="01C64472" w14:textId="77777777" w:rsidR="00C603E0" w:rsidRPr="00C603E0" w:rsidRDefault="00C603E0" w:rsidP="00F56C82">
      <w:pPr>
        <w:spacing w:line="360" w:lineRule="auto"/>
        <w:rPr>
          <w:sz w:val="24"/>
          <w:szCs w:val="24"/>
        </w:rPr>
      </w:pPr>
      <w:r w:rsidRPr="00C603E0">
        <w:rPr>
          <w:sz w:val="24"/>
          <w:szCs w:val="24"/>
        </w:rPr>
        <w:lastRenderedPageBreak/>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14:paraId="2E3C7D57" w14:textId="77777777" w:rsidR="00C603E0" w:rsidRPr="00C603E0" w:rsidRDefault="00C603E0" w:rsidP="00F56C82">
      <w:pPr>
        <w:spacing w:line="360" w:lineRule="auto"/>
        <w:rPr>
          <w:sz w:val="24"/>
          <w:szCs w:val="24"/>
        </w:rPr>
      </w:pPr>
      <w:r w:rsidRPr="00C603E0">
        <w:rPr>
          <w:sz w:val="24"/>
          <w:szCs w:val="24"/>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61A147BA" w14:textId="77777777" w:rsidR="00C603E0" w:rsidRPr="00C603E0" w:rsidRDefault="00C603E0" w:rsidP="00F56C82">
      <w:pPr>
        <w:spacing w:line="360" w:lineRule="auto"/>
        <w:rPr>
          <w:sz w:val="24"/>
          <w:szCs w:val="24"/>
        </w:rPr>
      </w:pPr>
      <w:r w:rsidRPr="00C603E0">
        <w:rPr>
          <w:sz w:val="24"/>
          <w:szCs w:val="24"/>
        </w:rPr>
        <w:t>Plan Gospodarki Niskoemisyjnej powinien zostać przyjęty do realizacji uchwałą rady gminy, właściwej dla miejsca realizacji projektu. Jeśli projekt realizowany jest na obszarze kilku gmin, powinien być ujęty w planach właściwych gmin.</w:t>
      </w:r>
    </w:p>
    <w:p w14:paraId="0349823E" w14:textId="77777777" w:rsidR="00C603E0" w:rsidRPr="00C603E0" w:rsidRDefault="00C603E0" w:rsidP="00F56C82">
      <w:pPr>
        <w:spacing w:line="360" w:lineRule="auto"/>
        <w:rPr>
          <w:sz w:val="24"/>
          <w:szCs w:val="24"/>
        </w:rPr>
      </w:pPr>
      <w:r w:rsidRPr="00C603E0">
        <w:rPr>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14:paraId="36162591" w14:textId="77777777" w:rsidR="00C603E0" w:rsidRPr="00C603E0" w:rsidRDefault="00C603E0" w:rsidP="00F56C82">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informację o tym że projekt wynika z Planu Gospodarki Niskoemisyjnej, przyjętego do realizacji uchwałą rady gminy;</w:t>
      </w:r>
    </w:p>
    <w:p w14:paraId="0AAC097E" w14:textId="77777777" w:rsidR="00C603E0" w:rsidRPr="00C603E0" w:rsidRDefault="00C603E0" w:rsidP="00F56C82">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krótkie uzasadnienie merytoryczne;</w:t>
      </w:r>
    </w:p>
    <w:p w14:paraId="04F4DAC7" w14:textId="77777777" w:rsidR="00C603E0" w:rsidRPr="00C603E0" w:rsidRDefault="00C603E0" w:rsidP="00F56C82">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 xml:space="preserve">numer uchwały przyjmującej PGN do realizacji. </w:t>
      </w:r>
    </w:p>
    <w:p w14:paraId="4079BA04" w14:textId="77777777" w:rsidR="00C603E0" w:rsidRPr="00C603E0" w:rsidRDefault="00C603E0" w:rsidP="00F56C82">
      <w:pPr>
        <w:spacing w:line="360" w:lineRule="auto"/>
        <w:rPr>
          <w:sz w:val="24"/>
          <w:szCs w:val="24"/>
        </w:rPr>
      </w:pPr>
      <w:r w:rsidRPr="00C603E0">
        <w:rPr>
          <w:sz w:val="24"/>
          <w:szCs w:val="24"/>
        </w:rPr>
        <w:lastRenderedPageBreak/>
        <w:t>Jeżeli zaświadczenie wydane jest na podstawie Kodeksu Postępowania Administracyjnego (Dział VII Wydawanie zaświadczeń) powyższe elementy nie są wymagane.</w:t>
      </w:r>
    </w:p>
    <w:p w14:paraId="18E20E5C" w14:textId="77777777" w:rsidR="00C603E0" w:rsidRPr="00C603E0" w:rsidRDefault="00C603E0" w:rsidP="00F56C82">
      <w:pPr>
        <w:spacing w:line="360" w:lineRule="auto"/>
        <w:rPr>
          <w:sz w:val="24"/>
          <w:szCs w:val="28"/>
        </w:rPr>
      </w:pPr>
      <w:r w:rsidRPr="00C603E0">
        <w:rPr>
          <w:sz w:val="24"/>
          <w:szCs w:val="28"/>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zwłaszcza w zakresie stosowania standardów dostępności dla polityki spójności na lata 2014-2020.</w:t>
      </w:r>
    </w:p>
    <w:p w14:paraId="334DB045" w14:textId="77777777" w:rsidR="00C603E0" w:rsidRPr="00C603E0" w:rsidRDefault="00C603E0" w:rsidP="00F56C82">
      <w:pPr>
        <w:spacing w:line="360" w:lineRule="auto"/>
        <w:rPr>
          <w:sz w:val="24"/>
          <w:szCs w:val="28"/>
        </w:rPr>
      </w:pPr>
      <w:r w:rsidRPr="00C603E0">
        <w:rPr>
          <w:sz w:val="24"/>
          <w:szCs w:val="28"/>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46702088" w14:textId="77777777" w:rsidR="00C603E0" w:rsidRPr="00C603E0" w:rsidRDefault="00C603E0" w:rsidP="00F56C82">
      <w:pPr>
        <w:spacing w:line="360" w:lineRule="auto"/>
        <w:rPr>
          <w:sz w:val="24"/>
          <w:szCs w:val="28"/>
        </w:rPr>
      </w:pPr>
      <w:r w:rsidRPr="00C603E0">
        <w:rPr>
          <w:sz w:val="24"/>
          <w:szCs w:val="28"/>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569CD699" w14:textId="77777777" w:rsidR="00C603E0" w:rsidRPr="00C603E0" w:rsidRDefault="00C603E0" w:rsidP="00F56C82">
      <w:pPr>
        <w:spacing w:line="360" w:lineRule="auto"/>
        <w:rPr>
          <w:sz w:val="24"/>
          <w:szCs w:val="28"/>
        </w:rPr>
      </w:pPr>
      <w:r w:rsidRPr="00C603E0">
        <w:rPr>
          <w:sz w:val="24"/>
          <w:szCs w:val="28"/>
        </w:rPr>
        <w:t xml:space="preserve">Wypełniając wniosek o dofinansowanie, należy zapoznać się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C603E0">
        <w:rPr>
          <w:sz w:val="24"/>
          <w:szCs w:val="28"/>
        </w:rPr>
        <w:br/>
      </w:r>
      <w:r w:rsidRPr="00C603E0">
        <w:rPr>
          <w:sz w:val="24"/>
          <w:szCs w:val="28"/>
        </w:rPr>
        <w:lastRenderedPageBreak/>
        <w:t xml:space="preserve">z Poradnikiem opublikowanym przez Ministerstwo Inwestycji i Rozwoju </w:t>
      </w:r>
      <w:r w:rsidRPr="00C603E0">
        <w:rPr>
          <w:i/>
          <w:iCs/>
          <w:sz w:val="24"/>
          <w:szCs w:val="28"/>
        </w:rPr>
        <w:t>„Realizacja zasady równości szans i niedyskryminacji, w tym dostępności dla osób z niepełnosprawnościami”</w:t>
      </w:r>
      <w:r w:rsidRPr="00C603E0">
        <w:rPr>
          <w:sz w:val="24"/>
          <w:szCs w:val="28"/>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C603E0">
        <w:rPr>
          <w:i/>
          <w:iCs/>
          <w:sz w:val="24"/>
          <w:szCs w:val="28"/>
        </w:rPr>
        <w:t>„Standardach dostępności dla polityki spójności 2014-2020”</w:t>
      </w:r>
      <w:r w:rsidRPr="00C603E0">
        <w:rPr>
          <w:sz w:val="24"/>
          <w:szCs w:val="28"/>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C603E0">
        <w:rPr>
          <w:i/>
          <w:iCs/>
          <w:sz w:val="24"/>
          <w:szCs w:val="28"/>
        </w:rPr>
        <w:t>„Wytycznych w zakresie równości szans i niedyskryminacji, w tym dostępności dla osób z niepełnosprawnościami oraz zasady równości szans kobiet i mężczyzn w ramach funduszy unijnych na lata 2014-2020”</w:t>
      </w:r>
      <w:r w:rsidRPr="00C603E0">
        <w:rPr>
          <w:sz w:val="24"/>
          <w:szCs w:val="28"/>
        </w:rPr>
        <w:t>.</w:t>
      </w:r>
    </w:p>
    <w:p w14:paraId="59E19993" w14:textId="77777777" w:rsidR="00C603E0" w:rsidRPr="00C603E0" w:rsidRDefault="00C603E0" w:rsidP="00F56C82">
      <w:pPr>
        <w:spacing w:after="0" w:line="360" w:lineRule="auto"/>
        <w:rPr>
          <w:rFonts w:cstheme="minorHAnsi"/>
          <w:bCs/>
          <w:sz w:val="24"/>
          <w:szCs w:val="28"/>
        </w:rPr>
      </w:pPr>
      <w:r w:rsidRPr="00C603E0">
        <w:rPr>
          <w:rFonts w:cstheme="minorHAnsi"/>
          <w:bCs/>
          <w:sz w:val="24"/>
          <w:szCs w:val="28"/>
        </w:rPr>
        <w:t xml:space="preserve">Warunki oraz preferencje w zakresie realizacji projektów szczegółowo określają </w:t>
      </w:r>
      <w:r w:rsidRPr="00C603E0">
        <w:rPr>
          <w:rFonts w:cstheme="minorHAnsi"/>
          <w:bCs/>
          <w:i/>
          <w:iCs/>
          <w:sz w:val="24"/>
          <w:szCs w:val="28"/>
        </w:rPr>
        <w:t>„Kryteria wyboru projektów w ramach RPO WD 2014-2020”</w:t>
      </w:r>
      <w:r w:rsidRPr="00C603E0">
        <w:rPr>
          <w:rFonts w:cstheme="minorHAnsi"/>
          <w:bCs/>
          <w:iCs/>
          <w:sz w:val="24"/>
          <w:szCs w:val="28"/>
        </w:rPr>
        <w:t xml:space="preserve">, </w:t>
      </w:r>
      <w:r w:rsidRPr="00C603E0">
        <w:rPr>
          <w:rFonts w:cstheme="minorHAnsi"/>
          <w:bCs/>
          <w:sz w:val="24"/>
          <w:szCs w:val="28"/>
        </w:rPr>
        <w:t xml:space="preserve">zatwierdzone Uchwałą nr 2/15 Komitetu Monitorującego RPO WD 2014-2020 z dnia 6 maja 2015 r. z </w:t>
      </w:r>
      <w:proofErr w:type="spellStart"/>
      <w:r w:rsidRPr="00C603E0">
        <w:rPr>
          <w:rFonts w:cstheme="minorHAnsi"/>
          <w:bCs/>
          <w:sz w:val="24"/>
          <w:szCs w:val="28"/>
        </w:rPr>
        <w:t>późn</w:t>
      </w:r>
      <w:proofErr w:type="spellEnd"/>
      <w:r w:rsidRPr="00C603E0">
        <w:rPr>
          <w:rFonts w:cstheme="minorHAnsi"/>
          <w:bCs/>
          <w:sz w:val="24"/>
          <w:szCs w:val="28"/>
        </w:rPr>
        <w:t xml:space="preserve">. zm., zamieszczone na stronie internetowej RPO WD: </w:t>
      </w:r>
      <w:r w:rsidRPr="00C603E0">
        <w:rPr>
          <w:rFonts w:cstheme="minorHAnsi"/>
          <w:bCs/>
          <w:sz w:val="24"/>
          <w:szCs w:val="24"/>
        </w:rPr>
        <w:t xml:space="preserve">http://rpo.dolnyslask.pl/posiedzenia-i-uchwaly/ </w:t>
      </w:r>
      <w:r w:rsidRPr="00C603E0">
        <w:rPr>
          <w:rFonts w:cstheme="minorHAnsi"/>
          <w:bCs/>
          <w:sz w:val="24"/>
          <w:szCs w:val="28"/>
        </w:rPr>
        <w:t>[„</w:t>
      </w:r>
      <w:r w:rsidRPr="00C603E0">
        <w:rPr>
          <w:rFonts w:cstheme="minorHAnsi"/>
          <w:bCs/>
          <w:i/>
          <w:sz w:val="24"/>
          <w:szCs w:val="28"/>
        </w:rPr>
        <w:t>Wyciąg z Kryteriów wyboru projektów</w:t>
      </w:r>
      <w:r w:rsidRPr="00C603E0">
        <w:rPr>
          <w:rFonts w:cstheme="minorHAnsi"/>
          <w:bCs/>
          <w:sz w:val="24"/>
          <w:szCs w:val="28"/>
        </w:rPr>
        <w:t>” obowiązujących dla naboru stanowi Załącznik nr 1 do niniejszego Regulaminu].</w:t>
      </w:r>
    </w:p>
    <w:p w14:paraId="3ECD8F1E" w14:textId="77777777" w:rsidR="00B730C8" w:rsidRPr="00B730C8" w:rsidRDefault="00B730C8" w:rsidP="00F56C82">
      <w:pPr>
        <w:spacing w:after="0" w:line="360" w:lineRule="auto"/>
        <w:rPr>
          <w:rFonts w:eastAsia="Calibri" w:cs="Calibri"/>
          <w:sz w:val="24"/>
          <w:szCs w:val="24"/>
          <w:highlight w:val="lightGray"/>
          <w:lang w:eastAsia="pl-PL"/>
        </w:rPr>
      </w:pPr>
    </w:p>
    <w:p w14:paraId="6EF84F42" w14:textId="77777777" w:rsidR="00381EA1" w:rsidRPr="00381EA1" w:rsidRDefault="00381EA1" w:rsidP="00F56C82">
      <w:pPr>
        <w:autoSpaceDE w:val="0"/>
        <w:autoSpaceDN w:val="0"/>
        <w:adjustRightInd w:val="0"/>
        <w:rPr>
          <w:rFonts w:eastAsia="Calibri" w:cs="Calibri"/>
          <w:b/>
          <w:color w:val="000000"/>
          <w:sz w:val="24"/>
          <w:szCs w:val="24"/>
        </w:rPr>
      </w:pPr>
      <w:r w:rsidRPr="00381EA1">
        <w:rPr>
          <w:rFonts w:eastAsia="Calibri" w:cs="Calibri"/>
          <w:b/>
          <w:color w:val="000000"/>
          <w:sz w:val="24"/>
          <w:szCs w:val="24"/>
        </w:rPr>
        <w:t>Kategorie interwencji dla niniejszego konkursu:</w:t>
      </w:r>
    </w:p>
    <w:p w14:paraId="47057D41" w14:textId="77777777" w:rsidR="00381EA1" w:rsidRPr="00381EA1" w:rsidRDefault="00381EA1" w:rsidP="00F56C82">
      <w:pPr>
        <w:pStyle w:val="Akapitzlist"/>
        <w:numPr>
          <w:ilvl w:val="0"/>
          <w:numId w:val="3"/>
        </w:numPr>
        <w:autoSpaceDE w:val="0"/>
        <w:autoSpaceDN w:val="0"/>
        <w:adjustRightInd w:val="0"/>
        <w:rPr>
          <w:rFonts w:ascii="Calibri" w:eastAsia="Calibri" w:hAnsi="Calibri" w:cs="Calibri"/>
          <w:b/>
          <w:color w:val="000000"/>
          <w:sz w:val="24"/>
          <w:szCs w:val="24"/>
        </w:rPr>
      </w:pPr>
      <w:r w:rsidRPr="00381EA1">
        <w:rPr>
          <w:rFonts w:ascii="Calibri" w:eastAsia="Calibri" w:hAnsi="Calibri" w:cs="Calibri"/>
          <w:b/>
          <w:color w:val="000000"/>
          <w:sz w:val="24"/>
          <w:szCs w:val="24"/>
        </w:rPr>
        <w:t>043 Infrastruktura na potrzeby czystego transportu miejskiego i jego promocja (w tym wyposażenie i tabor)</w:t>
      </w:r>
    </w:p>
    <w:p w14:paraId="38A2FE35" w14:textId="77777777" w:rsidR="00B730C8" w:rsidRPr="00EE2B1D" w:rsidRDefault="00381EA1" w:rsidP="00F56C82">
      <w:pPr>
        <w:pStyle w:val="Akapitzlist"/>
        <w:numPr>
          <w:ilvl w:val="0"/>
          <w:numId w:val="3"/>
        </w:numPr>
        <w:autoSpaceDE w:val="0"/>
        <w:autoSpaceDN w:val="0"/>
        <w:adjustRightInd w:val="0"/>
        <w:rPr>
          <w:rFonts w:ascii="Calibri" w:hAnsi="Calibri" w:cstheme="minorHAnsi"/>
          <w:b/>
          <w:bCs/>
          <w:sz w:val="24"/>
          <w:szCs w:val="24"/>
        </w:rPr>
      </w:pPr>
      <w:r w:rsidRPr="00381EA1">
        <w:rPr>
          <w:rFonts w:ascii="Calibri" w:eastAsia="Calibri" w:hAnsi="Calibri" w:cs="Calibri"/>
          <w:b/>
          <w:color w:val="000000"/>
          <w:sz w:val="24"/>
          <w:szCs w:val="24"/>
        </w:rPr>
        <w:t>090 Ścieżki rowerowe i piesze.</w:t>
      </w:r>
    </w:p>
    <w:p w14:paraId="5FFEF7B1" w14:textId="77777777" w:rsidR="00EE2B1D" w:rsidRPr="00EE2B1D" w:rsidRDefault="00EE2B1D" w:rsidP="00F56C82">
      <w:pPr>
        <w:autoSpaceDE w:val="0"/>
        <w:autoSpaceDN w:val="0"/>
        <w:adjustRightInd w:val="0"/>
        <w:rPr>
          <w:rFonts w:ascii="Calibri" w:hAnsi="Calibri" w:cstheme="minorHAnsi"/>
          <w:b/>
          <w:bCs/>
          <w:sz w:val="24"/>
          <w:szCs w:val="24"/>
        </w:rPr>
      </w:pPr>
    </w:p>
    <w:p w14:paraId="5371233B" w14:textId="77777777" w:rsidR="009938A4" w:rsidRPr="00633E1B" w:rsidRDefault="001F3778" w:rsidP="00F56C82">
      <w:pPr>
        <w:autoSpaceDE w:val="0"/>
        <w:autoSpaceDN w:val="0"/>
        <w:adjustRightInd w:val="0"/>
        <w:rPr>
          <w:rFonts w:cstheme="minorHAnsi"/>
          <w:b/>
          <w:sz w:val="24"/>
          <w:szCs w:val="24"/>
        </w:rPr>
      </w:pPr>
      <w:r w:rsidRPr="00633E1B">
        <w:rPr>
          <w:rFonts w:cstheme="minorHAnsi"/>
          <w:b/>
          <w:bCs/>
          <w:sz w:val="24"/>
          <w:szCs w:val="24"/>
        </w:rPr>
        <w:t xml:space="preserve">IV. </w:t>
      </w:r>
      <w:bookmarkStart w:id="1" w:name="_Toc18957531"/>
      <w:r w:rsidR="001D710F" w:rsidRPr="00633E1B">
        <w:rPr>
          <w:rFonts w:cstheme="minorHAnsi"/>
          <w:b/>
          <w:sz w:val="24"/>
          <w:szCs w:val="24"/>
        </w:rPr>
        <w:t>Typy Wnioskodawców/Beneficjentów oraz Partnerów</w:t>
      </w:r>
      <w:bookmarkEnd w:id="1"/>
      <w:r w:rsidR="009938A4" w:rsidRPr="00633E1B">
        <w:rPr>
          <w:rFonts w:cstheme="minorHAnsi"/>
          <w:b/>
          <w:bCs/>
          <w:sz w:val="24"/>
          <w:szCs w:val="24"/>
        </w:rPr>
        <w:t xml:space="preserve">: </w:t>
      </w:r>
    </w:p>
    <w:p w14:paraId="366177C9" w14:textId="77777777" w:rsidR="00633E1B" w:rsidRDefault="00633E1B" w:rsidP="00F56C82">
      <w:pPr>
        <w:pStyle w:val="Akapitzlist1"/>
        <w:autoSpaceDE w:val="0"/>
        <w:autoSpaceDN w:val="0"/>
        <w:adjustRightInd w:val="0"/>
        <w:spacing w:after="0" w:line="360" w:lineRule="auto"/>
        <w:ind w:left="0"/>
        <w:rPr>
          <w:rFonts w:asciiTheme="minorHAnsi" w:hAnsiTheme="minorHAnsi" w:cstheme="minorHAnsi"/>
          <w:sz w:val="24"/>
          <w:szCs w:val="24"/>
        </w:rPr>
      </w:pPr>
      <w:r w:rsidRPr="00633E1B">
        <w:rPr>
          <w:rFonts w:asciiTheme="minorHAnsi" w:hAnsiTheme="minorHAnsi" w:cstheme="minorHAnsi"/>
          <w:sz w:val="24"/>
          <w:szCs w:val="24"/>
        </w:rPr>
        <w:t>O dofinansowanie w ramach konkursu mogą ubiegać się:</w:t>
      </w:r>
    </w:p>
    <w:p w14:paraId="543D1C55" w14:textId="77777777" w:rsidR="00381EA1" w:rsidRPr="00381EA1" w:rsidRDefault="00381EA1" w:rsidP="00F56C82">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lastRenderedPageBreak/>
        <w:t xml:space="preserve">jednostki samorządu terytorialnego, ich związki i stowarzyszenia; </w:t>
      </w:r>
    </w:p>
    <w:p w14:paraId="4774B934" w14:textId="77777777" w:rsidR="00381EA1" w:rsidRPr="00381EA1" w:rsidRDefault="00381EA1" w:rsidP="00F56C82">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organizacyjne </w:t>
      </w:r>
      <w:proofErr w:type="spellStart"/>
      <w:r w:rsidRPr="00381EA1">
        <w:rPr>
          <w:rFonts w:asciiTheme="minorHAnsi" w:hAnsiTheme="minorHAnsi" w:cstheme="minorHAnsi"/>
          <w:sz w:val="24"/>
          <w:szCs w:val="24"/>
        </w:rPr>
        <w:t>jst</w:t>
      </w:r>
      <w:proofErr w:type="spellEnd"/>
      <w:r w:rsidRPr="00381EA1">
        <w:rPr>
          <w:rFonts w:asciiTheme="minorHAnsi" w:hAnsiTheme="minorHAnsi" w:cstheme="minorHAnsi"/>
          <w:sz w:val="24"/>
          <w:szCs w:val="24"/>
        </w:rPr>
        <w:t xml:space="preserve">; </w:t>
      </w:r>
    </w:p>
    <w:p w14:paraId="63F1CEF0" w14:textId="77777777" w:rsidR="00381EA1" w:rsidRPr="00381EA1" w:rsidRDefault="00381EA1" w:rsidP="00F56C82">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sektora finansów publicznych, inne niż wymienione powyżej; </w:t>
      </w:r>
    </w:p>
    <w:p w14:paraId="4E9CBF3A" w14:textId="77777777" w:rsidR="00381EA1" w:rsidRPr="00381EA1" w:rsidRDefault="00381EA1" w:rsidP="00F56C82">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przedsiębiorcy będący zarządcami infrastruktury lub świadczący usługi w zakresie transportu zbiorowego na terenach miejskich i podmiejskich;</w:t>
      </w:r>
    </w:p>
    <w:p w14:paraId="6E60FF71" w14:textId="77777777" w:rsidR="00381EA1" w:rsidRPr="00381EA1" w:rsidRDefault="00381EA1" w:rsidP="00F56C82">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organizacje pozarządowe; </w:t>
      </w:r>
    </w:p>
    <w:p w14:paraId="1A34770F" w14:textId="77777777" w:rsidR="00381EA1" w:rsidRDefault="00381EA1" w:rsidP="00F56C82">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PGL Lasy Państwowe i jego jednostki organizacyjne.</w:t>
      </w:r>
    </w:p>
    <w:p w14:paraId="69C8283A" w14:textId="77777777" w:rsidR="00EE2B1D" w:rsidRPr="00EE2B1D" w:rsidRDefault="00EE2B1D" w:rsidP="00F56C82">
      <w:pPr>
        <w:tabs>
          <w:tab w:val="left" w:pos="284"/>
        </w:tabs>
        <w:spacing w:before="40" w:after="40" w:line="360" w:lineRule="auto"/>
        <w:ind w:left="211"/>
        <w:contextualSpacing/>
        <w:rPr>
          <w:rFonts w:cstheme="minorHAnsi"/>
          <w:sz w:val="24"/>
          <w:szCs w:val="24"/>
        </w:rPr>
      </w:pPr>
      <w:r w:rsidRPr="00EE2B1D">
        <w:rPr>
          <w:rFonts w:cstheme="minorHAnsi"/>
          <w:sz w:val="24"/>
          <w:szCs w:val="24"/>
        </w:rPr>
        <w:t>Partnerem w projekcie może być tylko podmiot wskazany powyżej.</w:t>
      </w:r>
    </w:p>
    <w:p w14:paraId="3EBC3899" w14:textId="77777777" w:rsidR="009938A4" w:rsidRPr="00633E1B" w:rsidRDefault="001F3778" w:rsidP="00F56C82">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2"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2"/>
      <w:r w:rsidR="009938A4" w:rsidRPr="00633E1B">
        <w:rPr>
          <w:rFonts w:asciiTheme="minorHAnsi" w:eastAsiaTheme="minorHAnsi" w:hAnsiTheme="minorHAnsi" w:cstheme="minorHAnsi"/>
          <w:kern w:val="0"/>
          <w:sz w:val="24"/>
          <w:szCs w:val="24"/>
          <w:lang w:eastAsia="en-US"/>
        </w:rPr>
        <w:t xml:space="preserve">: </w:t>
      </w:r>
    </w:p>
    <w:p w14:paraId="55D42544" w14:textId="77777777" w:rsidR="00633E1B" w:rsidRDefault="00633E1B" w:rsidP="00F56C82">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Alokacja przeznaczona na konkurs wynosi </w:t>
      </w:r>
      <w:r w:rsidR="005F7255" w:rsidRPr="005F7255">
        <w:rPr>
          <w:rFonts w:ascii="Calibri" w:eastAsia="Calibri" w:hAnsi="Calibri" w:cs="Calibri"/>
          <w:b/>
          <w:bCs/>
          <w:sz w:val="24"/>
          <w:szCs w:val="24"/>
          <w:lang w:eastAsia="pl-PL"/>
        </w:rPr>
        <w:t>4 664 94</w:t>
      </w:r>
      <w:r w:rsidR="00083789">
        <w:rPr>
          <w:rFonts w:ascii="Calibri" w:eastAsia="Calibri" w:hAnsi="Calibri" w:cs="Calibri"/>
          <w:b/>
          <w:bCs/>
          <w:sz w:val="24"/>
          <w:szCs w:val="24"/>
          <w:lang w:eastAsia="pl-PL"/>
        </w:rPr>
        <w:t>1</w:t>
      </w:r>
      <w:r w:rsidR="005F7255" w:rsidRPr="005F7255">
        <w:rPr>
          <w:rFonts w:ascii="Calibri" w:eastAsia="Calibri" w:hAnsi="Calibri" w:cs="Calibri"/>
          <w:b/>
          <w:bCs/>
          <w:sz w:val="24"/>
          <w:szCs w:val="24"/>
          <w:lang w:eastAsia="pl-PL"/>
        </w:rPr>
        <w:t xml:space="preserve"> EUR, tj. 20 000</w:t>
      </w:r>
      <w:r w:rsidR="00083789">
        <w:rPr>
          <w:rFonts w:ascii="Calibri" w:eastAsia="Calibri" w:hAnsi="Calibri" w:cs="Calibri"/>
          <w:b/>
          <w:bCs/>
          <w:sz w:val="24"/>
          <w:szCs w:val="24"/>
          <w:lang w:eastAsia="pl-PL"/>
        </w:rPr>
        <w:t> </w:t>
      </w:r>
      <w:r w:rsidR="005F7255" w:rsidRPr="005F7255">
        <w:rPr>
          <w:rFonts w:ascii="Calibri" w:eastAsia="Calibri" w:hAnsi="Calibri" w:cs="Calibri"/>
          <w:b/>
          <w:bCs/>
          <w:sz w:val="24"/>
          <w:szCs w:val="24"/>
          <w:lang w:eastAsia="pl-PL"/>
        </w:rPr>
        <w:t>00</w:t>
      </w:r>
      <w:r w:rsidR="00083789">
        <w:rPr>
          <w:rFonts w:ascii="Calibri" w:eastAsia="Calibri" w:hAnsi="Calibri" w:cs="Calibri"/>
          <w:b/>
          <w:bCs/>
          <w:sz w:val="24"/>
          <w:szCs w:val="24"/>
          <w:lang w:eastAsia="pl-PL"/>
        </w:rPr>
        <w:t>1,55</w:t>
      </w:r>
      <w:r w:rsidR="005F7255" w:rsidRPr="005F7255">
        <w:rPr>
          <w:rFonts w:ascii="Calibri" w:eastAsia="Calibri" w:hAnsi="Calibri" w:cs="Calibri"/>
          <w:b/>
          <w:bCs/>
          <w:sz w:val="24"/>
          <w:szCs w:val="24"/>
          <w:lang w:eastAsia="pl-PL"/>
        </w:rPr>
        <w:t xml:space="preserve"> PLN</w:t>
      </w:r>
      <w:r w:rsidRPr="00633E1B">
        <w:rPr>
          <w:rFonts w:ascii="Calibri" w:eastAsia="Calibri" w:hAnsi="Calibri" w:cs="Calibri"/>
          <w:b/>
          <w:bCs/>
          <w:sz w:val="24"/>
          <w:szCs w:val="24"/>
          <w:lang w:eastAsia="pl-PL"/>
        </w:rPr>
        <w:t xml:space="preserve"> </w:t>
      </w:r>
      <w:r w:rsidRPr="00633E1B">
        <w:rPr>
          <w:rFonts w:ascii="Calibri" w:eastAsia="Calibri" w:hAnsi="Calibri" w:cs="Calibri"/>
          <w:sz w:val="24"/>
          <w:szCs w:val="24"/>
          <w:lang w:eastAsia="pl-PL"/>
        </w:rPr>
        <w:t>(zgodnie z obowiązującym</w:t>
      </w:r>
      <w:r w:rsidR="005F7255">
        <w:rPr>
          <w:rFonts w:ascii="Calibri" w:eastAsia="Calibri" w:hAnsi="Calibri" w:cs="Calibri"/>
          <w:sz w:val="24"/>
          <w:szCs w:val="24"/>
          <w:lang w:eastAsia="pl-PL"/>
        </w:rPr>
        <w:t xml:space="preserve"> </w:t>
      </w:r>
      <w:r w:rsidR="005F7255" w:rsidRPr="005F7255">
        <w:rPr>
          <w:rFonts w:ascii="Calibri" w:eastAsia="Calibri" w:hAnsi="Calibri" w:cs="Calibri"/>
          <w:sz w:val="24"/>
          <w:szCs w:val="24"/>
          <w:lang w:eastAsia="pl-PL"/>
        </w:rPr>
        <w:t>w lutym 2020 r. kursem Europejskiego Banku Centralnego (EBC), tj. 1 EUR = 4,2873 PLN),w tym zabezpiecza się na procedurę odwoławczą 15% kwoty przeznaczonej na konkurs.</w:t>
      </w:r>
    </w:p>
    <w:p w14:paraId="46A679D2" w14:textId="77777777" w:rsidR="00B168A1" w:rsidRPr="00B168A1" w:rsidRDefault="00B168A1" w:rsidP="00F56C82">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B9C3824" w14:textId="77777777" w:rsidR="00B168A1" w:rsidRPr="00B168A1" w:rsidRDefault="00B168A1" w:rsidP="00F56C82">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14:paraId="3322A887" w14:textId="77777777" w:rsidR="00B168A1" w:rsidRPr="00B168A1" w:rsidRDefault="00B168A1" w:rsidP="00F56C82">
      <w:pPr>
        <w:spacing w:after="0" w:line="360" w:lineRule="auto"/>
        <w:rPr>
          <w:rFonts w:ascii="Calibri" w:eastAsia="Calibri" w:hAnsi="Calibri" w:cs="Calibri"/>
          <w:sz w:val="24"/>
          <w:szCs w:val="24"/>
          <w:lang w:eastAsia="pl-PL"/>
        </w:rPr>
      </w:pPr>
    </w:p>
    <w:p w14:paraId="53A808CD" w14:textId="77777777" w:rsidR="00B168A1" w:rsidRPr="00B168A1" w:rsidRDefault="00B168A1" w:rsidP="00F56C82">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14:paraId="70667E6E" w14:textId="77777777" w:rsidR="00B168A1" w:rsidRPr="00B168A1" w:rsidRDefault="00B168A1" w:rsidP="00F56C82">
      <w:pPr>
        <w:spacing w:after="0" w:line="360" w:lineRule="auto"/>
        <w:rPr>
          <w:rFonts w:ascii="Calibri" w:eastAsia="Calibri" w:hAnsi="Calibri" w:cs="Calibri"/>
          <w:sz w:val="24"/>
          <w:szCs w:val="24"/>
          <w:lang w:eastAsia="pl-PL"/>
        </w:rPr>
      </w:pPr>
    </w:p>
    <w:p w14:paraId="270D39A0" w14:textId="77777777" w:rsidR="00B168A1" w:rsidRPr="00633E1B" w:rsidRDefault="00B168A1" w:rsidP="00F56C82">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Pr>
          <w:rFonts w:ascii="Calibri" w:eastAsia="Calibri" w:hAnsi="Calibri" w:cs="Calibri"/>
          <w:sz w:val="24"/>
          <w:szCs w:val="24"/>
          <w:lang w:eastAsia="pl-PL"/>
        </w:rPr>
        <w:br/>
      </w:r>
      <w:r w:rsidRPr="00B168A1">
        <w:rPr>
          <w:rFonts w:ascii="Calibri" w:eastAsia="Calibri" w:hAnsi="Calibri" w:cs="Calibri"/>
          <w:sz w:val="24"/>
          <w:szCs w:val="24"/>
          <w:lang w:eastAsia="pl-PL"/>
        </w:rPr>
        <w:t xml:space="preserve">z uwzględnieniem możliwości dofinansowania kolejnych projektów na liście według liczby otrzymanych punktów, zgodnie z zasadą równego traktowania (dofinansowanie wszystkich projektów, które uzyskały wymaganą liczbę punktów albo dofinansowanie kolejno projektów, </w:t>
      </w:r>
      <w:r w:rsidRPr="00B168A1">
        <w:rPr>
          <w:rFonts w:ascii="Calibri" w:eastAsia="Calibri" w:hAnsi="Calibri" w:cs="Calibri"/>
          <w:sz w:val="24"/>
          <w:szCs w:val="24"/>
          <w:lang w:eastAsia="pl-PL"/>
        </w:rPr>
        <w:lastRenderedPageBreak/>
        <w:t>które uzyskały wymaganą liczbę punktów oraz taką samą ocenę, z ew. uwzględnieniem kryterium rozstrzygającego).</w:t>
      </w:r>
    </w:p>
    <w:p w14:paraId="416865BF" w14:textId="77777777" w:rsidR="00633E1B" w:rsidRPr="00633E1B" w:rsidRDefault="00633E1B" w:rsidP="00F56C82">
      <w:pPr>
        <w:spacing w:after="0" w:line="360" w:lineRule="auto"/>
        <w:rPr>
          <w:rFonts w:cstheme="minorHAnsi"/>
          <w:sz w:val="24"/>
          <w:szCs w:val="24"/>
        </w:rPr>
      </w:pPr>
    </w:p>
    <w:p w14:paraId="5D143A2F" w14:textId="77777777" w:rsidR="007C6E4D" w:rsidRPr="00633E1B" w:rsidRDefault="007C6E4D" w:rsidP="00F56C82">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3" w:name="_Toc4137252"/>
      <w:r w:rsidRPr="00633E1B">
        <w:rPr>
          <w:rFonts w:asciiTheme="minorHAnsi" w:hAnsiTheme="minorHAnsi" w:cstheme="minorHAnsi"/>
          <w:b/>
          <w:color w:val="auto"/>
        </w:rPr>
        <w:t>Minimalna wartość wnioskowanego dofinansowania</w:t>
      </w:r>
      <w:bookmarkEnd w:id="3"/>
      <w:r w:rsidRPr="00633E1B">
        <w:rPr>
          <w:rFonts w:asciiTheme="minorHAnsi" w:hAnsiTheme="minorHAnsi" w:cstheme="minorHAnsi"/>
          <w:b/>
          <w:bCs/>
          <w:color w:val="auto"/>
        </w:rPr>
        <w:t xml:space="preserve">: </w:t>
      </w:r>
    </w:p>
    <w:p w14:paraId="6C090932" w14:textId="77777777" w:rsidR="00633E1B" w:rsidRPr="00633E1B" w:rsidRDefault="00633E1B" w:rsidP="00F56C82">
      <w:pPr>
        <w:autoSpaceDE w:val="0"/>
        <w:autoSpaceDN w:val="0"/>
        <w:adjustRightInd w:val="0"/>
        <w:spacing w:after="0" w:line="360" w:lineRule="auto"/>
        <w:rPr>
          <w:rFonts w:ascii="Calibri" w:eastAsia="Calibri" w:hAnsi="Calibri" w:cs="Calibri"/>
          <w:b/>
          <w:bCs/>
          <w:sz w:val="24"/>
          <w:szCs w:val="24"/>
          <w:lang w:eastAsia="pl-PL"/>
        </w:rPr>
      </w:pPr>
      <w:bookmarkStart w:id="4"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14:paraId="31B2A120" w14:textId="77777777" w:rsidR="00633E1B" w:rsidRPr="00B168A1" w:rsidRDefault="00633E1B" w:rsidP="00F56C82">
      <w:pPr>
        <w:numPr>
          <w:ilvl w:val="0"/>
          <w:numId w:val="1"/>
        </w:numPr>
        <w:spacing w:before="30" w:after="30" w:line="368" w:lineRule="auto"/>
        <w:ind w:left="284" w:hanging="284"/>
        <w:contextualSpacing/>
        <w:rPr>
          <w:rFonts w:ascii="Calibri" w:eastAsia="Calibri" w:hAnsi="Calibri" w:cs="Arial"/>
          <w:color w:val="000000"/>
          <w:sz w:val="24"/>
          <w:lang w:eastAsia="pl-PL"/>
        </w:rPr>
      </w:pPr>
      <w:r w:rsidRPr="00B168A1">
        <w:rPr>
          <w:rFonts w:ascii="Calibri" w:eastAsia="Calibri" w:hAnsi="Calibri" w:cs="Calibri"/>
          <w:b/>
          <w:bCs/>
          <w:sz w:val="24"/>
          <w:szCs w:val="24"/>
          <w:lang w:eastAsia="pl-PL"/>
        </w:rPr>
        <w:t>50</w:t>
      </w:r>
      <w:r w:rsidR="00B168A1" w:rsidRPr="00B168A1">
        <w:rPr>
          <w:rFonts w:ascii="Calibri" w:eastAsia="Calibri" w:hAnsi="Calibri" w:cs="Calibri"/>
          <w:b/>
          <w:bCs/>
          <w:sz w:val="24"/>
          <w:szCs w:val="24"/>
          <w:lang w:eastAsia="pl-PL"/>
        </w:rPr>
        <w:t>0</w:t>
      </w:r>
      <w:r w:rsidRPr="00B168A1">
        <w:rPr>
          <w:rFonts w:ascii="Calibri" w:eastAsia="Calibri" w:hAnsi="Calibri" w:cs="Calibri"/>
          <w:b/>
          <w:bCs/>
          <w:sz w:val="24"/>
          <w:szCs w:val="24"/>
          <w:lang w:eastAsia="pl-PL"/>
        </w:rPr>
        <w:t> 000 PLN</w:t>
      </w:r>
      <w:r w:rsidRPr="00B168A1">
        <w:rPr>
          <w:rFonts w:ascii="Calibri" w:eastAsia="Calibri" w:hAnsi="Calibri" w:cs="Arial"/>
          <w:color w:val="000000"/>
          <w:lang w:eastAsia="pl-PL"/>
        </w:rPr>
        <w:t xml:space="preserve"> </w:t>
      </w:r>
    </w:p>
    <w:p w14:paraId="2CDC1A13" w14:textId="77777777" w:rsidR="007C6E4D" w:rsidRPr="00633E1B" w:rsidRDefault="007C6E4D" w:rsidP="00F56C82">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4"/>
      <w:r w:rsidRPr="00633E1B">
        <w:rPr>
          <w:rFonts w:asciiTheme="minorHAnsi" w:hAnsiTheme="minorHAnsi" w:cstheme="minorHAnsi"/>
          <w:sz w:val="24"/>
          <w:szCs w:val="24"/>
        </w:rPr>
        <w:t>:</w:t>
      </w:r>
    </w:p>
    <w:p w14:paraId="12E10F64" w14:textId="77777777" w:rsidR="00803DA4" w:rsidRPr="00E354D1" w:rsidRDefault="00B168A1" w:rsidP="00F56C82">
      <w:pPr>
        <w:suppressAutoHyphens/>
        <w:spacing w:after="0" w:line="360" w:lineRule="auto"/>
        <w:rPr>
          <w:rFonts w:eastAsia="Droid Sans Fallback" w:cstheme="minorHAnsi"/>
          <w:b/>
          <w:bCs/>
          <w:sz w:val="24"/>
          <w:szCs w:val="28"/>
        </w:rPr>
      </w:pPr>
      <w:r w:rsidRPr="00E354D1">
        <w:rPr>
          <w:rFonts w:eastAsia="Droid Sans Fallback" w:cstheme="minorHAnsi"/>
          <w:sz w:val="24"/>
          <w:szCs w:val="28"/>
        </w:rPr>
        <w:t>Wnioskowana w projekcie wartość dofinansowania w ramach konkursu nie może być większa niż alokacja przeznaczona na konkurs, pomniejszona o kwotę przeznaczoną na odwołania, tj.</w:t>
      </w:r>
      <w:r w:rsidR="008B25A2">
        <w:rPr>
          <w:rFonts w:eastAsia="Droid Sans Fallback" w:cstheme="minorHAnsi"/>
          <w:sz w:val="24"/>
          <w:szCs w:val="28"/>
        </w:rPr>
        <w:t> </w:t>
      </w:r>
      <w:r w:rsidRPr="00E354D1">
        <w:rPr>
          <w:rFonts w:eastAsia="Droid Sans Fallback" w:cstheme="minorHAnsi"/>
          <w:b/>
          <w:bCs/>
          <w:sz w:val="24"/>
          <w:szCs w:val="28"/>
        </w:rPr>
        <w:t>17</w:t>
      </w:r>
      <w:r w:rsidR="008B25A2">
        <w:rPr>
          <w:rFonts w:eastAsia="Droid Sans Fallback" w:cstheme="minorHAnsi"/>
          <w:b/>
          <w:bCs/>
          <w:sz w:val="24"/>
          <w:szCs w:val="28"/>
        </w:rPr>
        <w:t> </w:t>
      </w:r>
      <w:r w:rsidRPr="00E354D1">
        <w:rPr>
          <w:rFonts w:eastAsia="Droid Sans Fallback" w:cstheme="minorHAnsi"/>
          <w:b/>
          <w:bCs/>
          <w:sz w:val="24"/>
          <w:szCs w:val="28"/>
        </w:rPr>
        <w:t>000</w:t>
      </w:r>
      <w:r w:rsidR="00083789">
        <w:rPr>
          <w:rFonts w:eastAsia="Droid Sans Fallback" w:cstheme="minorHAnsi"/>
          <w:b/>
          <w:bCs/>
          <w:sz w:val="24"/>
          <w:szCs w:val="28"/>
        </w:rPr>
        <w:t> </w:t>
      </w:r>
      <w:r w:rsidRPr="00E354D1">
        <w:rPr>
          <w:rFonts w:eastAsia="Droid Sans Fallback" w:cstheme="minorHAnsi"/>
          <w:b/>
          <w:bCs/>
          <w:sz w:val="24"/>
          <w:szCs w:val="28"/>
        </w:rPr>
        <w:t>00</w:t>
      </w:r>
      <w:r w:rsidR="00083789">
        <w:rPr>
          <w:rFonts w:eastAsia="Droid Sans Fallback" w:cstheme="minorHAnsi"/>
          <w:b/>
          <w:bCs/>
          <w:sz w:val="24"/>
          <w:szCs w:val="28"/>
        </w:rPr>
        <w:t>1,32</w:t>
      </w:r>
      <w:r w:rsidRPr="00E354D1">
        <w:rPr>
          <w:rFonts w:eastAsia="Droid Sans Fallback" w:cstheme="minorHAnsi"/>
          <w:b/>
          <w:bCs/>
          <w:sz w:val="24"/>
          <w:szCs w:val="28"/>
        </w:rPr>
        <w:t xml:space="preserve"> PLN.</w:t>
      </w:r>
    </w:p>
    <w:p w14:paraId="5F18238D" w14:textId="77777777" w:rsidR="00B168A1" w:rsidRPr="00633E1B" w:rsidRDefault="00B168A1" w:rsidP="00F56C82">
      <w:pPr>
        <w:suppressAutoHyphens/>
        <w:spacing w:after="0" w:line="360" w:lineRule="auto"/>
        <w:rPr>
          <w:rFonts w:eastAsia="Droid Sans Fallback" w:cstheme="minorHAnsi"/>
          <w:sz w:val="24"/>
          <w:szCs w:val="24"/>
          <w:highlight w:val="lightGray"/>
        </w:rPr>
      </w:pPr>
    </w:p>
    <w:p w14:paraId="3C18C937" w14:textId="77777777" w:rsidR="009938A4" w:rsidRPr="00633E1B" w:rsidRDefault="001F3778" w:rsidP="00F56C82">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1DEC1986"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Maksymalny poziom dofinansowania UE na poziomie projektu wynosi: </w:t>
      </w:r>
    </w:p>
    <w:p w14:paraId="059BFBA8" w14:textId="77777777" w:rsidR="00B168A1" w:rsidRPr="00B168A1" w:rsidRDefault="00B168A1" w:rsidP="00F56C82">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projektu nieobjętego pomocą publiczną – maksymalnie 85% kosztów kwalifikowalnych (z uwzględnieniem dochodu poprzez zastosowanie tzw. metodyki luki finansowej, o której mowa w art. 61 ust. 1-7 rozporządzenia 1303  – jeśli dotyczy);</w:t>
      </w:r>
    </w:p>
    <w:p w14:paraId="4C120491" w14:textId="77777777" w:rsidR="00B168A1" w:rsidRPr="00B168A1" w:rsidRDefault="00B168A1" w:rsidP="00F56C82">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projektu objętego pomocą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maksymalny poziom dofinansowania wyniesie 85% kosztów kwalifikowalnych z zastrzeżeniem, że całkowita kwota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dla danego podmiotu (Beneficjenta / Partnera) w okresie trzech lat podatkowych (z uwzględnieniem wnioskowanej kwoty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oraz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otrzymanej z innych źródeł) nie może przekroczyć równowartości 200 tys. euro;</w:t>
      </w:r>
    </w:p>
    <w:p w14:paraId="6A4612C7" w14:textId="77777777" w:rsidR="00B168A1" w:rsidRPr="00B168A1" w:rsidRDefault="00B168A1" w:rsidP="00F56C82">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pomocy inwestycyjnej na infrastrukturę lokalną kwota dofinansowania nie przekracza różnicy między kosztami kwalifikowalnymi a zyskiem operacyjnym </w:t>
      </w:r>
      <w:r w:rsidRPr="00B168A1">
        <w:rPr>
          <w:rFonts w:asciiTheme="minorHAnsi" w:hAnsiTheme="minorHAnsi" w:cstheme="minorHAnsi"/>
          <w:sz w:val="24"/>
          <w:szCs w:val="28"/>
        </w:rPr>
        <w:br/>
        <w:t>z inwestycji (ale nie więcej niż 85% kosztów kwalifikowalnych);</w:t>
      </w:r>
    </w:p>
    <w:p w14:paraId="1D4B4FE9" w14:textId="77777777" w:rsidR="00B168A1" w:rsidRPr="00B168A1" w:rsidRDefault="00B168A1" w:rsidP="00F56C82">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rekompensaty – nie więcej niż 85% oraz</w:t>
      </w:r>
    </w:p>
    <w:p w14:paraId="6D455B88" w14:textId="77777777" w:rsidR="00B168A1" w:rsidRPr="00B168A1" w:rsidRDefault="00B168A1" w:rsidP="00F56C82">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jeśli nie stanowi pomocy publicznej – zgodnie z wyliczeniem rekompensaty </w:t>
      </w:r>
      <w:r w:rsidRPr="00B168A1">
        <w:rPr>
          <w:rFonts w:asciiTheme="minorHAnsi" w:hAnsiTheme="minorHAnsi" w:cstheme="minorHAnsi"/>
          <w:sz w:val="24"/>
          <w:szCs w:val="28"/>
        </w:rPr>
        <w:br/>
        <w:t>i z uwzględnieniem dochodu (poprzez zastosowanie tzw. metodyki luki finansowej, o której mowa w art. 61 ust. 1-7 rozporządzenia 1303 - jeśli dotyczy);</w:t>
      </w:r>
    </w:p>
    <w:p w14:paraId="18D571F6" w14:textId="77777777" w:rsidR="00B168A1" w:rsidRPr="00B168A1" w:rsidRDefault="00B168A1" w:rsidP="00F56C82">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lastRenderedPageBreak/>
        <w:t>jeśli stanowi pomoc publiczną - zgodnie z wyliczeniem rekompensaty.</w:t>
      </w:r>
    </w:p>
    <w:p w14:paraId="4F81A017" w14:textId="77777777" w:rsidR="00E24F33" w:rsidRPr="00633E1B" w:rsidRDefault="00E24F33" w:rsidP="00F56C82">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5" w:name="_Toc4137258"/>
      <w:r w:rsidRPr="00633E1B">
        <w:rPr>
          <w:rFonts w:asciiTheme="minorHAnsi" w:hAnsiTheme="minorHAnsi" w:cstheme="minorHAnsi"/>
          <w:sz w:val="24"/>
          <w:szCs w:val="24"/>
        </w:rPr>
        <w:t>Minimalny wkład własny jako % wydatków kwalifikowalnych</w:t>
      </w:r>
      <w:bookmarkEnd w:id="5"/>
    </w:p>
    <w:p w14:paraId="3AE77543" w14:textId="77777777" w:rsidR="00B168A1" w:rsidRPr="00B168A1" w:rsidRDefault="00B168A1" w:rsidP="00F56C82">
      <w:pPr>
        <w:pStyle w:val="Default"/>
        <w:spacing w:line="360" w:lineRule="auto"/>
        <w:rPr>
          <w:rFonts w:asciiTheme="minorHAnsi" w:hAnsiTheme="minorHAnsi" w:cstheme="minorHAnsi"/>
          <w:color w:val="auto"/>
        </w:rPr>
      </w:pPr>
      <w:r w:rsidRPr="00B168A1">
        <w:rPr>
          <w:rFonts w:asciiTheme="minorHAnsi" w:hAnsiTheme="minorHAnsi" w:cstheme="minorHAnsi"/>
          <w:color w:val="auto"/>
        </w:rPr>
        <w:t xml:space="preserve">Minimalny wkład własny (pokryty ze środków własnych lub innych źródeł finansowania) wynosi: </w:t>
      </w:r>
    </w:p>
    <w:p w14:paraId="5C8A5C30" w14:textId="77777777" w:rsidR="00B168A1" w:rsidRPr="00B168A1" w:rsidRDefault="00B168A1" w:rsidP="00F56C82">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t>w przypadku projektu bez pomocy publicznej - 15 % kosztów kwalifikowalnych;</w:t>
      </w:r>
    </w:p>
    <w:p w14:paraId="42FF76E7" w14:textId="77777777" w:rsidR="00B168A1" w:rsidRPr="00B168A1" w:rsidRDefault="00B168A1" w:rsidP="00F56C82">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t xml:space="preserve">w przypadku pozostałych projektów - zgodnie z poziomem wynikającym z kalkulacji luki finansowej i/lub rekompensaty lub poziomu pomocy publicznej / de </w:t>
      </w:r>
      <w:proofErr w:type="spellStart"/>
      <w:r w:rsidRPr="00B168A1">
        <w:rPr>
          <w:rFonts w:asciiTheme="minorHAnsi" w:hAnsiTheme="minorHAnsi" w:cstheme="minorHAnsi"/>
          <w:sz w:val="24"/>
          <w:szCs w:val="24"/>
        </w:rPr>
        <w:t>minimis</w:t>
      </w:r>
      <w:proofErr w:type="spellEnd"/>
      <w:r w:rsidRPr="00B168A1">
        <w:rPr>
          <w:rFonts w:asciiTheme="minorHAnsi" w:hAnsiTheme="minorHAnsi" w:cstheme="minorHAnsi"/>
          <w:sz w:val="24"/>
          <w:szCs w:val="24"/>
        </w:rPr>
        <w:t>.</w:t>
      </w:r>
    </w:p>
    <w:p w14:paraId="5D81511C" w14:textId="77777777" w:rsidR="00B168A1" w:rsidRPr="00B168A1" w:rsidRDefault="00B168A1" w:rsidP="00F56C82">
      <w:pPr>
        <w:tabs>
          <w:tab w:val="left" w:pos="284"/>
        </w:tabs>
        <w:spacing w:after="0" w:line="360" w:lineRule="auto"/>
        <w:rPr>
          <w:rFonts w:cstheme="minorHAnsi"/>
          <w:sz w:val="24"/>
          <w:szCs w:val="24"/>
        </w:rPr>
      </w:pPr>
      <w:r w:rsidRPr="00B168A1">
        <w:rPr>
          <w:rFonts w:cstheme="minorHAnsi"/>
          <w:sz w:val="24"/>
          <w:szCs w:val="24"/>
        </w:rPr>
        <w:t xml:space="preserve">z zastrzeżeniem, że całkowita kwota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dla danego podmiotu (Beneficjenta / Partnera) w okresie trzech lat podatkowych (z uwzględnieniem wnioskowanej kwoty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oraz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otrzymanej z innych źródeł) nie może przekroczyć równowartości 200 000 EUR.</w:t>
      </w:r>
    </w:p>
    <w:p w14:paraId="45118D2B" w14:textId="77777777" w:rsidR="00803DA4" w:rsidRPr="00633E1B" w:rsidRDefault="00803DA4" w:rsidP="00F56C82">
      <w:pPr>
        <w:pStyle w:val="Default"/>
        <w:spacing w:line="360" w:lineRule="auto"/>
        <w:rPr>
          <w:rFonts w:asciiTheme="minorHAnsi" w:hAnsiTheme="minorHAnsi" w:cstheme="minorHAnsi"/>
          <w:b/>
          <w:bCs/>
          <w:color w:val="auto"/>
        </w:rPr>
      </w:pPr>
    </w:p>
    <w:p w14:paraId="4D6176F9" w14:textId="77777777" w:rsidR="009938A4" w:rsidRPr="00633E1B" w:rsidRDefault="00E24F33" w:rsidP="00F56C82">
      <w:pPr>
        <w:pStyle w:val="Default"/>
        <w:spacing w:line="360" w:lineRule="auto"/>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2F1E0BD2"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Wnioskodawca wypełnia wniosek o dofinansowanie za pośrednictwem aplikacji </w:t>
      </w:r>
      <w:r w:rsidRPr="00B168A1">
        <w:rPr>
          <w:rFonts w:cstheme="minorHAnsi"/>
          <w:b/>
          <w:bCs/>
          <w:sz w:val="24"/>
          <w:szCs w:val="28"/>
        </w:rPr>
        <w:t>Generator Wniosków o dofinansowanie EFRR</w:t>
      </w:r>
      <w:r w:rsidRPr="00B168A1">
        <w:rPr>
          <w:rFonts w:cstheme="minorHAnsi"/>
          <w:sz w:val="24"/>
          <w:szCs w:val="28"/>
        </w:rPr>
        <w:t>, dostępnej na stronie: https://snow-umwd.dolnyslask.pl/ i przesyła do IOK w ramach niniejszego konkursu w terminie:</w:t>
      </w:r>
    </w:p>
    <w:p w14:paraId="2EB83734" w14:textId="77777777" w:rsidR="00B168A1" w:rsidRPr="00B168A1" w:rsidRDefault="00B168A1" w:rsidP="00F56C82">
      <w:pPr>
        <w:spacing w:after="0" w:line="360" w:lineRule="auto"/>
        <w:rPr>
          <w:rFonts w:cstheme="minorHAnsi"/>
          <w:b/>
          <w:sz w:val="24"/>
          <w:szCs w:val="28"/>
        </w:rPr>
      </w:pPr>
      <w:r w:rsidRPr="00B168A1">
        <w:rPr>
          <w:rFonts w:cstheme="minorHAnsi"/>
          <w:b/>
          <w:sz w:val="24"/>
          <w:szCs w:val="28"/>
        </w:rPr>
        <w:t>od godz. 8:00 dnia 27 marca 2020 r. do godz. 15:00 dnia 9 kwietnia 2020 r.</w:t>
      </w:r>
    </w:p>
    <w:p w14:paraId="6C2A9D68" w14:textId="77777777" w:rsidR="00B168A1" w:rsidRPr="00B168A1" w:rsidRDefault="00B168A1" w:rsidP="00F56C82">
      <w:pPr>
        <w:spacing w:after="0" w:line="360" w:lineRule="auto"/>
        <w:rPr>
          <w:rFonts w:cstheme="minorHAnsi"/>
          <w:color w:val="FF0000"/>
          <w:sz w:val="24"/>
          <w:szCs w:val="28"/>
        </w:rPr>
      </w:pPr>
    </w:p>
    <w:p w14:paraId="39E57E9E"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Pr>
          <w:rFonts w:cstheme="minorHAnsi"/>
          <w:sz w:val="24"/>
          <w:szCs w:val="28"/>
        </w:rPr>
        <w:br/>
      </w:r>
      <w:r w:rsidRPr="00B168A1">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3437332A" w14:textId="77777777" w:rsidR="00B168A1" w:rsidRPr="00B168A1" w:rsidRDefault="00B168A1" w:rsidP="00F56C82">
      <w:pPr>
        <w:spacing w:after="0" w:line="360" w:lineRule="auto"/>
        <w:rPr>
          <w:rFonts w:cstheme="minorHAnsi"/>
          <w:sz w:val="24"/>
          <w:szCs w:val="28"/>
          <w:highlight w:val="lightGray"/>
        </w:rPr>
      </w:pPr>
    </w:p>
    <w:p w14:paraId="44B29BD6"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Ponadto, w ww. terminie </w:t>
      </w:r>
      <w:r w:rsidRPr="00B168A1">
        <w:rPr>
          <w:rFonts w:cstheme="minorHAnsi"/>
          <w:b/>
          <w:sz w:val="24"/>
          <w:szCs w:val="28"/>
        </w:rPr>
        <w:t>do godz. 15:00 dnia 9 kwietnia 2020 r.</w:t>
      </w:r>
      <w:r w:rsidRPr="00B168A1">
        <w:rPr>
          <w:rFonts w:cstheme="minorHAnsi"/>
          <w:sz w:val="24"/>
          <w:szCs w:val="28"/>
        </w:rPr>
        <w:t xml:space="preserve"> do siedziby IOK należy dostarczyć jeden egzemplarz wydrukowanej z aplikacji Generator Wniosków </w:t>
      </w:r>
      <w:r w:rsidRPr="00B168A1">
        <w:rPr>
          <w:rFonts w:cstheme="minorHAnsi"/>
          <w:b/>
          <w:bCs/>
          <w:sz w:val="24"/>
          <w:szCs w:val="28"/>
        </w:rPr>
        <w:t xml:space="preserve">papierowej wersji wniosku </w:t>
      </w:r>
      <w:r w:rsidR="0022191E">
        <w:rPr>
          <w:rFonts w:cstheme="minorHAnsi"/>
          <w:b/>
          <w:bCs/>
          <w:sz w:val="24"/>
          <w:szCs w:val="28"/>
        </w:rPr>
        <w:br/>
      </w:r>
      <w:r w:rsidRPr="00B168A1">
        <w:rPr>
          <w:rFonts w:cstheme="minorHAnsi"/>
          <w:b/>
          <w:bCs/>
          <w:sz w:val="24"/>
          <w:szCs w:val="28"/>
        </w:rPr>
        <w:t>o dofinansowanie</w:t>
      </w:r>
      <w:r w:rsidRPr="00B168A1">
        <w:rPr>
          <w:rFonts w:cstheme="minorHAnsi"/>
          <w:sz w:val="24"/>
          <w:szCs w:val="28"/>
        </w:rPr>
        <w:t xml:space="preserve">, opatrzonej czytelnym podpisem (podpisami) lub parafą i z pieczęcią imienną osoby uprawnionej (osób uprawnionych) do reprezentowania Wnioskodawcy (wraz </w:t>
      </w:r>
      <w:r w:rsidR="0022191E">
        <w:rPr>
          <w:rFonts w:cstheme="minorHAnsi"/>
          <w:sz w:val="24"/>
          <w:szCs w:val="28"/>
        </w:rPr>
        <w:br/>
      </w:r>
      <w:r w:rsidRPr="00B168A1">
        <w:rPr>
          <w:rFonts w:cstheme="minorHAnsi"/>
          <w:sz w:val="24"/>
          <w:szCs w:val="28"/>
        </w:rPr>
        <w:t xml:space="preserve">z podpisanymi załącznikami). Jednocześnie, wymaganą analizę finansową (w postaci arkuszy kalkulacyjnych w formacie Excel z aktywnymi formułami) przedłożyć należy na nośniku CD. </w:t>
      </w:r>
      <w:r w:rsidRPr="00B168A1">
        <w:rPr>
          <w:rFonts w:cstheme="minorHAnsi"/>
          <w:sz w:val="24"/>
          <w:szCs w:val="28"/>
        </w:rPr>
        <w:lastRenderedPageBreak/>
        <w:t xml:space="preserve">Załączniki będące kopiami dokumentów muszą być potwierdzone „za zgodność z oryginałem” przez osoby uprawnione do podpisania wniosku o dofinansowanie zgodnie </w:t>
      </w:r>
      <w:r w:rsidRPr="00B168A1">
        <w:rPr>
          <w:rFonts w:cstheme="minorHAnsi"/>
          <w:sz w:val="24"/>
          <w:szCs w:val="28"/>
        </w:rPr>
        <w:br/>
        <w:t xml:space="preserve">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Wnioski wypełnione odręcznie lub w języku obcym (obowiązuje język polski), nie będą rozpatrywane.  </w:t>
      </w:r>
    </w:p>
    <w:p w14:paraId="131148D2" w14:textId="77777777" w:rsidR="00B168A1" w:rsidRPr="00B168A1" w:rsidRDefault="00B168A1" w:rsidP="00F56C82">
      <w:pPr>
        <w:spacing w:after="0" w:line="360" w:lineRule="auto"/>
        <w:rPr>
          <w:rFonts w:cstheme="minorHAnsi"/>
          <w:color w:val="FF0000"/>
          <w:sz w:val="24"/>
          <w:szCs w:val="28"/>
        </w:rPr>
      </w:pPr>
    </w:p>
    <w:p w14:paraId="19235F3B" w14:textId="77777777" w:rsidR="00B168A1" w:rsidRPr="00B168A1" w:rsidRDefault="00B168A1" w:rsidP="00F56C82">
      <w:pPr>
        <w:spacing w:after="0" w:line="360" w:lineRule="auto"/>
        <w:rPr>
          <w:rFonts w:cstheme="minorHAnsi"/>
          <w:b/>
          <w:sz w:val="24"/>
          <w:szCs w:val="28"/>
        </w:rPr>
      </w:pPr>
      <w:r w:rsidRPr="00B168A1">
        <w:rPr>
          <w:rFonts w:cstheme="minorHAnsi"/>
          <w:b/>
          <w:sz w:val="24"/>
          <w:szCs w:val="28"/>
        </w:rPr>
        <w:t xml:space="preserve">Za datę wpływu do IOK uznaje się datę wpływu wniosku o dofinansowanie w wersji papierowej. </w:t>
      </w:r>
    </w:p>
    <w:p w14:paraId="7D092416" w14:textId="77777777" w:rsidR="00B168A1" w:rsidRPr="00B168A1" w:rsidRDefault="00B168A1" w:rsidP="00F56C82">
      <w:pPr>
        <w:spacing w:after="0" w:line="360" w:lineRule="auto"/>
        <w:rPr>
          <w:rFonts w:cstheme="minorHAnsi"/>
          <w:sz w:val="24"/>
          <w:szCs w:val="28"/>
        </w:rPr>
      </w:pPr>
    </w:p>
    <w:p w14:paraId="62BA4F09"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Papierowa wersja wniosku może zostać dostarczona:  </w:t>
      </w:r>
    </w:p>
    <w:p w14:paraId="2076ED9B"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a) osobiście lub za pośrednictwem kuriera do kancelarii Departamentu Funduszy Europejskich, mieszczącej się pod adresem: </w:t>
      </w:r>
    </w:p>
    <w:p w14:paraId="0D8604EA" w14:textId="77777777" w:rsidR="00B168A1" w:rsidRPr="00B168A1" w:rsidRDefault="00B168A1" w:rsidP="00F56C82">
      <w:pPr>
        <w:spacing w:after="0" w:line="360" w:lineRule="auto"/>
        <w:rPr>
          <w:rFonts w:cstheme="minorHAnsi"/>
          <w:sz w:val="24"/>
          <w:szCs w:val="28"/>
        </w:rPr>
      </w:pPr>
      <w:bookmarkStart w:id="6" w:name="_Hlk18060287"/>
      <w:r w:rsidRPr="00B168A1">
        <w:rPr>
          <w:rFonts w:cstheme="minorHAnsi"/>
          <w:sz w:val="24"/>
          <w:szCs w:val="28"/>
        </w:rPr>
        <w:t>Urząd Marszałkowski Województwa Dolnośląskiego</w:t>
      </w:r>
    </w:p>
    <w:p w14:paraId="697741EC"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Departament Funduszy Europejskich</w:t>
      </w:r>
    </w:p>
    <w:p w14:paraId="1F28EE6D"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ul. Mazowiecka 17</w:t>
      </w:r>
    </w:p>
    <w:p w14:paraId="004F9076"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50-412 Wrocław</w:t>
      </w:r>
    </w:p>
    <w:bookmarkEnd w:id="6"/>
    <w:p w14:paraId="0765AF93"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II piętro, pokój nr 2019;</w:t>
      </w:r>
    </w:p>
    <w:p w14:paraId="630D506D"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albo</w:t>
      </w:r>
    </w:p>
    <w:p w14:paraId="10D34C65"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b) za pośrednictwem polskiego operatora pocztowego wyznaczonego,  w rozumieniu ustawy </w:t>
      </w:r>
      <w:r w:rsidRPr="00B168A1">
        <w:rPr>
          <w:sz w:val="24"/>
          <w:szCs w:val="24"/>
        </w:rPr>
        <w:t>z dnia</w:t>
      </w:r>
      <w:r w:rsidRPr="00B168A1">
        <w:rPr>
          <w:rFonts w:cstheme="minorHAnsi"/>
          <w:sz w:val="24"/>
          <w:szCs w:val="28"/>
        </w:rPr>
        <w:t xml:space="preserve"> 23 listopada 2012 r. – Prawo pocztowe, tj. Poczty Polskiej S.A., na adres:  </w:t>
      </w:r>
    </w:p>
    <w:p w14:paraId="15266AFA"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Urząd Marszałkowski Województwa Dolnośląskiego</w:t>
      </w:r>
    </w:p>
    <w:p w14:paraId="7DE2B9B4"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Departament Funduszy Europejskich</w:t>
      </w:r>
    </w:p>
    <w:p w14:paraId="7DFB3A21"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ul. Mazowiecka 17</w:t>
      </w:r>
    </w:p>
    <w:p w14:paraId="29F1FB0D"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50-412 Wrocław</w:t>
      </w:r>
    </w:p>
    <w:p w14:paraId="4338ED53"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II piętro, pokój nr 2019.</w:t>
      </w:r>
    </w:p>
    <w:p w14:paraId="79F56D8E" w14:textId="77777777" w:rsidR="00B168A1" w:rsidRPr="00B168A1" w:rsidRDefault="00B168A1" w:rsidP="00F56C82">
      <w:pPr>
        <w:spacing w:after="0" w:line="360" w:lineRule="auto"/>
        <w:rPr>
          <w:rFonts w:cstheme="minorHAnsi"/>
          <w:sz w:val="24"/>
          <w:szCs w:val="28"/>
        </w:rPr>
      </w:pPr>
    </w:p>
    <w:p w14:paraId="5778C9B6"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lastRenderedPageBreak/>
        <w:t xml:space="preserve">Zgodnie z art. 57 § 5 KPA termin uważa się za zachowany, jeżeli przed jego upływem nadano pismo w polskiej placówce pocztowej operatora wyznaczonego w rozumieniu ustawy z dnia 23 listopada 2012 r. – Prawo pocztowe. W takim wypadku za datę wpływu wniosku o dofinansowanie uznaje się datę nadania przesyłki. </w:t>
      </w:r>
    </w:p>
    <w:p w14:paraId="4FDF1EF6" w14:textId="77777777" w:rsidR="00B168A1" w:rsidRPr="00B168A1" w:rsidRDefault="00B168A1" w:rsidP="00F56C82">
      <w:pPr>
        <w:spacing w:after="0" w:line="360" w:lineRule="auto"/>
        <w:rPr>
          <w:rFonts w:cstheme="minorHAnsi"/>
          <w:sz w:val="24"/>
          <w:szCs w:val="28"/>
        </w:rPr>
      </w:pPr>
    </w:p>
    <w:p w14:paraId="3DB3A706" w14:textId="77777777" w:rsidR="00B168A1" w:rsidRPr="00B168A1" w:rsidRDefault="00B168A1" w:rsidP="00F56C82">
      <w:pPr>
        <w:spacing w:after="0" w:line="360" w:lineRule="auto"/>
        <w:rPr>
          <w:rFonts w:cstheme="minorHAnsi"/>
          <w:sz w:val="24"/>
          <w:szCs w:val="28"/>
        </w:rPr>
      </w:pPr>
      <w:r w:rsidRPr="00B168A1">
        <w:rPr>
          <w:rFonts w:cstheme="minorHAnsi"/>
          <w:b/>
          <w:bCs/>
          <w:sz w:val="24"/>
          <w:szCs w:val="28"/>
        </w:rPr>
        <w:t>Suma kontrolna wersji elektronicznej wniosku o dofinansowanie (w systemie) musi być identyczna z sumą kontrolną papierowej wersji wniosku</w:t>
      </w:r>
      <w:r w:rsidRPr="00B168A1">
        <w:rPr>
          <w:rFonts w:cstheme="minorHAnsi"/>
          <w:sz w:val="24"/>
          <w:szCs w:val="28"/>
        </w:rPr>
        <w:t xml:space="preserve">. </w:t>
      </w:r>
    </w:p>
    <w:p w14:paraId="301B5AFC" w14:textId="77777777" w:rsidR="00B168A1" w:rsidRPr="00B168A1" w:rsidRDefault="00B168A1" w:rsidP="00F56C82">
      <w:pPr>
        <w:spacing w:after="0" w:line="360" w:lineRule="auto"/>
        <w:rPr>
          <w:rFonts w:cstheme="minorHAnsi"/>
          <w:sz w:val="24"/>
          <w:szCs w:val="28"/>
        </w:rPr>
      </w:pPr>
    </w:p>
    <w:p w14:paraId="247E4C2A"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Wniosek wraz z załącznikami (jeśli dotyczy) należy złożyć w zamkniętej kopercie (lub innym opakowaniu, np. pudełku), opisany w następujący sposób: </w:t>
      </w:r>
    </w:p>
    <w:p w14:paraId="1C3CC033" w14:textId="77777777" w:rsidR="00B168A1" w:rsidRPr="00B168A1" w:rsidRDefault="00B168A1" w:rsidP="00F56C82">
      <w:pPr>
        <w:pStyle w:val="Akapitzlist"/>
        <w:numPr>
          <w:ilvl w:val="0"/>
          <w:numId w:val="1"/>
        </w:numPr>
        <w:spacing w:before="0" w:line="360" w:lineRule="auto"/>
        <w:ind w:left="284" w:hanging="284"/>
        <w:contextualSpacing/>
        <w:rPr>
          <w:rFonts w:asciiTheme="minorHAnsi" w:hAnsiTheme="minorHAnsi" w:cstheme="minorHAnsi"/>
          <w:sz w:val="24"/>
          <w:szCs w:val="28"/>
        </w:rPr>
      </w:pPr>
      <w:r w:rsidRPr="00B168A1">
        <w:rPr>
          <w:rFonts w:asciiTheme="minorHAnsi" w:hAnsiTheme="minorHAnsi" w:cstheme="minorHAnsi"/>
          <w:sz w:val="24"/>
          <w:szCs w:val="28"/>
        </w:rPr>
        <w:t>pełna nazwa Wnioskodawcy wraz z adresem;</w:t>
      </w:r>
    </w:p>
    <w:p w14:paraId="61A62F4E" w14:textId="77777777" w:rsidR="00B168A1" w:rsidRPr="00B168A1" w:rsidRDefault="00B168A1" w:rsidP="00F56C82">
      <w:pPr>
        <w:pStyle w:val="Akapitzlist"/>
        <w:numPr>
          <w:ilvl w:val="0"/>
          <w:numId w:val="1"/>
        </w:numPr>
        <w:spacing w:before="0" w:line="360" w:lineRule="auto"/>
        <w:ind w:left="284" w:hanging="284"/>
        <w:contextualSpacing/>
        <w:rPr>
          <w:rFonts w:asciiTheme="minorHAnsi" w:hAnsiTheme="minorHAnsi" w:cstheme="minorHAnsi"/>
          <w:sz w:val="24"/>
          <w:szCs w:val="28"/>
        </w:rPr>
      </w:pPr>
      <w:r w:rsidRPr="00B168A1">
        <w:rPr>
          <w:rFonts w:asciiTheme="minorHAnsi" w:hAnsiTheme="minorHAnsi" w:cstheme="minorHAnsi"/>
          <w:sz w:val="24"/>
          <w:szCs w:val="28"/>
        </w:rPr>
        <w:t>wniosek o dofinansowanie projektu w ramach naboru nr RPDS.03.04.02-IZ.00-02-384/20;</w:t>
      </w:r>
    </w:p>
    <w:p w14:paraId="3F71A7D1" w14:textId="77777777" w:rsidR="00B168A1" w:rsidRPr="00B168A1" w:rsidRDefault="00B168A1" w:rsidP="00F56C82">
      <w:pPr>
        <w:pStyle w:val="Akapitzlist"/>
        <w:numPr>
          <w:ilvl w:val="0"/>
          <w:numId w:val="1"/>
        </w:numPr>
        <w:spacing w:before="0" w:line="360" w:lineRule="auto"/>
        <w:ind w:left="284" w:hanging="284"/>
        <w:contextualSpacing/>
        <w:rPr>
          <w:rFonts w:asciiTheme="minorHAnsi" w:hAnsiTheme="minorHAnsi" w:cstheme="minorHAnsi"/>
          <w:sz w:val="24"/>
          <w:szCs w:val="28"/>
        </w:rPr>
      </w:pPr>
      <w:r w:rsidRPr="00B168A1">
        <w:rPr>
          <w:rFonts w:asciiTheme="minorHAnsi" w:hAnsiTheme="minorHAnsi" w:cstheme="minorHAnsi"/>
          <w:sz w:val="24"/>
          <w:szCs w:val="28"/>
        </w:rPr>
        <w:t>tytuł projektu;</w:t>
      </w:r>
    </w:p>
    <w:p w14:paraId="063FC6A9" w14:textId="77777777" w:rsidR="00B168A1" w:rsidRPr="00B168A1" w:rsidRDefault="00B168A1" w:rsidP="00F56C82">
      <w:pPr>
        <w:pStyle w:val="Akapitzlist"/>
        <w:numPr>
          <w:ilvl w:val="0"/>
          <w:numId w:val="1"/>
        </w:numPr>
        <w:spacing w:before="0" w:line="360" w:lineRule="auto"/>
        <w:ind w:left="284" w:hanging="284"/>
        <w:contextualSpacing/>
        <w:rPr>
          <w:rFonts w:asciiTheme="minorHAnsi" w:hAnsiTheme="minorHAnsi" w:cstheme="minorHAnsi"/>
          <w:sz w:val="24"/>
          <w:szCs w:val="28"/>
        </w:rPr>
      </w:pPr>
      <w:r w:rsidRPr="00B168A1">
        <w:rPr>
          <w:rFonts w:asciiTheme="minorHAnsi" w:hAnsiTheme="minorHAnsi" w:cstheme="minorHAnsi"/>
          <w:sz w:val="24"/>
          <w:szCs w:val="28"/>
        </w:rPr>
        <w:t>numer wniosku o dofinansowanie;</w:t>
      </w:r>
    </w:p>
    <w:p w14:paraId="57B4EAAE" w14:textId="77777777" w:rsidR="00B168A1" w:rsidRPr="00B168A1" w:rsidRDefault="00B168A1" w:rsidP="00F56C82">
      <w:pPr>
        <w:pStyle w:val="Akapitzlist"/>
        <w:numPr>
          <w:ilvl w:val="0"/>
          <w:numId w:val="1"/>
        </w:numPr>
        <w:spacing w:before="0" w:line="360" w:lineRule="auto"/>
        <w:ind w:left="284" w:hanging="284"/>
        <w:contextualSpacing/>
        <w:rPr>
          <w:rFonts w:asciiTheme="minorHAnsi" w:hAnsiTheme="minorHAnsi" w:cstheme="minorHAnsi"/>
          <w:sz w:val="24"/>
          <w:szCs w:val="28"/>
        </w:rPr>
      </w:pPr>
      <w:r w:rsidRPr="00B168A1">
        <w:rPr>
          <w:rFonts w:asciiTheme="minorHAnsi" w:hAnsiTheme="minorHAnsi" w:cstheme="minorHAnsi"/>
          <w:sz w:val="24"/>
          <w:szCs w:val="28"/>
        </w:rPr>
        <w:t>dopisek: „Nie otwierać przed wpływem do Wydziału Wdrażania EFRR”.</w:t>
      </w:r>
    </w:p>
    <w:p w14:paraId="529BF245" w14:textId="77777777" w:rsidR="00B168A1" w:rsidRPr="00B168A1" w:rsidRDefault="00B168A1" w:rsidP="00F56C82">
      <w:pPr>
        <w:spacing w:after="0" w:line="360" w:lineRule="auto"/>
        <w:rPr>
          <w:rFonts w:cstheme="minorHAnsi"/>
          <w:sz w:val="24"/>
          <w:szCs w:val="28"/>
        </w:rPr>
      </w:pPr>
    </w:p>
    <w:p w14:paraId="43AA31D5"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Wraz z wnioskiem należy dostarczyć pismo przewodnie, na którym zostanie potwierdzony wpływ wniosku do IOK. Pismo to powinno zawierać te same informacje, które znajdują się na kopercie. </w:t>
      </w:r>
    </w:p>
    <w:p w14:paraId="7346A060" w14:textId="77777777" w:rsidR="00B168A1" w:rsidRPr="00B168A1" w:rsidRDefault="00B168A1" w:rsidP="00F56C82">
      <w:pPr>
        <w:spacing w:after="0" w:line="360" w:lineRule="auto"/>
        <w:rPr>
          <w:rFonts w:cstheme="minorHAnsi"/>
          <w:color w:val="FF0000"/>
          <w:sz w:val="24"/>
          <w:szCs w:val="28"/>
        </w:rPr>
      </w:pPr>
    </w:p>
    <w:p w14:paraId="77838792"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0BF4E042" w14:textId="77777777" w:rsidR="00B168A1" w:rsidRPr="00B168A1" w:rsidRDefault="00B168A1" w:rsidP="00F56C82">
      <w:pPr>
        <w:spacing w:after="0" w:line="360" w:lineRule="auto"/>
        <w:rPr>
          <w:rFonts w:cstheme="minorHAnsi"/>
          <w:sz w:val="24"/>
          <w:szCs w:val="28"/>
        </w:rPr>
      </w:pPr>
    </w:p>
    <w:p w14:paraId="4C4BECF6"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W przypadku złożenia wniosku o dofinansowanie projektu po terminie wskazanym </w:t>
      </w:r>
      <w:r w:rsidRPr="00B168A1">
        <w:rPr>
          <w:rFonts w:cstheme="minorHAnsi"/>
          <w:sz w:val="24"/>
          <w:szCs w:val="28"/>
        </w:rPr>
        <w:br/>
        <w:t>w ogłoszeniu o konkursie wniosek pozostawia się bez rozpatrzenia.</w:t>
      </w:r>
    </w:p>
    <w:p w14:paraId="17CE80EC" w14:textId="77777777" w:rsidR="00B168A1" w:rsidRPr="00B168A1" w:rsidRDefault="00B168A1" w:rsidP="00F56C82">
      <w:pPr>
        <w:spacing w:after="0" w:line="360" w:lineRule="auto"/>
        <w:rPr>
          <w:rFonts w:cstheme="minorHAnsi"/>
          <w:sz w:val="24"/>
          <w:szCs w:val="28"/>
        </w:rPr>
      </w:pPr>
    </w:p>
    <w:p w14:paraId="68349242"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w:t>
      </w:r>
      <w:r w:rsidRPr="00B168A1">
        <w:rPr>
          <w:rFonts w:cstheme="minorHAnsi"/>
          <w:sz w:val="24"/>
          <w:szCs w:val="28"/>
        </w:rPr>
        <w:lastRenderedPageBreak/>
        <w:t>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43DBD47B"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Wnioskodawca ma możliwość wycofania wniosku o dofinansowanie podczas trwania konkursu oraz na każdym etapie jego oceny. Należy wówczas dostarczyć do IOK pismo z prośbą o </w:t>
      </w:r>
      <w:r w:rsidRPr="00B168A1">
        <w:rPr>
          <w:sz w:val="24"/>
          <w:szCs w:val="24"/>
        </w:rPr>
        <w:t>wycofanie</w:t>
      </w:r>
      <w:r w:rsidRPr="00B168A1">
        <w:rPr>
          <w:rFonts w:cstheme="minorHAnsi"/>
          <w:sz w:val="24"/>
          <w:szCs w:val="28"/>
        </w:rPr>
        <w:t xml:space="preserve"> wniosku podpisane przez osobę uprawnioną (osoby uprawnione) do podejmowania decyzji w imieniu Wnioskodawcy.</w:t>
      </w:r>
    </w:p>
    <w:p w14:paraId="637338BD" w14:textId="77777777" w:rsidR="00B168A1" w:rsidRPr="00B168A1" w:rsidRDefault="00B168A1" w:rsidP="00F56C82">
      <w:pPr>
        <w:spacing w:after="0" w:line="360" w:lineRule="auto"/>
        <w:rPr>
          <w:rFonts w:cstheme="minorHAnsi"/>
          <w:sz w:val="24"/>
          <w:szCs w:val="28"/>
        </w:rPr>
      </w:pPr>
    </w:p>
    <w:p w14:paraId="5654A47E"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08375CF4" w14:textId="77777777" w:rsidR="00B168A1" w:rsidRPr="00B168A1" w:rsidRDefault="00B168A1" w:rsidP="00F56C82">
      <w:pPr>
        <w:spacing w:after="0" w:line="360" w:lineRule="auto"/>
        <w:rPr>
          <w:rFonts w:cstheme="minorHAnsi"/>
          <w:sz w:val="24"/>
          <w:szCs w:val="28"/>
        </w:rPr>
      </w:pPr>
    </w:p>
    <w:p w14:paraId="4EF5B4B0" w14:textId="77777777" w:rsidR="00B168A1" w:rsidRPr="00B168A1" w:rsidRDefault="00B168A1" w:rsidP="00F56C82">
      <w:pPr>
        <w:spacing w:after="0" w:line="360" w:lineRule="auto"/>
        <w:rPr>
          <w:rFonts w:cstheme="minorHAnsi"/>
          <w:sz w:val="24"/>
          <w:szCs w:val="28"/>
        </w:rPr>
      </w:pPr>
      <w:r w:rsidRPr="00B168A1">
        <w:rPr>
          <w:rFonts w:cstheme="minorHAnsi"/>
          <w:sz w:val="24"/>
          <w:szCs w:val="28"/>
        </w:rPr>
        <w:t>IOK nie przewiduje możliwości skrócenia terminu składania wniosków o dofinansowanie.</w:t>
      </w:r>
    </w:p>
    <w:p w14:paraId="432198AE" w14:textId="77777777" w:rsidR="00B168A1" w:rsidRPr="00B168A1" w:rsidRDefault="00B168A1" w:rsidP="00F56C82">
      <w:pPr>
        <w:spacing w:after="0" w:line="360" w:lineRule="auto"/>
        <w:rPr>
          <w:rFonts w:cstheme="minorHAnsi"/>
          <w:sz w:val="24"/>
          <w:szCs w:val="28"/>
        </w:rPr>
      </w:pPr>
    </w:p>
    <w:p w14:paraId="7AEB35C1" w14:textId="77777777" w:rsidR="00B168A1" w:rsidRPr="00B168A1" w:rsidRDefault="00B168A1" w:rsidP="00F56C82">
      <w:pPr>
        <w:spacing w:after="0" w:line="360" w:lineRule="auto"/>
        <w:rPr>
          <w:rFonts w:cstheme="minorHAnsi"/>
          <w:b/>
          <w:sz w:val="24"/>
          <w:szCs w:val="28"/>
        </w:rPr>
      </w:pPr>
      <w:r w:rsidRPr="00B168A1">
        <w:rPr>
          <w:rFonts w:cstheme="minorHAnsi"/>
          <w:b/>
          <w:sz w:val="24"/>
          <w:szCs w:val="28"/>
        </w:rPr>
        <w:t>Forma składania wniosków określona w tym punkcie Regulaminu obowiązuje także przy składaniu każdej poprawionej wersji wniosku o dofinansowanie.</w:t>
      </w:r>
    </w:p>
    <w:p w14:paraId="2C7A388E" w14:textId="77777777" w:rsidR="0031238E" w:rsidRDefault="0031238E" w:rsidP="00F56C82">
      <w:pPr>
        <w:tabs>
          <w:tab w:val="left" w:pos="2835"/>
        </w:tabs>
        <w:spacing w:line="360" w:lineRule="auto"/>
        <w:rPr>
          <w:rFonts w:cstheme="minorHAnsi"/>
          <w:b/>
          <w:bCs/>
          <w:sz w:val="24"/>
          <w:szCs w:val="24"/>
        </w:rPr>
      </w:pPr>
    </w:p>
    <w:p w14:paraId="67D87AC6" w14:textId="77777777" w:rsidR="009938A4" w:rsidRPr="00633E1B" w:rsidRDefault="00DE0D45" w:rsidP="00F56C82">
      <w:pPr>
        <w:tabs>
          <w:tab w:val="left" w:pos="2835"/>
        </w:tabs>
        <w:spacing w:line="36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76EAD9F0" w14:textId="77777777" w:rsidR="000565B1" w:rsidRPr="00633E1B" w:rsidRDefault="009938A4" w:rsidP="00F56C82">
      <w:pPr>
        <w:spacing w:after="0" w:line="36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p w14:paraId="2AB7CE7D" w14:textId="77777777" w:rsidR="009938A4" w:rsidRPr="00633E1B" w:rsidRDefault="009938A4" w:rsidP="00F56C82">
      <w:pPr>
        <w:tabs>
          <w:tab w:val="left" w:pos="2835"/>
        </w:tabs>
        <w:spacing w:line="360" w:lineRule="auto"/>
        <w:rPr>
          <w:rFonts w:cstheme="minorHAnsi"/>
          <w:b/>
          <w:sz w:val="24"/>
          <w:szCs w:val="24"/>
          <w:u w:val="single"/>
        </w:rPr>
      </w:pPr>
    </w:p>
    <w:p w14:paraId="68796674" w14:textId="77777777" w:rsidR="009938A4" w:rsidRPr="00633E1B" w:rsidRDefault="009938A4" w:rsidP="00F56C82">
      <w:pPr>
        <w:tabs>
          <w:tab w:val="left" w:pos="2835"/>
        </w:tabs>
        <w:spacing w:line="240" w:lineRule="auto"/>
        <w:rPr>
          <w:rFonts w:cstheme="minorHAnsi"/>
          <w:b/>
          <w:sz w:val="24"/>
          <w:szCs w:val="24"/>
          <w:u w:val="single"/>
        </w:rPr>
      </w:pPr>
    </w:p>
    <w:p w14:paraId="145C5034" w14:textId="77777777" w:rsidR="009938A4" w:rsidRPr="00633E1B" w:rsidRDefault="009938A4" w:rsidP="00F56C82">
      <w:pPr>
        <w:tabs>
          <w:tab w:val="left" w:pos="2835"/>
        </w:tabs>
        <w:spacing w:line="240" w:lineRule="auto"/>
        <w:rPr>
          <w:rFonts w:cstheme="minorHAnsi"/>
          <w:b/>
          <w:sz w:val="24"/>
          <w:szCs w:val="24"/>
          <w:u w:val="single"/>
        </w:rPr>
      </w:pPr>
    </w:p>
    <w:p w14:paraId="347D891F" w14:textId="77777777" w:rsidR="009938A4" w:rsidRPr="00633E1B" w:rsidRDefault="009938A4" w:rsidP="00F56C82">
      <w:pPr>
        <w:tabs>
          <w:tab w:val="left" w:pos="2835"/>
        </w:tabs>
        <w:spacing w:line="240" w:lineRule="auto"/>
        <w:rPr>
          <w:rFonts w:cstheme="minorHAnsi"/>
          <w:b/>
          <w:sz w:val="24"/>
          <w:szCs w:val="24"/>
          <w:u w:val="single"/>
        </w:rPr>
      </w:pPr>
    </w:p>
    <w:p w14:paraId="4F0246DF" w14:textId="77777777" w:rsidR="009938A4" w:rsidRPr="00633E1B" w:rsidRDefault="009938A4" w:rsidP="00F56C82">
      <w:pPr>
        <w:tabs>
          <w:tab w:val="left" w:pos="2835"/>
        </w:tabs>
        <w:spacing w:line="240" w:lineRule="auto"/>
        <w:rPr>
          <w:rFonts w:cstheme="minorHAnsi"/>
          <w:b/>
          <w:sz w:val="24"/>
          <w:szCs w:val="24"/>
          <w:u w:val="single"/>
        </w:rPr>
      </w:pPr>
    </w:p>
    <w:bookmarkEnd w:id="0"/>
    <w:p w14:paraId="2565C656" w14:textId="77777777" w:rsidR="00E770C3" w:rsidRPr="00633E1B" w:rsidRDefault="00E770C3" w:rsidP="00F56C82">
      <w:pPr>
        <w:tabs>
          <w:tab w:val="left" w:pos="1965"/>
        </w:tabs>
        <w:spacing w:line="240" w:lineRule="auto"/>
        <w:rPr>
          <w:rFonts w:cstheme="minorHAnsi"/>
          <w:sz w:val="24"/>
          <w:szCs w:val="24"/>
        </w:rPr>
      </w:pPr>
    </w:p>
    <w:sectPr w:rsidR="00E770C3" w:rsidRPr="00633E1B"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09FB5" w14:textId="77777777" w:rsidR="00A2376A" w:rsidRDefault="00A2376A" w:rsidP="00E873C4">
      <w:pPr>
        <w:spacing w:after="0" w:line="240" w:lineRule="auto"/>
      </w:pPr>
      <w:r>
        <w:separator/>
      </w:r>
    </w:p>
  </w:endnote>
  <w:endnote w:type="continuationSeparator" w:id="0">
    <w:p w14:paraId="78944335" w14:textId="77777777" w:rsidR="00A2376A" w:rsidRDefault="00A2376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14:paraId="2A06BD5B"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5F9B1E67"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7E95" w14:textId="77777777" w:rsidR="00A2376A" w:rsidRDefault="00A2376A" w:rsidP="00E873C4">
      <w:pPr>
        <w:spacing w:after="0" w:line="240" w:lineRule="auto"/>
      </w:pPr>
      <w:r>
        <w:separator/>
      </w:r>
    </w:p>
  </w:footnote>
  <w:footnote w:type="continuationSeparator" w:id="0">
    <w:p w14:paraId="1DE29481" w14:textId="77777777" w:rsidR="00A2376A" w:rsidRDefault="00A2376A"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56C82"/>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9A892"/>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1E34-934F-4B81-9832-16E2AB18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20580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2019-09-30T11:36:00Z</cp:lastPrinted>
  <dcterms:created xsi:type="dcterms:W3CDTF">2020-02-24T13:01:00Z</dcterms:created>
  <dcterms:modified xsi:type="dcterms:W3CDTF">2020-02-24T13:01:00Z</dcterms:modified>
</cp:coreProperties>
</file>