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r w:rsidR="0078091F">
        <w:rPr>
          <w:sz w:val="28"/>
          <w:szCs w:val="28"/>
        </w:rPr>
        <w:t xml:space="preserve">lipiec </w:t>
      </w:r>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2" w:name="_Toc432758963"/>
    <w:bookmarkStart w:id="3" w:name="_Toc430826815"/>
    <w:bookmarkStart w:id="4"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8D0999">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5" w:name="_Toc29300261"/>
      <w:r>
        <w:rPr>
          <w:color w:val="00000A"/>
        </w:rPr>
        <w:lastRenderedPageBreak/>
        <w:t xml:space="preserve">1. </w:t>
      </w:r>
      <w:bookmarkStart w:id="6" w:name="_Toc497464978"/>
      <w:r>
        <w:rPr>
          <w:color w:val="00000A"/>
        </w:rPr>
        <w:t>Słownik skrótów i pojęć</w:t>
      </w:r>
      <w:bookmarkEnd w:id="5"/>
      <w:bookmarkEnd w:id="6"/>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7" w:name="_Toc29300262"/>
      <w:bookmarkEnd w:id="2"/>
      <w:bookmarkEnd w:id="3"/>
      <w:bookmarkEnd w:id="4"/>
      <w:r>
        <w:t xml:space="preserve">2. </w:t>
      </w:r>
      <w:bookmarkStart w:id="8" w:name="_Toc497464981"/>
      <w:r>
        <w:t>Podstawy prawne oraz inne ważne dokumenty</w:t>
      </w:r>
      <w:bookmarkEnd w:id="7"/>
      <w:bookmarkEnd w:id="8"/>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lipca 2014 r. o zasadach realizacji programów w zakresie polityki spójności finansowanych w perspektywie finansowej 2014–2020 (Dz. U. z </w:t>
      </w:r>
      <w:r w:rsidR="00D63CA5">
        <w:rPr>
          <w:rFonts w:ascii="Calibri" w:hAnsi="Calibri"/>
          <w:color w:val="000000"/>
          <w:sz w:val="24"/>
          <w:szCs w:val="24"/>
        </w:rPr>
        <w:t xml:space="preserve">2020 </w:t>
      </w:r>
      <w:r>
        <w:rPr>
          <w:rFonts w:ascii="Calibri" w:hAnsi="Calibri"/>
          <w:color w:val="000000"/>
          <w:sz w:val="24"/>
          <w:szCs w:val="24"/>
        </w:rPr>
        <w:t xml:space="preserve">r. poz. </w:t>
      </w:r>
      <w:r w:rsidR="00D63CA5">
        <w:rPr>
          <w:rFonts w:ascii="Calibri" w:hAnsi="Calibri"/>
          <w:color w:val="000000"/>
          <w:sz w:val="24"/>
          <w:szCs w:val="24"/>
        </w:rPr>
        <w:t>818</w:t>
      </w:r>
      <w:r>
        <w:rPr>
          <w:rFonts w:ascii="Calibri" w:hAnsi="Calibri"/>
          <w:color w:val="000000"/>
          <w:sz w:val="24"/>
          <w:szCs w:val="24"/>
        </w:rPr>
        <w:t>)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3 października 2008 r. o udostępnianiu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9"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9"/>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0"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0"/>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1" w:name="_Toc29300263"/>
      <w:r>
        <w:t xml:space="preserve">3. </w:t>
      </w:r>
      <w:r>
        <w:rPr>
          <w:color w:val="00000A"/>
        </w:rPr>
        <w:t>Postanowienia ogólne</w:t>
      </w:r>
      <w:bookmarkStart w:id="12" w:name="_Toc497464979"/>
      <w:bookmarkEnd w:id="11"/>
      <w:bookmarkEnd w:id="12"/>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13" w:name="_Toc29300264"/>
      <w:r>
        <w:t>4</w:t>
      </w:r>
      <w:r w:rsidR="002E7BC9">
        <w:t xml:space="preserve">. </w:t>
      </w:r>
      <w:bookmarkStart w:id="14" w:name="_Toc497464980"/>
      <w:r w:rsidR="000461A8">
        <w:t>Pełna nazwa i adres właściwej Instytucji Organizującej K</w:t>
      </w:r>
      <w:r w:rsidR="002E7BC9">
        <w:t>onkurs</w:t>
      </w:r>
      <w:bookmarkEnd w:id="13"/>
      <w:bookmarkEnd w:id="14"/>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15" w:name="_Toc29300265"/>
      <w:r>
        <w:t>5</w:t>
      </w:r>
      <w:r w:rsidR="002E7BC9">
        <w:t xml:space="preserve">. </w:t>
      </w:r>
      <w:bookmarkStart w:id="16" w:name="_Toc497464982"/>
      <w:r w:rsidR="002E7BC9">
        <w:t>Przedmiot konkursu, w tym typy projektów podlegających dofinansowaniu</w:t>
      </w:r>
      <w:bookmarkEnd w:id="15"/>
      <w:bookmarkEnd w:id="16"/>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17" w:name="_Toc29300266"/>
      <w:r>
        <w:t>6</w:t>
      </w:r>
      <w:r w:rsidR="002E7BC9">
        <w:t xml:space="preserve">. </w:t>
      </w:r>
      <w:bookmarkStart w:id="18" w:name="_Toc497464983"/>
      <w:r w:rsidR="002E7BC9">
        <w:t>Typy wnioskodawców</w:t>
      </w:r>
      <w:bookmarkEnd w:id="18"/>
      <w:r w:rsidR="002E7BC9">
        <w:t>/beneficjentów oraz partnerów</w:t>
      </w:r>
      <w:bookmarkEnd w:id="17"/>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19" w:name="_Toc29300267"/>
      <w:r>
        <w:t>7</w:t>
      </w:r>
      <w:r w:rsidR="002E7BC9">
        <w:t xml:space="preserve">. </w:t>
      </w:r>
      <w:bookmarkStart w:id="20" w:name="_Toc497464984"/>
      <w:r w:rsidR="002E7BC9">
        <w:t>Kwota przeznaczona na dofinansowanie projektów w konkursie</w:t>
      </w:r>
      <w:bookmarkEnd w:id="19"/>
      <w:bookmarkEnd w:id="20"/>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1"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1"/>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22" w:name="_Toc29300268"/>
      <w:r>
        <w:t>8</w:t>
      </w:r>
      <w:r w:rsidR="002E7BC9">
        <w:t xml:space="preserve">. </w:t>
      </w:r>
      <w:bookmarkStart w:id="23" w:name="_Toc497464985"/>
      <w:r w:rsidR="002E7BC9">
        <w:t>Minimalna wartość projektu</w:t>
      </w:r>
      <w:bookmarkEnd w:id="23"/>
      <w:r w:rsidR="000C1969">
        <w:t>/wydatków kwalifikowalnych projektu</w:t>
      </w:r>
      <w:bookmarkEnd w:id="22"/>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24" w:name="_Toc29300269"/>
      <w:r>
        <w:t>9</w:t>
      </w:r>
      <w:r w:rsidR="002E7BC9">
        <w:t xml:space="preserve">. </w:t>
      </w:r>
      <w:bookmarkStart w:id="25" w:name="_Toc497464986"/>
      <w:r w:rsidR="002E7BC9">
        <w:t>Maksymalna wartość projektu</w:t>
      </w:r>
      <w:bookmarkEnd w:id="25"/>
      <w:r w:rsidR="000C1969">
        <w:t>/wydatków kwalifikowalnych projektu</w:t>
      </w:r>
      <w:bookmarkEnd w:id="24"/>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26" w:name="_Toc29300270"/>
      <w:r>
        <w:rPr>
          <w:rStyle w:val="Nagwek1Znak"/>
          <w:b/>
        </w:rPr>
        <w:t>10</w:t>
      </w:r>
      <w:r w:rsidR="002E7BC9">
        <w:rPr>
          <w:rStyle w:val="Nagwek1Znak"/>
          <w:b/>
        </w:rPr>
        <w:t xml:space="preserve">. </w:t>
      </w:r>
      <w:bookmarkStart w:id="27"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26"/>
      <w:bookmarkEnd w:id="27"/>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28" w:name="__RefHeading__7399_1809084581"/>
      <w:bookmarkStart w:id="29" w:name="_Toc29300271"/>
      <w:r>
        <w:t>1</w:t>
      </w:r>
      <w:r w:rsidR="00993198">
        <w:t>1</w:t>
      </w:r>
      <w:r>
        <w:t xml:space="preserve">. </w:t>
      </w:r>
      <w:bookmarkStart w:id="30" w:name="_Toc497464988"/>
      <w:r>
        <w:t>Warunki stosowania uproszczonych form rozliczania wydatków i planowany zakres systemu zaliczek</w:t>
      </w:r>
      <w:bookmarkEnd w:id="28"/>
      <w:bookmarkEnd w:id="29"/>
      <w:bookmarkEnd w:id="30"/>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CC6954" w:rsidRPr="009E7212" w:rsidRDefault="00CC6954" w:rsidP="00CC6954">
      <w:pPr>
        <w:pStyle w:val="xl33"/>
        <w:tabs>
          <w:tab w:val="left" w:pos="567"/>
          <w:tab w:val="left" w:pos="1276"/>
          <w:tab w:val="left" w:pos="1582"/>
        </w:tabs>
        <w:spacing w:after="0" w:line="360" w:lineRule="auto"/>
        <w:jc w:val="left"/>
        <w:rPr>
          <w:rFonts w:asciiTheme="minorHAnsi" w:hAnsiTheme="minorHAnsi" w:cs="Arial"/>
          <w:bCs/>
          <w:sz w:val="24"/>
        </w:rPr>
      </w:pPr>
      <w:r w:rsidRPr="009E7212">
        <w:rPr>
          <w:rFonts w:asciiTheme="minorHAnsi" w:hAnsiTheme="minorHAnsi" w:cs="Arial"/>
          <w:bCs/>
          <w:sz w:val="24"/>
        </w:rPr>
        <w:lastRenderedPageBreak/>
        <w:t>Możliwość zaliczki:</w:t>
      </w:r>
      <w:r>
        <w:rPr>
          <w:rFonts w:asciiTheme="minorHAnsi" w:hAnsiTheme="minorHAnsi" w:cs="Arial"/>
          <w:bCs/>
          <w:sz w:val="24"/>
        </w:rPr>
        <w:t xml:space="preserve"> </w:t>
      </w:r>
      <w:r w:rsidRPr="009E7212">
        <w:rPr>
          <w:rFonts w:asciiTheme="minorHAnsi" w:hAnsiTheme="minorHAnsi" w:cs="Arial"/>
          <w:bCs/>
          <w:sz w:val="24"/>
        </w:rPr>
        <w:t>do 90 % przyznanej kwoty dofinansowania EFRR przy czym maksymalna wysokość jednej transzy zaliczki nie może przekroczyć kwoty stanowiącej 40% dofinansow</w:t>
      </w:r>
      <w:r w:rsidRPr="009E7212">
        <w:rPr>
          <w:rFonts w:asciiTheme="minorHAnsi" w:hAnsiTheme="minorHAnsi" w:cs="Arial"/>
          <w:bCs/>
          <w:sz w:val="24"/>
        </w:rPr>
        <w:t>a</w:t>
      </w:r>
      <w:r w:rsidRPr="009E7212">
        <w:rPr>
          <w:rFonts w:asciiTheme="minorHAnsi" w:hAnsiTheme="minorHAnsi" w:cs="Arial"/>
          <w:bCs/>
          <w:sz w:val="24"/>
        </w:rPr>
        <w:t>nia projektu – wszyscy Beneficjenci.</w:t>
      </w:r>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31" w:name="__RefHeading__7401_1809084581"/>
      <w:bookmarkStart w:id="32" w:name="_Toc29300272"/>
      <w:r>
        <w:t>1</w:t>
      </w:r>
      <w:r w:rsidR="00993198">
        <w:t>2</w:t>
      </w:r>
      <w:r>
        <w:t xml:space="preserve">. </w:t>
      </w:r>
      <w:bookmarkStart w:id="33" w:name="_Toc497464989"/>
      <w:r>
        <w:t>Warunki uwzględniania dochodu w projekcie</w:t>
      </w:r>
      <w:bookmarkEnd w:id="31"/>
      <w:bookmarkEnd w:id="32"/>
      <w:bookmarkEnd w:id="33"/>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34" w:name="__RefHeading__7403_1809084581"/>
      <w:bookmarkStart w:id="35" w:name="_Toc29300273"/>
      <w:r>
        <w:t>1</w:t>
      </w:r>
      <w:r w:rsidR="00993198">
        <w:t>3</w:t>
      </w:r>
      <w:r>
        <w:t xml:space="preserve">. </w:t>
      </w:r>
      <w:bookmarkStart w:id="36" w:name="_Toc497464990"/>
      <w:r>
        <w:t>Maksymalny dopuszczalny poziom dofinansowania projektu lub maksymalna dopuszczalna kwota dofinansowania projektu</w:t>
      </w:r>
      <w:bookmarkEnd w:id="34"/>
      <w:bookmarkEnd w:id="35"/>
      <w:bookmarkEnd w:id="36"/>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w:t>
      </w:r>
      <w:r>
        <w:lastRenderedPageBreak/>
        <w:t xml:space="preserve">zostanie przeprowadzona podczas oceny wniosku o dofinansowanie, a następnie – w 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37" w:name="__RefHeading__7405_1809084581"/>
      <w:bookmarkStart w:id="38" w:name="_Toc29300274"/>
      <w:r>
        <w:t>14</w:t>
      </w:r>
      <w:r w:rsidR="002E7BC9">
        <w:t xml:space="preserve">. </w:t>
      </w:r>
      <w:bookmarkStart w:id="39" w:name="_Toc497464991"/>
      <w:r w:rsidR="002E7BC9">
        <w:t>Minimalny wkład własny beneficjenta jako % wydatków kwalifikowalnych</w:t>
      </w:r>
      <w:bookmarkEnd w:id="37"/>
      <w:bookmarkEnd w:id="38"/>
      <w:bookmarkEnd w:id="39"/>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40" w:name="__RefHeading__7407_1809084581"/>
      <w:bookmarkStart w:id="41" w:name="_Toc29300275"/>
      <w:r>
        <w:rPr>
          <w:color w:val="00000A"/>
        </w:rPr>
        <w:lastRenderedPageBreak/>
        <w:t>15</w:t>
      </w:r>
      <w:r w:rsidR="002E7BC9">
        <w:rPr>
          <w:color w:val="00000A"/>
        </w:rPr>
        <w:t xml:space="preserve">. </w:t>
      </w:r>
      <w:bookmarkStart w:id="42" w:name="_Toc497464992"/>
      <w:r w:rsidR="002E7BC9">
        <w:t>Termin, miejsce i forma składania wniosków o dofinansowanie projektu</w:t>
      </w:r>
      <w:bookmarkEnd w:id="40"/>
      <w:bookmarkEnd w:id="41"/>
      <w:bookmarkEnd w:id="42"/>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lastRenderedPageBreak/>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lastRenderedPageBreak/>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43" w:name="__RefHeading__7409_1809084581"/>
      <w:bookmarkStart w:id="44" w:name="_Toc29300276"/>
      <w:r>
        <w:t>1</w:t>
      </w:r>
      <w:r w:rsidR="00993198">
        <w:t>6</w:t>
      </w:r>
      <w:r>
        <w:t xml:space="preserve">. </w:t>
      </w:r>
      <w:bookmarkStart w:id="45" w:name="_Toc497464993"/>
      <w:r>
        <w:t>Forma konkursu</w:t>
      </w:r>
      <w:bookmarkEnd w:id="43"/>
      <w:bookmarkEnd w:id="44"/>
      <w:bookmarkEnd w:id="45"/>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46" w:name="_Hlk18501444"/>
      <w:r>
        <w:rPr>
          <w:color w:val="00000A"/>
        </w:rPr>
        <w:t>RPO WD 2014-2020: http://rpo.dolnyslask.pl/ (w zakładce dotyczącej niniejszego naboru)</w:t>
      </w:r>
      <w:bookmarkEnd w:id="46"/>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lastRenderedPageBreak/>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lastRenderedPageBreak/>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lastRenderedPageBreak/>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47" w:name="__RefHeading__7411_1809084581"/>
      <w:bookmarkStart w:id="48" w:name="_Toc497464994"/>
      <w:bookmarkStart w:id="49" w:name="_Toc29300277"/>
      <w:r>
        <w:t>17</w:t>
      </w:r>
      <w:r w:rsidR="004311FA">
        <w:t xml:space="preserve">. </w:t>
      </w:r>
      <w:r w:rsidR="002E7BC9">
        <w:t>Sposób uzupełnienia braków w zakresie warunków formalnych oraz poprawiania oczywistych omyłek</w:t>
      </w:r>
      <w:bookmarkEnd w:id="47"/>
      <w:bookmarkEnd w:id="48"/>
      <w:bookmarkEnd w:id="49"/>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lastRenderedPageBreak/>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50" w:name="__RefHeading__7413_1809084581"/>
      <w:bookmarkStart w:id="51" w:name="_Toc497464995"/>
      <w:bookmarkStart w:id="52" w:name="_Toc494282183"/>
      <w:bookmarkStart w:id="53" w:name="_Toc29300278"/>
      <w:r>
        <w:lastRenderedPageBreak/>
        <w:t>1</w:t>
      </w:r>
      <w:r w:rsidR="00993198">
        <w:t>8</w:t>
      </w:r>
      <w:r>
        <w:t xml:space="preserve">. </w:t>
      </w:r>
      <w:r w:rsidR="002E7BC9">
        <w:t>Forma i sposób komunikacji pomiędzy IOK i wnioskodawcą na poszczególnych etapach oceny projektów</w:t>
      </w:r>
      <w:bookmarkEnd w:id="50"/>
      <w:bookmarkEnd w:id="51"/>
      <w:bookmarkEnd w:id="52"/>
      <w:bookmarkEnd w:id="53"/>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54" w:name="__RefHeading__7415_1809084581"/>
      <w:bookmarkStart w:id="55" w:name="_Toc497464996"/>
      <w:bookmarkStart w:id="56" w:name="_Toc29300279"/>
      <w:r>
        <w:t>1</w:t>
      </w:r>
      <w:r w:rsidR="00993198">
        <w:t>9</w:t>
      </w:r>
      <w:r>
        <w:t xml:space="preserve">. </w:t>
      </w:r>
      <w:r w:rsidR="002E7BC9">
        <w:t>Wzór wniosku o dofinansowanie projektu/zakres informacji</w:t>
      </w:r>
      <w:bookmarkEnd w:id="54"/>
      <w:bookmarkEnd w:id="55"/>
      <w:bookmarkEnd w:id="56"/>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57" w:name="__RefHeading__7417_1809084581"/>
      <w:bookmarkStart w:id="58" w:name="_Toc497464997"/>
      <w:bookmarkStart w:id="59" w:name="_Toc29300280"/>
      <w:r>
        <w:t>20</w:t>
      </w:r>
      <w:r w:rsidR="00BC4129">
        <w:t xml:space="preserve">. </w:t>
      </w:r>
      <w:r w:rsidR="002E7BC9">
        <w:t>Wzór umowy o dofinansowanie projektu oraz czynności wymagane przed podpisaniem umowy o dofinansowanie</w:t>
      </w:r>
      <w:bookmarkEnd w:id="57"/>
      <w:bookmarkEnd w:id="58"/>
      <w:bookmarkEnd w:id="59"/>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60" w:name="_Hlk4823650431"/>
      <w:r>
        <w:rPr>
          <w:rFonts w:cs="Calibri"/>
          <w:bCs/>
          <w:color w:val="00000A"/>
          <w:sz w:val="24"/>
          <w:szCs w:val="24"/>
        </w:rPr>
        <w:t>(wówczas zastosowanie mają wytyczne obowiązujące na dzień ogłoszenia naboru).</w:t>
      </w:r>
      <w:bookmarkEnd w:id="60"/>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DC747E">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pozwolenia na budowę/zezwoleni</w:t>
      </w:r>
      <w:r w:rsidR="00DC747E">
        <w:rPr>
          <w:rFonts w:cs="Calibri"/>
          <w:color w:val="00000A"/>
          <w:sz w:val="24"/>
          <w:szCs w:val="24"/>
        </w:rPr>
        <w:t>a</w:t>
      </w:r>
      <w:r>
        <w:rPr>
          <w:rFonts w:cs="Calibri"/>
          <w:color w:val="00000A"/>
          <w:sz w:val="24"/>
          <w:szCs w:val="24"/>
        </w:rPr>
        <w:t xml:space="preserve"> na realizację inwestycji /zgłoszenia budowy/zgłoszeni</w:t>
      </w:r>
      <w:r w:rsidR="00DC747E">
        <w:rPr>
          <w:rFonts w:cs="Calibri"/>
          <w:color w:val="00000A"/>
          <w:sz w:val="24"/>
          <w:szCs w:val="24"/>
        </w:rPr>
        <w:t>a</w:t>
      </w:r>
      <w:r>
        <w:rPr>
          <w:rFonts w:cs="Calibri"/>
          <w:color w:val="00000A"/>
          <w:sz w:val="24"/>
          <w:szCs w:val="24"/>
        </w:rPr>
        <w:t xml:space="preserv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61"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61"/>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62" w:name="_Hlk18510545"/>
      <w:r>
        <w:rPr>
          <w:rFonts w:cs="Calibri"/>
          <w:color w:val="00000A"/>
          <w:sz w:val="24"/>
          <w:szCs w:val="24"/>
        </w:rPr>
        <w:t>SUDOP (Systemie Udostępniania Danych o Pomocy Publicznej, dostępnym pod adresem: https://sudop.uokik.gov.pl/home</w:t>
      </w:r>
      <w:bookmarkEnd w:id="62"/>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63" w:name="_Hlk18581534"/>
      <w:r>
        <w:rPr>
          <w:rFonts w:cs="Calibri"/>
          <w:color w:val="00000A"/>
          <w:sz w:val="24"/>
          <w:szCs w:val="24"/>
        </w:rPr>
        <w:t xml:space="preserve">Kryterium merytoryczne ogólne obligatoryjne w ramach Oceny finansowo-ekonomicznej projektu [Przedsiębiorstwo w trudnej sytuacji] </w:t>
      </w:r>
      <w:bookmarkEnd w:id="63"/>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bookmarkStart w:id="64" w:name="_GoBack"/>
      <w:bookmarkEnd w:id="64"/>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EA155D" w:rsidRPr="002C64BC" w:rsidRDefault="00EA155D" w:rsidP="00EA155D">
      <w:pPr>
        <w:pStyle w:val="Akapitzlist"/>
        <w:spacing w:line="360" w:lineRule="auto"/>
        <w:ind w:left="0"/>
        <w:rPr>
          <w:rFonts w:asciiTheme="minorHAnsi" w:hAnsiTheme="minorHAnsi" w:cstheme="minorHAnsi"/>
          <w:sz w:val="24"/>
          <w:szCs w:val="24"/>
        </w:rPr>
      </w:pPr>
      <w:r w:rsidRPr="002C64BC">
        <w:rPr>
          <w:rFonts w:asciiTheme="minorHAnsi" w:hAnsiTheme="minorHAnsi" w:cstheme="minorHAnsi"/>
          <w:sz w:val="24"/>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w:t>
      </w:r>
      <w:r w:rsidRPr="002C64BC">
        <w:rPr>
          <w:rFonts w:asciiTheme="minorHAnsi" w:hAnsiTheme="minorHAnsi" w:cstheme="minorHAnsi"/>
          <w:sz w:val="24"/>
          <w:szCs w:val="24"/>
        </w:rPr>
        <w:lastRenderedPageBreak/>
        <w:t xml:space="preserve">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rsidR="00EA155D" w:rsidRPr="002C64BC" w:rsidRDefault="00EA155D" w:rsidP="00EA155D">
      <w:pPr>
        <w:pStyle w:val="Akapitzlist"/>
        <w:spacing w:line="360" w:lineRule="auto"/>
        <w:ind w:left="0"/>
        <w:rPr>
          <w:rFonts w:asciiTheme="minorHAnsi" w:hAnsiTheme="minorHAnsi" w:cstheme="minorHAnsi"/>
          <w:sz w:val="24"/>
          <w:szCs w:val="24"/>
          <w:highlight w:val="lightGray"/>
        </w:rPr>
      </w:pPr>
      <w:r w:rsidRPr="002C64BC">
        <w:rPr>
          <w:rFonts w:asciiTheme="minorHAnsi" w:hAnsiTheme="minorHAnsi" w:cstheme="minorHAnsi"/>
          <w:sz w:val="24"/>
          <w:szCs w:val="24"/>
        </w:rPr>
        <w:t xml:space="preserve">W przypadku przekroczenia ww. poziomu, Instytucja Zarządzająca przed podpisaniem umowy </w:t>
      </w:r>
      <w:r w:rsidRPr="002C64BC">
        <w:rPr>
          <w:rFonts w:asciiTheme="minorHAnsi" w:hAnsiTheme="minorHAnsi" w:cstheme="minorHAnsi"/>
          <w:sz w:val="24"/>
          <w:szCs w:val="24"/>
        </w:rPr>
        <w:br/>
        <w:t>o 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podpisania umowy o dofinansowanie. Decyzja odmowna wydana przez ministerstwo stanowi przesłankę do odstąpienia przez IOK od podpisania umowy o dofinansowanie.</w:t>
      </w:r>
    </w:p>
    <w:p w:rsidR="00C83E7A" w:rsidRDefault="00C83E7A" w:rsidP="00EA155D">
      <w:pPr>
        <w:pStyle w:val="Standard"/>
        <w:spacing w:after="0" w:line="360" w:lineRule="auto"/>
        <w:rPr>
          <w:sz w:val="24"/>
          <w:szCs w:val="24"/>
        </w:rPr>
      </w:pPr>
    </w:p>
    <w:p w:rsidR="00A17A03" w:rsidRDefault="00993198">
      <w:pPr>
        <w:pStyle w:val="Nagwek1"/>
        <w:ind w:left="0" w:firstLine="0"/>
      </w:pPr>
      <w:bookmarkStart w:id="65" w:name="_Toc497464998"/>
      <w:bookmarkStart w:id="66" w:name="__RefHeading__7419_1809084581"/>
      <w:bookmarkStart w:id="67" w:name="_Toc29300281"/>
      <w:r>
        <w:t>21</w:t>
      </w:r>
      <w:r w:rsidR="00C83E7A">
        <w:t xml:space="preserve">. </w:t>
      </w:r>
      <w:r w:rsidR="002E7BC9">
        <w:t>Kryteria wyboru projektów wraz z podaniem ich znaczenia</w:t>
      </w:r>
      <w:bookmarkEnd w:id="65"/>
      <w:bookmarkEnd w:id="66"/>
      <w:bookmarkEnd w:id="67"/>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xml:space="preserve">. Dopuszcza się przedłożenie ww. dokumentów najpóźniej do dnia złożenia uzupełnionego/poprawionego wniosku (w tym także z datą wystawienia dokumentu po </w:t>
      </w:r>
      <w:r>
        <w:rPr>
          <w:rFonts w:cs="Calibri"/>
          <w:bCs/>
          <w:color w:val="00000A"/>
          <w:sz w:val="24"/>
          <w:szCs w:val="24"/>
        </w:rPr>
        <w:lastRenderedPageBreak/>
        <w:t>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68" w:name="__RefHeading__7421_1809084581"/>
      <w:bookmarkStart w:id="69" w:name="_Toc497464999"/>
      <w:bookmarkStart w:id="70" w:name="_Toc29300282"/>
      <w:r>
        <w:t>2</w:t>
      </w:r>
      <w:r w:rsidR="00993198">
        <w:t>2</w:t>
      </w:r>
      <w:r>
        <w:t xml:space="preserve">. </w:t>
      </w:r>
      <w:r w:rsidR="002E7BC9">
        <w:t>Studium wykonalności</w:t>
      </w:r>
      <w:bookmarkEnd w:id="68"/>
      <w:bookmarkEnd w:id="69"/>
      <w:bookmarkEnd w:id="70"/>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lastRenderedPageBreak/>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71" w:name="__RefHeading__7423_1809084581"/>
      <w:bookmarkStart w:id="72" w:name="_Toc497465000"/>
      <w:bookmarkStart w:id="73" w:name="_Toc29300283"/>
      <w:r>
        <w:t>2</w:t>
      </w:r>
      <w:r w:rsidR="00993198">
        <w:t>3</w:t>
      </w:r>
      <w:r>
        <w:t>. W</w:t>
      </w:r>
      <w:r w:rsidR="002E7BC9">
        <w:t>skaźniki produktu i rezultatu</w:t>
      </w:r>
      <w:bookmarkEnd w:id="71"/>
      <w:bookmarkEnd w:id="72"/>
      <w:bookmarkEnd w:id="73"/>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74" w:name="__RefHeading__7425_1809084581"/>
      <w:bookmarkStart w:id="75" w:name="_Toc497465001"/>
      <w:bookmarkStart w:id="76" w:name="_Toc29300284"/>
      <w:r>
        <w:t>2</w:t>
      </w:r>
      <w:r w:rsidR="00993198">
        <w:t>4</w:t>
      </w:r>
      <w:r>
        <w:t>. Ś</w:t>
      </w:r>
      <w:r w:rsidR="002E7BC9">
        <w:t>rodki odwoławcze przysługujące wnioskodawcy</w:t>
      </w:r>
      <w:bookmarkEnd w:id="74"/>
      <w:bookmarkEnd w:id="75"/>
      <w:bookmarkEnd w:id="76"/>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 xml:space="preserve">Protest od negatywnego wyniku oceny formalnej/merytorycznej wniosku </w:t>
      </w:r>
      <w:r>
        <w:rPr>
          <w:rFonts w:cs="Calibri"/>
          <w:sz w:val="24"/>
          <w:szCs w:val="24"/>
        </w:rPr>
        <w:lastRenderedPageBreak/>
        <w:t>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lastRenderedPageBreak/>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w:t>
      </w:r>
      <w:r>
        <w:rPr>
          <w:rFonts w:eastAsia="Calibri" w:cs="Calibri"/>
          <w:sz w:val="24"/>
          <w:szCs w:val="24"/>
        </w:rPr>
        <w:lastRenderedPageBreak/>
        <w:t>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77" w:name="__RefHeading__7427_1809084581"/>
      <w:bookmarkStart w:id="78" w:name="_Toc497465002"/>
      <w:bookmarkStart w:id="79" w:name="_Toc29300285"/>
      <w:r>
        <w:t>25</w:t>
      </w:r>
      <w:r w:rsidR="003548B8">
        <w:t xml:space="preserve">. </w:t>
      </w:r>
      <w:r w:rsidR="002E7BC9">
        <w:t>Sposób podania do publicznej wiadomości wyników konkursu</w:t>
      </w:r>
      <w:bookmarkEnd w:id="77"/>
      <w:bookmarkEnd w:id="78"/>
      <w:bookmarkEnd w:id="79"/>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 xml:space="preserve">którą zamieszcza </w:t>
      </w:r>
      <w:r>
        <w:rPr>
          <w:sz w:val="24"/>
          <w:szCs w:val="24"/>
        </w:rPr>
        <w:lastRenderedPageBreak/>
        <w:t>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80" w:name="_Toc497465003"/>
      <w:bookmarkStart w:id="81" w:name="__RefHeading__7429_1809084581"/>
      <w:bookmarkStart w:id="82" w:name="_Toc29300286"/>
      <w:r>
        <w:lastRenderedPageBreak/>
        <w:t>2</w:t>
      </w:r>
      <w:r w:rsidR="00993198">
        <w:t>6</w:t>
      </w:r>
      <w:r>
        <w:t xml:space="preserve">. </w:t>
      </w:r>
      <w:r w:rsidR="002E7BC9">
        <w:t>Informacje o sposobie postępowania z wnioskami o dofinansowanie po rozstrzygnięciu konkursu</w:t>
      </w:r>
      <w:bookmarkEnd w:id="80"/>
      <w:bookmarkEnd w:id="81"/>
      <w:bookmarkEnd w:id="82"/>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83" w:name="__RefHeading__7431_1809084581"/>
      <w:bookmarkStart w:id="84" w:name="_Toc497465004"/>
      <w:bookmarkStart w:id="85" w:name="_Toc29300287"/>
      <w:r>
        <w:t>2</w:t>
      </w:r>
      <w:r w:rsidR="00993198">
        <w:t>7</w:t>
      </w:r>
      <w:r>
        <w:t xml:space="preserve">. </w:t>
      </w:r>
      <w:r w:rsidR="002E7BC9">
        <w:t>Forma i sposób udzielania wnioskodawcy wyjaśnień w kwestiach dotyczących konkursu</w:t>
      </w:r>
      <w:bookmarkEnd w:id="83"/>
      <w:bookmarkEnd w:id="84"/>
      <w:bookmarkEnd w:id="85"/>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86" w:name="__RefHeading__7433_1809084581"/>
      <w:bookmarkStart w:id="87" w:name="_Toc497465005"/>
      <w:bookmarkStart w:id="88" w:name="_Toc29300288"/>
      <w:r>
        <w:t>2</w:t>
      </w:r>
      <w:r w:rsidR="00993198">
        <w:t>8</w:t>
      </w:r>
      <w:r>
        <w:t xml:space="preserve">. </w:t>
      </w:r>
      <w:r w:rsidR="002E7BC9">
        <w:t>Orientacyjny termin rozstrzygnięcia konkursu</w:t>
      </w:r>
      <w:bookmarkEnd w:id="86"/>
      <w:bookmarkEnd w:id="87"/>
      <w:bookmarkEnd w:id="88"/>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89" w:name="_Toc497465006"/>
      <w:bookmarkStart w:id="90" w:name="__RefHeading__7435_1809084581"/>
      <w:bookmarkStart w:id="91" w:name="_Toc29300289"/>
      <w:r>
        <w:t>2</w:t>
      </w:r>
      <w:r w:rsidR="00993198">
        <w:t>9</w:t>
      </w:r>
      <w:r>
        <w:t xml:space="preserve">. </w:t>
      </w:r>
      <w:r w:rsidR="002E7BC9">
        <w:t>Sytuacje, w których konkurs może zostać anulowany lub zmieniony regulamin</w:t>
      </w:r>
      <w:bookmarkEnd w:id="89"/>
      <w:bookmarkEnd w:id="90"/>
      <w:bookmarkEnd w:id="91"/>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lastRenderedPageBreak/>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92" w:name="_Toc425494883"/>
      <w:bookmarkEnd w:id="92"/>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93" w:name="__RefHeading__7437_1809084581"/>
      <w:bookmarkStart w:id="94" w:name="_Toc497465007"/>
      <w:bookmarkStart w:id="95" w:name="_Toc29300290"/>
      <w:r>
        <w:t>30</w:t>
      </w:r>
      <w:r w:rsidR="006B02CE">
        <w:t xml:space="preserve">. </w:t>
      </w:r>
      <w:r w:rsidR="002E7BC9">
        <w:t>Kwalifikowalność wydatków</w:t>
      </w:r>
      <w:bookmarkEnd w:id="93"/>
      <w:bookmarkEnd w:id="94"/>
      <w:bookmarkEnd w:id="95"/>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lastRenderedPageBreak/>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lastRenderedPageBreak/>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 xml:space="preserve">Kontrola prawidłowości udzielania zamówień publicznych (udzielonych zgodnie z ustawą z dnia 29 stycznia 2004 r. Prawo zamówień publicznych lub zgodnie z zasadą </w:t>
      </w:r>
      <w:r>
        <w:rPr>
          <w:rFonts w:cs="Calibri"/>
          <w:color w:val="000000"/>
          <w:sz w:val="24"/>
          <w:szCs w:val="24"/>
        </w:rPr>
        <w:lastRenderedPageBreak/>
        <w:t>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96" w:name="_Toc497465008"/>
      <w:bookmarkStart w:id="97" w:name="__RefHeading__7439_1809084581"/>
      <w:bookmarkStart w:id="98" w:name="_Toc29300291"/>
      <w:r>
        <w:t>3</w:t>
      </w:r>
      <w:r w:rsidR="00993198">
        <w:t>1</w:t>
      </w:r>
      <w:r>
        <w:t xml:space="preserve">. </w:t>
      </w:r>
      <w:r w:rsidR="002E7BC9">
        <w:t>Kwalifikowalność podatku VAT</w:t>
      </w:r>
      <w:bookmarkEnd w:id="96"/>
      <w:bookmarkEnd w:id="97"/>
      <w:bookmarkEnd w:id="98"/>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99" w:name="__RefHeading__7441_1809084581"/>
      <w:bookmarkStart w:id="100" w:name="_Toc497465009"/>
      <w:bookmarkStart w:id="101" w:name="_Toc29300292"/>
      <w:r>
        <w:t>3</w:t>
      </w:r>
      <w:r w:rsidR="00993198">
        <w:t>2</w:t>
      </w:r>
      <w:r>
        <w:t xml:space="preserve">. </w:t>
      </w:r>
      <w:r w:rsidR="002E7BC9">
        <w:t>Polityka ochrony środowiska</w:t>
      </w:r>
      <w:bookmarkEnd w:id="99"/>
      <w:bookmarkEnd w:id="100"/>
      <w:bookmarkEnd w:id="101"/>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w:t>
      </w:r>
      <w:r>
        <w:rPr>
          <w:sz w:val="24"/>
          <w:szCs w:val="24"/>
        </w:rPr>
        <w:lastRenderedPageBreak/>
        <w:t xml:space="preserve">(Dz.U.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02" w:name="__RefHeading__7443_1809084581"/>
      <w:bookmarkStart w:id="103" w:name="_Toc497465010"/>
      <w:bookmarkStart w:id="104" w:name="_Toc432758975"/>
      <w:bookmarkStart w:id="105" w:name="_Toc430826827"/>
      <w:bookmarkStart w:id="106" w:name="_Toc426632923"/>
      <w:bookmarkStart w:id="107" w:name="_Toc29300293"/>
      <w:r>
        <w:t>33</w:t>
      </w:r>
      <w:r w:rsidR="00B373B3">
        <w:t xml:space="preserve">. </w:t>
      </w:r>
      <w:r w:rsidR="002E7BC9">
        <w:t>Wymagania w zakresie realizacji projektu partnerskiego</w:t>
      </w:r>
      <w:bookmarkEnd w:id="102"/>
      <w:bookmarkEnd w:id="103"/>
      <w:bookmarkEnd w:id="104"/>
      <w:bookmarkEnd w:id="105"/>
      <w:bookmarkEnd w:id="106"/>
      <w:bookmarkEnd w:id="107"/>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lastRenderedPageBreak/>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ubiegający się o dofinansowanie dokonuje wyboru partnerów spoza sektora finansów publicznych z zachowaniem zasady 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 xml:space="preserve">prawidłowość przeprowadzonego postępowania, o którym mowa </w:t>
      </w:r>
      <w:r>
        <w:rPr>
          <w:rFonts w:cs="Calibri"/>
          <w:b/>
          <w:color w:val="00000A"/>
          <w:sz w:val="24"/>
          <w:szCs w:val="24"/>
        </w:rPr>
        <w:lastRenderedPageBreak/>
        <w:t>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w:t>
      </w:r>
      <w:r>
        <w:rPr>
          <w:rFonts w:eastAsia="Calibri" w:cs="Times New Roman"/>
          <w:sz w:val="24"/>
          <w:szCs w:val="24"/>
        </w:rPr>
        <w:lastRenderedPageBreak/>
        <w:t>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08" w:name="__RefHeading__7445_1809084581"/>
      <w:bookmarkStart w:id="109" w:name="_Toc497465011"/>
      <w:bookmarkStart w:id="110" w:name="_Toc29300294"/>
      <w:r>
        <w:t>3</w:t>
      </w:r>
      <w:r w:rsidR="00993198">
        <w:t>4</w:t>
      </w:r>
      <w:r>
        <w:t xml:space="preserve">. </w:t>
      </w:r>
      <w:r w:rsidR="002E7BC9">
        <w:t>Wykaz załączników do wniosku o dofinansowanie</w:t>
      </w:r>
      <w:bookmarkEnd w:id="108"/>
      <w:bookmarkEnd w:id="109"/>
      <w:bookmarkEnd w:id="110"/>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lastRenderedPageBreak/>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braków w 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11" w:name="__RefHeading__7447_1809084581"/>
      <w:bookmarkStart w:id="112" w:name="_Toc497465012"/>
    </w:p>
    <w:p w:rsidR="00A17A03" w:rsidRDefault="006C06B4" w:rsidP="006C06B4">
      <w:pPr>
        <w:pStyle w:val="Nagwek1"/>
        <w:ind w:left="0" w:firstLine="0"/>
      </w:pPr>
      <w:bookmarkStart w:id="113" w:name="_Toc29300295"/>
      <w:r>
        <w:t>3</w:t>
      </w:r>
      <w:r w:rsidR="00993198">
        <w:t>5</w:t>
      </w:r>
      <w:r>
        <w:t xml:space="preserve">. </w:t>
      </w:r>
      <w:r w:rsidR="0009642F">
        <w:t>Załączniki do R</w:t>
      </w:r>
      <w:r w:rsidR="002E7BC9">
        <w:t>egulaminu</w:t>
      </w:r>
      <w:bookmarkEnd w:id="111"/>
      <w:bookmarkEnd w:id="112"/>
      <w:bookmarkEnd w:id="113"/>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lastRenderedPageBreak/>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99" w:rsidRDefault="008D0999">
      <w:pPr>
        <w:spacing w:after="0" w:line="240" w:lineRule="auto"/>
      </w:pPr>
      <w:r>
        <w:separator/>
      </w:r>
    </w:p>
  </w:endnote>
  <w:endnote w:type="continuationSeparator" w:id="0">
    <w:p w:rsidR="008D0999" w:rsidRDefault="008D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altName w:val="Microsoft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2C64BC">
      <w:rPr>
        <w:noProof/>
      </w:rPr>
      <w:t>44</w:t>
    </w:r>
    <w:r>
      <w:fldChar w:fldCharType="end"/>
    </w:r>
    <w:r>
      <w:rPr>
        <w:sz w:val="18"/>
        <w:szCs w:val="18"/>
      </w:rPr>
      <w:t xml:space="preserve"> z </w:t>
    </w:r>
    <w:r w:rsidR="008D0999">
      <w:fldChar w:fldCharType="begin"/>
    </w:r>
    <w:r w:rsidR="008D0999">
      <w:instrText xml:space="preserve"> NUMPAGES </w:instrText>
    </w:r>
    <w:r w:rsidR="008D0999">
      <w:fldChar w:fldCharType="separate"/>
    </w:r>
    <w:r w:rsidR="002C64BC">
      <w:rPr>
        <w:noProof/>
      </w:rPr>
      <w:t>61</w:t>
    </w:r>
    <w:r w:rsidR="008D09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99" w:rsidRDefault="008D0999">
      <w:pPr>
        <w:spacing w:after="0" w:line="240" w:lineRule="auto"/>
      </w:pPr>
      <w:r>
        <w:rPr>
          <w:color w:val="000000"/>
        </w:rPr>
        <w:separator/>
      </w:r>
    </w:p>
  </w:footnote>
  <w:footnote w:type="continuationSeparator" w:id="0">
    <w:p w:rsidR="008D0999" w:rsidRDefault="008D099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C2641"/>
    <w:rsid w:val="002C64BC"/>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9069A"/>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8091F"/>
    <w:rsid w:val="0079011A"/>
    <w:rsid w:val="007E0EFD"/>
    <w:rsid w:val="008029C0"/>
    <w:rsid w:val="00807423"/>
    <w:rsid w:val="008427C9"/>
    <w:rsid w:val="00843616"/>
    <w:rsid w:val="008D0999"/>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C6954"/>
    <w:rsid w:val="00CD3CCE"/>
    <w:rsid w:val="00D604AF"/>
    <w:rsid w:val="00D63CA5"/>
    <w:rsid w:val="00DA263D"/>
    <w:rsid w:val="00DA4B9B"/>
    <w:rsid w:val="00DB2B7B"/>
    <w:rsid w:val="00DC1A7F"/>
    <w:rsid w:val="00DC747E"/>
    <w:rsid w:val="00DE4E3C"/>
    <w:rsid w:val="00E00AD3"/>
    <w:rsid w:val="00E20947"/>
    <w:rsid w:val="00E37FD6"/>
    <w:rsid w:val="00EA155D"/>
    <w:rsid w:val="00EB6098"/>
    <w:rsid w:val="00EE3C1F"/>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aliases w:val="Numerowanie,List Paragraph,Akapit z listą BS,Punkt 1.1,Kolorowa lista — akcent 11"/>
    <w:basedOn w:val="Standard"/>
    <w:uiPriority w:val="34"/>
    <w:qFormat/>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aliases w:val="Numerowanie Znak,List Paragraph Znak,Akapit z listą BS Znak,Punkt 1.1 Znak,Kolorowa lista — akcent 11 Znak"/>
    <w:uiPriority w:val="34"/>
    <w:qFormat/>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65A5-D894-4C70-A11A-F4F8AA27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61</Pages>
  <Words>17400</Words>
  <Characters>104404</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19</cp:revision>
  <cp:lastPrinted>2020-01-16T07:17:00Z</cp:lastPrinted>
  <dcterms:created xsi:type="dcterms:W3CDTF">2020-03-17T13:30:00Z</dcterms:created>
  <dcterms:modified xsi:type="dcterms:W3CDTF">2020-07-21T11:01:00Z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