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485278F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7C18A2">
        <w:rPr>
          <w:sz w:val="20"/>
        </w:rPr>
        <w:t>27 stycznia 2020 r</w:t>
      </w:r>
      <w:r w:rsidR="007C18A2">
        <w:rPr>
          <w:sz w:val="20"/>
        </w:rPr>
        <w:t>.</w:t>
      </w:r>
      <w:bookmarkStart w:id="0" w:name="_GoBack"/>
      <w:bookmarkEnd w:id="0"/>
      <w:r w:rsidR="005A59A6">
        <w:rPr>
          <w:rFonts w:cs="Arial"/>
          <w:sz w:val="20"/>
          <w:szCs w:val="20"/>
          <w:lang w:eastAsia="en-US"/>
        </w:rPr>
        <w:t xml:space="preserve">                                   </w:t>
      </w:r>
      <w:r w:rsidR="003873F4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lastRenderedPageBreak/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945874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8"/>
      </w:r>
      <w:r w:rsidR="00880E60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20E75770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</w:t>
      </w:r>
      <w:r>
        <w:lastRenderedPageBreak/>
        <w:t>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54BB0813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2"/>
      </w:r>
    </w:p>
    <w:p w14:paraId="22BEA3B4" w14:textId="512E537B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3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4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</w:t>
      </w:r>
      <w:r w:rsidR="00616985">
        <w:lastRenderedPageBreak/>
        <w:t xml:space="preserve">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6994FC5F" w14:textId="46AE1859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1FE8E04E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lastRenderedPageBreak/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</w:t>
      </w:r>
      <w:r w:rsidRPr="00DD0783">
        <w:lastRenderedPageBreak/>
        <w:t>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</w:t>
      </w:r>
      <w:r w:rsidRPr="006D17CB">
        <w:lastRenderedPageBreak/>
        <w:t>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lastRenderedPageBreak/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A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7B63705A" w14:textId="48FA6A79" w:rsidR="001678D7" w:rsidRDefault="001678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39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3B076AFA" w14:textId="661235C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</w:t>
      </w:r>
      <w:r w:rsidR="001678D7">
        <w:t xml:space="preserve">30 </w:t>
      </w:r>
      <w:r>
        <w:t>października 2019 r.</w:t>
      </w:r>
    </w:p>
  </w:footnote>
  <w:footnote w:id="43">
    <w:p w14:paraId="22B799CB" w14:textId="3B7DA5D9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78D7">
        <w:t>Dla konkursów ogłoszonych od 30 października 2019 r.</w:t>
      </w:r>
    </w:p>
  </w:footnote>
  <w:footnote w:id="44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5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6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DE7EA45-F85C-443E-BED7-3B14C8C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39C8-292B-42B8-9EA8-A14050EE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9611</Words>
  <Characters>57668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3</cp:revision>
  <cp:lastPrinted>2020-01-22T07:57:00Z</cp:lastPrinted>
  <dcterms:created xsi:type="dcterms:W3CDTF">2020-01-22T07:59:00Z</dcterms:created>
  <dcterms:modified xsi:type="dcterms:W3CDTF">2020-01-27T09:26:00Z</dcterms:modified>
</cp:coreProperties>
</file>