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48" w:rsidRDefault="00440A48" w:rsidP="00440A48">
      <w:pPr>
        <w:autoSpaceDE w:val="0"/>
        <w:autoSpaceDN w:val="0"/>
        <w:adjustRightInd w:val="0"/>
        <w:spacing w:before="0" w:line="240" w:lineRule="auto"/>
        <w:jc w:val="center"/>
        <w:rPr>
          <w:rFonts w:ascii="Calibri" w:hAnsi="Calibri" w:cs="Calibri"/>
          <w:b/>
          <w:color w:val="000000"/>
          <w:sz w:val="24"/>
          <w:szCs w:val="24"/>
        </w:rPr>
      </w:pPr>
      <w:bookmarkStart w:id="0" w:name="_Toc426632922"/>
      <w:bookmarkStart w:id="1" w:name="_Toc430826826"/>
      <w:bookmarkStart w:id="2" w:name="_Toc432758974"/>
    </w:p>
    <w:p w:rsidR="009D3C56" w:rsidRPr="00F02218" w:rsidRDefault="00422DE9" w:rsidP="00440A48">
      <w:pPr>
        <w:autoSpaceDE w:val="0"/>
        <w:autoSpaceDN w:val="0"/>
        <w:adjustRightInd w:val="0"/>
        <w:spacing w:before="0" w:line="240" w:lineRule="auto"/>
        <w:jc w:val="center"/>
        <w:rPr>
          <w:b/>
          <w:sz w:val="24"/>
          <w:szCs w:val="24"/>
        </w:rPr>
      </w:pPr>
      <w:r w:rsidRPr="00422DE9">
        <w:rPr>
          <w:rFonts w:ascii="Calibri" w:hAnsi="Calibri" w:cs="Calibri"/>
          <w:b/>
          <w:color w:val="000000"/>
          <w:sz w:val="24"/>
          <w:szCs w:val="24"/>
        </w:rPr>
        <w:t>Lista wskaźników na poziom</w:t>
      </w:r>
      <w:r w:rsidR="00A44A6F">
        <w:rPr>
          <w:rFonts w:ascii="Calibri" w:hAnsi="Calibri" w:cs="Calibri"/>
          <w:b/>
          <w:color w:val="000000"/>
          <w:sz w:val="24"/>
          <w:szCs w:val="24"/>
        </w:rPr>
        <w:t xml:space="preserve">ie projektu </w:t>
      </w:r>
      <w:r w:rsidR="00E313C3">
        <w:rPr>
          <w:rFonts w:ascii="Calibri" w:hAnsi="Calibri" w:cs="Calibri"/>
          <w:b/>
          <w:color w:val="000000"/>
          <w:sz w:val="24"/>
          <w:szCs w:val="24"/>
        </w:rPr>
        <w:t>dla D</w:t>
      </w:r>
      <w:r w:rsidR="00A44A6F">
        <w:rPr>
          <w:rFonts w:ascii="Calibri" w:hAnsi="Calibri" w:cs="Calibri"/>
          <w:b/>
          <w:color w:val="000000"/>
          <w:sz w:val="24"/>
          <w:szCs w:val="24"/>
        </w:rPr>
        <w:t xml:space="preserve">ziałania </w:t>
      </w:r>
      <w:r w:rsidR="00861312">
        <w:rPr>
          <w:rFonts w:ascii="Calibri" w:hAnsi="Calibri" w:cs="Calibri"/>
          <w:b/>
          <w:color w:val="000000"/>
          <w:sz w:val="24"/>
          <w:szCs w:val="24"/>
        </w:rPr>
        <w:t>1</w:t>
      </w:r>
      <w:r w:rsidR="00A44A6F">
        <w:rPr>
          <w:rFonts w:ascii="Calibri" w:hAnsi="Calibri" w:cs="Calibri"/>
          <w:b/>
          <w:color w:val="000000"/>
          <w:sz w:val="24"/>
          <w:szCs w:val="24"/>
        </w:rPr>
        <w:t>.</w:t>
      </w:r>
      <w:r w:rsidR="00861312">
        <w:rPr>
          <w:rFonts w:ascii="Calibri" w:hAnsi="Calibri" w:cs="Calibri"/>
          <w:b/>
          <w:color w:val="000000"/>
          <w:sz w:val="24"/>
          <w:szCs w:val="24"/>
        </w:rPr>
        <w:t>1</w:t>
      </w:r>
      <w:r w:rsidRPr="00422DE9">
        <w:rPr>
          <w:rFonts w:ascii="Calibri" w:hAnsi="Calibri" w:cs="Calibri"/>
          <w:b/>
          <w:color w:val="000000"/>
          <w:sz w:val="24"/>
          <w:szCs w:val="24"/>
        </w:rPr>
        <w:t xml:space="preserve"> </w:t>
      </w:r>
      <w:r w:rsidR="00861312">
        <w:rPr>
          <w:rFonts w:ascii="Calibri" w:hAnsi="Calibri" w:cs="Calibri"/>
          <w:b/>
          <w:color w:val="000000"/>
          <w:sz w:val="24"/>
          <w:szCs w:val="24"/>
        </w:rPr>
        <w:t>Wzmacnianie potencjału B+R i </w:t>
      </w:r>
      <w:r w:rsidR="00861312" w:rsidRPr="00861312">
        <w:rPr>
          <w:rFonts w:ascii="Calibri" w:hAnsi="Calibri" w:cs="Calibri"/>
          <w:b/>
          <w:color w:val="000000"/>
          <w:sz w:val="24"/>
          <w:szCs w:val="24"/>
        </w:rPr>
        <w:t>wdrożeniowego uczelni i jednostek naukowych</w:t>
      </w:r>
      <w:r w:rsidR="00A44A6F">
        <w:rPr>
          <w:rFonts w:ascii="Calibri" w:hAnsi="Calibri" w:cs="Calibri"/>
          <w:b/>
          <w:color w:val="000000"/>
          <w:sz w:val="24"/>
          <w:szCs w:val="24"/>
        </w:rPr>
        <w:t xml:space="preserve"> </w:t>
      </w:r>
      <w:r w:rsidRPr="00422DE9">
        <w:rPr>
          <w:rFonts w:ascii="Calibri" w:hAnsi="Calibri" w:cs="Calibri"/>
          <w:b/>
          <w:color w:val="000000"/>
          <w:sz w:val="24"/>
          <w:szCs w:val="24"/>
        </w:rPr>
        <w:t>w ramach RPO WD 2014-2020</w:t>
      </w:r>
    </w:p>
    <w:p w:rsidR="005657D8" w:rsidRDefault="005657D8" w:rsidP="00AD2BCE">
      <w:pPr>
        <w:autoSpaceDE w:val="0"/>
        <w:autoSpaceDN w:val="0"/>
        <w:spacing w:before="120" w:after="120" w:line="240" w:lineRule="auto"/>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W trakcie realizacji projektu wskaźniki powinny umożliwiać mierzenie jego postępu względem celów projektu. </w:t>
      </w:r>
    </w:p>
    <w:p w:rsidR="005657D8" w:rsidRDefault="005657D8" w:rsidP="00AD2BCE">
      <w:pPr>
        <w:autoSpaceDE w:val="0"/>
        <w:autoSpaceDN w:val="0"/>
        <w:spacing w:before="120" w:after="120" w:line="240" w:lineRule="auto"/>
        <w:rPr>
          <w:rFonts w:asciiTheme="minorHAnsi" w:hAnsiTheme="minorHAnsi"/>
          <w:szCs w:val="22"/>
        </w:rPr>
      </w:pPr>
      <w:r w:rsidRPr="00911273">
        <w:rPr>
          <w:rFonts w:asciiTheme="minorHAnsi" w:eastAsiaTheme="minorHAnsi" w:hAnsiTheme="minorHAnsi" w:cs="Calibri"/>
          <w:szCs w:val="22"/>
          <w:lang w:eastAsia="en-US"/>
        </w:rPr>
        <w:t>Wybór wskaźników projektu powinien być powiązany z typem realizowanego przedsięwzięcia i</w:t>
      </w:r>
      <w:r w:rsidR="00422DE9">
        <w:rPr>
          <w:rFonts w:asciiTheme="minorHAnsi" w:eastAsiaTheme="minorHAnsi" w:hAnsiTheme="minorHAnsi" w:cs="Calibri"/>
          <w:szCs w:val="22"/>
          <w:lang w:eastAsia="en-US"/>
        </w:rPr>
        <w:t> </w:t>
      </w:r>
      <w:r w:rsidRPr="00911273">
        <w:rPr>
          <w:rFonts w:asciiTheme="minorHAnsi" w:eastAsiaTheme="minorHAnsi" w:hAnsiTheme="minorHAnsi" w:cs="Calibri"/>
          <w:szCs w:val="22"/>
          <w:lang w:eastAsia="en-US"/>
        </w:rPr>
        <w:t xml:space="preserve">planowanymi działaniami, które </w:t>
      </w:r>
      <w:r w:rsidR="00221D32">
        <w:rPr>
          <w:rFonts w:asciiTheme="minorHAnsi" w:eastAsiaTheme="minorHAnsi" w:hAnsiTheme="minorHAnsi" w:cs="Calibri"/>
          <w:szCs w:val="22"/>
          <w:lang w:eastAsia="en-US"/>
        </w:rPr>
        <w:t>w</w:t>
      </w:r>
      <w:r w:rsidR="008E3F0D">
        <w:rPr>
          <w:rFonts w:asciiTheme="minorHAnsi" w:eastAsiaTheme="minorHAnsi" w:hAnsiTheme="minorHAnsi" w:cs="Calibri"/>
          <w:szCs w:val="22"/>
          <w:lang w:eastAsia="en-US"/>
        </w:rPr>
        <w:t>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221D32">
        <w:rPr>
          <w:rFonts w:asciiTheme="minorHAnsi" w:eastAsiaTheme="minorHAnsi" w:hAnsiTheme="minorHAnsi" w:cs="Calibri"/>
          <w:bCs/>
          <w:szCs w:val="22"/>
          <w:lang w:eastAsia="en-US"/>
        </w:rPr>
        <w:t>w</w:t>
      </w:r>
      <w:r w:rsidR="008E3F0D">
        <w:rPr>
          <w:rFonts w:asciiTheme="minorHAnsi" w:eastAsiaTheme="minorHAnsi" w:hAnsiTheme="minorHAnsi" w:cs="Calibri"/>
          <w:bCs/>
          <w:szCs w:val="22"/>
          <w:lang w:eastAsia="en-US"/>
        </w:rPr>
        <w:t>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AD2BCE">
      <w:pPr>
        <w:autoSpaceDE w:val="0"/>
        <w:autoSpaceDN w:val="0"/>
        <w:spacing w:before="120" w:after="120" w:line="240" w:lineRule="auto"/>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AD2BCE">
      <w:pPr>
        <w:numPr>
          <w:ilvl w:val="0"/>
          <w:numId w:val="8"/>
        </w:numPr>
        <w:autoSpaceDE w:val="0"/>
        <w:autoSpaceDN w:val="0"/>
        <w:spacing w:before="0" w:line="240" w:lineRule="auto"/>
        <w:ind w:left="284" w:hanging="284"/>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AD2BCE">
      <w:pPr>
        <w:numPr>
          <w:ilvl w:val="0"/>
          <w:numId w:val="8"/>
        </w:numPr>
        <w:autoSpaceDE w:val="0"/>
        <w:autoSpaceDN w:val="0"/>
        <w:spacing w:before="0" w:line="240" w:lineRule="auto"/>
        <w:ind w:left="284" w:hanging="284"/>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AD2BCE">
      <w:pPr>
        <w:numPr>
          <w:ilvl w:val="0"/>
          <w:numId w:val="8"/>
        </w:numPr>
        <w:autoSpaceDE w:val="0"/>
        <w:autoSpaceDN w:val="0"/>
        <w:spacing w:before="0" w:line="240" w:lineRule="auto"/>
        <w:ind w:left="284" w:hanging="284"/>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AD2BCE">
      <w:pPr>
        <w:numPr>
          <w:ilvl w:val="0"/>
          <w:numId w:val="8"/>
        </w:numPr>
        <w:autoSpaceDE w:val="0"/>
        <w:autoSpaceDN w:val="0"/>
        <w:spacing w:before="0" w:line="240" w:lineRule="auto"/>
        <w:ind w:left="284" w:hanging="284"/>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AD2BCE">
      <w:pPr>
        <w:numPr>
          <w:ilvl w:val="0"/>
          <w:numId w:val="8"/>
        </w:numPr>
        <w:autoSpaceDE w:val="0"/>
        <w:autoSpaceDN w:val="0"/>
        <w:spacing w:before="0" w:line="240" w:lineRule="auto"/>
        <w:ind w:left="284" w:hanging="284"/>
        <w:rPr>
          <w:rFonts w:asciiTheme="minorHAnsi" w:hAnsiTheme="minorHAnsi"/>
          <w:szCs w:val="22"/>
        </w:rPr>
      </w:pPr>
      <w:r>
        <w:rPr>
          <w:rFonts w:asciiTheme="minorHAnsi" w:hAnsiTheme="minorHAnsi"/>
          <w:szCs w:val="22"/>
        </w:rPr>
        <w:t>określony w czasie –</w:t>
      </w:r>
      <w:r w:rsidR="00422DE9">
        <w:rPr>
          <w:rFonts w:asciiTheme="minorHAnsi" w:hAnsiTheme="minorHAnsi"/>
          <w:szCs w:val="22"/>
        </w:rPr>
        <w:t xml:space="preserve"> </w:t>
      </w:r>
      <w:r>
        <w:rPr>
          <w:rFonts w:asciiTheme="minorHAnsi" w:hAnsiTheme="minorHAnsi"/>
          <w:szCs w:val="22"/>
        </w:rPr>
        <w:t>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r w:rsidR="00422DE9">
        <w:rPr>
          <w:rFonts w:asciiTheme="minorHAnsi" w:hAnsiTheme="minorHAnsi"/>
          <w:szCs w:val="22"/>
        </w:rPr>
        <w:t>.</w:t>
      </w:r>
    </w:p>
    <w:p w:rsidR="005657D8" w:rsidRDefault="005657D8" w:rsidP="00AD2BCE">
      <w:pPr>
        <w:autoSpaceDE w:val="0"/>
        <w:autoSpaceDN w:val="0"/>
        <w:adjustRightInd w:val="0"/>
        <w:spacing w:before="120" w:line="240" w:lineRule="auto"/>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w:t>
      </w:r>
      <w:r w:rsidR="00B7566F">
        <w:rPr>
          <w:rFonts w:asciiTheme="minorHAnsi" w:eastAsiaTheme="minorHAnsi" w:hAnsiTheme="minorHAnsi" w:cs="Calibri"/>
          <w:szCs w:val="22"/>
          <w:lang w:eastAsia="en-US"/>
        </w:rPr>
        <w:t>lu poprzez ustalenie wskaźników</w:t>
      </w:r>
      <w:r w:rsidRPr="00911273">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00422DE9">
        <w:rPr>
          <w:rFonts w:asciiTheme="minorHAnsi" w:eastAsiaTheme="minorHAnsi" w:hAnsiTheme="minorHAnsi" w:cs="Calibri"/>
          <w:szCs w:val="22"/>
          <w:lang w:eastAsia="en-US"/>
        </w:rPr>
        <w:t>.</w:t>
      </w:r>
    </w:p>
    <w:p w:rsidR="00370466" w:rsidRDefault="00370466" w:rsidP="00AD2BCE">
      <w:pPr>
        <w:spacing w:before="120" w:after="120" w:line="240" w:lineRule="auto"/>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AD2BCE">
      <w:pPr>
        <w:pStyle w:val="Akapitzlist"/>
        <w:numPr>
          <w:ilvl w:val="0"/>
          <w:numId w:val="5"/>
        </w:numPr>
        <w:spacing w:before="120" w:after="120" w:line="240" w:lineRule="auto"/>
        <w:ind w:left="284" w:hanging="284"/>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B40F0F">
        <w:rPr>
          <w:rFonts w:asciiTheme="minorHAnsi" w:hAnsiTheme="minorHAnsi"/>
          <w:b/>
          <w:szCs w:val="22"/>
        </w:rPr>
        <w:t>W</w:t>
      </w:r>
      <w:r w:rsidR="008E3F0D">
        <w:rPr>
          <w:rFonts w:asciiTheme="minorHAnsi" w:hAnsiTheme="minorHAnsi"/>
          <w:b/>
          <w:szCs w:val="22"/>
        </w:rPr>
        <w:t>D 2014-2020</w:t>
      </w:r>
      <w:r w:rsidR="00422DE9">
        <w:rPr>
          <w:rFonts w:asciiTheme="minorHAnsi" w:hAnsiTheme="minorHAnsi"/>
          <w:b/>
          <w:szCs w:val="22"/>
        </w:rPr>
        <w:t>;</w:t>
      </w:r>
    </w:p>
    <w:p w:rsidR="00370466" w:rsidRDefault="00422DE9" w:rsidP="00AD2BCE">
      <w:pPr>
        <w:pStyle w:val="Akapitzlist"/>
        <w:numPr>
          <w:ilvl w:val="0"/>
          <w:numId w:val="5"/>
        </w:numPr>
        <w:spacing w:before="120" w:after="120" w:line="240" w:lineRule="auto"/>
        <w:ind w:left="284" w:hanging="284"/>
        <w:rPr>
          <w:rFonts w:asciiTheme="minorHAnsi" w:hAnsiTheme="minorHAnsi"/>
          <w:b/>
          <w:szCs w:val="22"/>
        </w:rPr>
      </w:pPr>
      <w:r>
        <w:rPr>
          <w:rFonts w:asciiTheme="minorHAnsi" w:hAnsiTheme="minorHAnsi"/>
          <w:b/>
          <w:szCs w:val="22"/>
        </w:rPr>
        <w:t>horyzontalne;</w:t>
      </w:r>
      <w:bookmarkStart w:id="3" w:name="_GoBack"/>
      <w:bookmarkEnd w:id="3"/>
    </w:p>
    <w:p w:rsidR="00370466" w:rsidRDefault="00370466" w:rsidP="00AD2BCE">
      <w:pPr>
        <w:pStyle w:val="Akapitzlist"/>
        <w:numPr>
          <w:ilvl w:val="0"/>
          <w:numId w:val="5"/>
        </w:numPr>
        <w:spacing w:before="120" w:after="120" w:line="240" w:lineRule="auto"/>
        <w:ind w:left="284" w:hanging="284"/>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r w:rsidR="00422DE9">
        <w:rPr>
          <w:rFonts w:asciiTheme="minorHAnsi" w:hAnsiTheme="minorHAnsi"/>
          <w:b/>
          <w:szCs w:val="22"/>
        </w:rPr>
        <w:t>.</w:t>
      </w:r>
    </w:p>
    <w:p w:rsidR="008C495E" w:rsidRPr="00911273" w:rsidRDefault="008C495E" w:rsidP="00AD2BCE">
      <w:pPr>
        <w:pStyle w:val="Nagwek1"/>
        <w:spacing w:before="120" w:after="120" w:line="240" w:lineRule="auto"/>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r w:rsidR="00422DE9">
        <w:rPr>
          <w:rFonts w:asciiTheme="minorHAnsi" w:hAnsiTheme="minorHAnsi"/>
          <w:sz w:val="22"/>
          <w:szCs w:val="22"/>
        </w:rPr>
        <w:t>:</w:t>
      </w:r>
    </w:p>
    <w:p w:rsidR="00A459F4" w:rsidRDefault="008C495E" w:rsidP="00AD2BCE">
      <w:pPr>
        <w:pStyle w:val="Default"/>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W ramach wni</w:t>
      </w:r>
      <w:r w:rsidR="00221D32">
        <w:rPr>
          <w:rFonts w:asciiTheme="minorHAnsi" w:eastAsiaTheme="minorHAnsi" w:hAnsiTheme="minorHAnsi" w:cs="Calibri"/>
          <w:szCs w:val="22"/>
          <w:lang w:eastAsia="en-US"/>
        </w:rPr>
        <w:t>osku o dofinansowanie projektu w</w:t>
      </w:r>
      <w:r w:rsidRPr="00911273">
        <w:rPr>
          <w:rFonts w:asciiTheme="minorHAnsi" w:eastAsiaTheme="minorHAnsi" w:hAnsiTheme="minorHAnsi" w:cs="Calibri"/>
          <w:szCs w:val="22"/>
          <w:lang w:eastAsia="en-US"/>
        </w:rPr>
        <w:t xml:space="preserve">nioskodawca określa </w:t>
      </w:r>
      <w:r w:rsidRPr="00911273">
        <w:rPr>
          <w:rFonts w:asciiTheme="minorHAnsi" w:eastAsiaTheme="minorHAnsi" w:hAnsiTheme="minorHAnsi" w:cs="Calibri"/>
          <w:b/>
          <w:bCs/>
          <w:szCs w:val="22"/>
          <w:lang w:eastAsia="en-US"/>
        </w:rPr>
        <w:t>wskaźniki służące pomiarowi działań i</w:t>
      </w:r>
      <w:r w:rsidR="00422DE9">
        <w:rPr>
          <w:rFonts w:asciiTheme="minorHAnsi" w:eastAsiaTheme="minorHAnsi" w:hAnsiTheme="minorHAnsi" w:cs="Calibri"/>
          <w:b/>
          <w:bCs/>
          <w:szCs w:val="22"/>
          <w:lang w:eastAsia="en-US"/>
        </w:rPr>
        <w:t> </w:t>
      </w:r>
      <w:r w:rsidRPr="00911273">
        <w:rPr>
          <w:rFonts w:asciiTheme="minorHAnsi" w:eastAsiaTheme="minorHAnsi" w:hAnsiTheme="minorHAnsi" w:cs="Calibri"/>
          <w:b/>
          <w:bCs/>
          <w:szCs w:val="22"/>
          <w:lang w:eastAsia="en-US"/>
        </w:rPr>
        <w:t>celów założonych w projekcie.</w:t>
      </w:r>
      <w:r w:rsidRPr="00911273">
        <w:rPr>
          <w:rFonts w:asciiTheme="minorHAnsi" w:eastAsiaTheme="minorHAnsi" w:hAnsiTheme="minorHAnsi" w:cs="Calibri"/>
          <w:szCs w:val="22"/>
          <w:lang w:eastAsia="en-US"/>
        </w:rPr>
        <w:t xml:space="preserve"> Wskaźniki w ramach projektu należy określić</w:t>
      </w:r>
      <w:r w:rsidR="00AD2BCE">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mając w szczególności na uwadze zapisy niniejszego </w:t>
      </w:r>
      <w:r w:rsidR="00422DE9">
        <w:rPr>
          <w:rFonts w:asciiTheme="minorHAnsi" w:eastAsiaTheme="minorHAnsi" w:hAnsiTheme="minorHAnsi" w:cs="Calibri"/>
          <w:szCs w:val="22"/>
          <w:lang w:eastAsia="en-US"/>
        </w:rPr>
        <w:t>R</w:t>
      </w:r>
      <w:r w:rsidRPr="00911273">
        <w:rPr>
          <w:rFonts w:asciiTheme="minorHAnsi" w:eastAsiaTheme="minorHAnsi" w:hAnsiTheme="minorHAnsi" w:cs="Calibri"/>
          <w:szCs w:val="22"/>
          <w:lang w:eastAsia="en-US"/>
        </w:rPr>
        <w:t>egulaminu</w:t>
      </w:r>
      <w:r w:rsidR="00A459F4">
        <w:rPr>
          <w:rFonts w:asciiTheme="minorHAnsi" w:eastAsiaTheme="minorHAnsi" w:hAnsiTheme="minorHAnsi" w:cs="Calibri"/>
          <w:szCs w:val="22"/>
          <w:lang w:eastAsia="en-US"/>
        </w:rPr>
        <w:t>.</w:t>
      </w:r>
    </w:p>
    <w:p w:rsidR="00A459F4" w:rsidRDefault="00A459F4" w:rsidP="00AD2BCE">
      <w:pPr>
        <w:pStyle w:val="Default"/>
        <w:rPr>
          <w:rFonts w:asciiTheme="minorHAnsi" w:eastAsiaTheme="minorHAnsi" w:hAnsiTheme="minorHAnsi" w:cs="Calibri"/>
          <w:szCs w:val="22"/>
          <w:lang w:eastAsia="en-US"/>
        </w:rPr>
      </w:pPr>
    </w:p>
    <w:p w:rsidR="009D3C56" w:rsidRPr="00A459F4" w:rsidRDefault="00A459F4" w:rsidP="00AD2BCE">
      <w:pPr>
        <w:pStyle w:val="Default"/>
        <w:rPr>
          <w:rFonts w:asciiTheme="minorHAnsi" w:hAnsiTheme="minorHAnsi"/>
          <w:b/>
          <w:sz w:val="22"/>
          <w:szCs w:val="22"/>
        </w:rPr>
      </w:pPr>
      <w:r w:rsidRPr="008A09D1">
        <w:rPr>
          <w:rFonts w:asciiTheme="minorHAnsi" w:hAnsiTheme="minorHAnsi"/>
          <w:b/>
          <w:sz w:val="22"/>
          <w:szCs w:val="22"/>
        </w:rPr>
        <w:t xml:space="preserve">W przypadku, gdy w ramach danego </w:t>
      </w:r>
      <w:r>
        <w:rPr>
          <w:rFonts w:asciiTheme="minorHAnsi" w:hAnsiTheme="minorHAnsi"/>
          <w:b/>
          <w:sz w:val="22"/>
          <w:szCs w:val="22"/>
        </w:rPr>
        <w:t>D</w:t>
      </w:r>
      <w:r w:rsidRPr="008A09D1">
        <w:rPr>
          <w:rFonts w:asciiTheme="minorHAnsi" w:hAnsiTheme="minorHAnsi"/>
          <w:b/>
          <w:sz w:val="22"/>
          <w:szCs w:val="22"/>
        </w:rPr>
        <w:t>ziałania uwzględniony został wskaźnik z RPO</w:t>
      </w:r>
      <w:r w:rsidR="00B40F0F">
        <w:rPr>
          <w:rFonts w:asciiTheme="minorHAnsi" w:hAnsiTheme="minorHAnsi"/>
          <w:b/>
          <w:sz w:val="22"/>
          <w:szCs w:val="22"/>
        </w:rPr>
        <w:t xml:space="preserve"> WD 2014-2020</w:t>
      </w:r>
      <w:r w:rsidRPr="008A09D1">
        <w:rPr>
          <w:rFonts w:asciiTheme="minorHAnsi" w:hAnsiTheme="minorHAnsi"/>
          <w:b/>
          <w:sz w:val="22"/>
          <w:szCs w:val="22"/>
        </w:rPr>
        <w:t xml:space="preserve">, </w:t>
      </w:r>
      <w:r w:rsidR="00912831">
        <w:rPr>
          <w:rFonts w:asciiTheme="minorHAnsi" w:hAnsiTheme="minorHAnsi"/>
          <w:b/>
          <w:sz w:val="22"/>
          <w:szCs w:val="22"/>
        </w:rPr>
        <w:t xml:space="preserve">SZOOP RPO WD 2014-2020, </w:t>
      </w:r>
      <w:r w:rsidRPr="008A09D1">
        <w:rPr>
          <w:rFonts w:asciiTheme="minorHAnsi" w:hAnsiTheme="minorHAnsi"/>
          <w:b/>
          <w:sz w:val="22"/>
          <w:szCs w:val="22"/>
        </w:rPr>
        <w:t>który odzwierciedla zakres projektu, jego w</w:t>
      </w:r>
      <w:r w:rsidR="00221D32">
        <w:rPr>
          <w:rFonts w:asciiTheme="minorHAnsi" w:hAnsiTheme="minorHAnsi"/>
          <w:b/>
          <w:sz w:val="22"/>
          <w:szCs w:val="22"/>
        </w:rPr>
        <w:t>ykazanie dla w</w:t>
      </w:r>
      <w:r w:rsidR="00422DE9">
        <w:rPr>
          <w:rFonts w:asciiTheme="minorHAnsi" w:hAnsiTheme="minorHAnsi"/>
          <w:b/>
          <w:sz w:val="22"/>
          <w:szCs w:val="22"/>
        </w:rPr>
        <w:t>nioskodawcy jest obligatoryjne.</w:t>
      </w:r>
    </w:p>
    <w:p w:rsidR="008A09D1" w:rsidRPr="008A09D1" w:rsidRDefault="008A09D1" w:rsidP="00AD2BCE">
      <w:pPr>
        <w:autoSpaceDE w:val="0"/>
        <w:autoSpaceDN w:val="0"/>
        <w:adjustRightInd w:val="0"/>
        <w:spacing w:line="240" w:lineRule="auto"/>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221D32">
        <w:rPr>
          <w:rFonts w:asciiTheme="minorHAnsi" w:hAnsiTheme="minorHAnsi" w:cs="Arial"/>
          <w:color w:val="000000"/>
        </w:rPr>
        <w:t>lub monetarnych. Wybrane przez w</w:t>
      </w:r>
      <w:r w:rsidRPr="008A09D1">
        <w:rPr>
          <w:rFonts w:asciiTheme="minorHAnsi" w:hAnsiTheme="minorHAnsi" w:cs="Arial"/>
          <w:color w:val="000000"/>
        </w:rPr>
        <w:t>nioskodawcę wskaźniki muszą być adekwatne do zakresu projektu oraz mają być powiązane z</w:t>
      </w:r>
      <w:r w:rsidR="00422DE9">
        <w:rPr>
          <w:rFonts w:asciiTheme="minorHAnsi" w:hAnsiTheme="minorHAnsi" w:cs="Arial"/>
          <w:color w:val="000000"/>
        </w:rPr>
        <w:t> </w:t>
      </w:r>
      <w:r w:rsidRPr="008A09D1">
        <w:rPr>
          <w:rFonts w:asciiTheme="minorHAnsi" w:hAnsiTheme="minorHAnsi" w:cs="Arial"/>
          <w:color w:val="000000"/>
        </w:rPr>
        <w:t>głównymi kategoriami wydatków w projekcie.</w:t>
      </w:r>
    </w:p>
    <w:p w:rsidR="008A09D1" w:rsidRDefault="008A09D1" w:rsidP="00AD2BCE">
      <w:pPr>
        <w:pStyle w:val="Default"/>
        <w:rPr>
          <w:rFonts w:asciiTheme="minorHAnsi" w:hAnsiTheme="minorHAnsi"/>
          <w:sz w:val="22"/>
          <w:szCs w:val="22"/>
        </w:rPr>
      </w:pPr>
    </w:p>
    <w:tbl>
      <w:tblPr>
        <w:tblpPr w:leftFromText="141" w:rightFromText="141" w:vertAnchor="text" w:horzAnchor="margin" w:tblpY="-695"/>
        <w:tblW w:w="5036"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82"/>
        <w:gridCol w:w="1519"/>
        <w:gridCol w:w="4714"/>
        <w:gridCol w:w="1519"/>
      </w:tblGrid>
      <w:tr w:rsidR="00D35714" w:rsidRPr="00911273" w:rsidTr="00D35714">
        <w:trPr>
          <w:cantSplit/>
          <w:trHeight w:val="1540"/>
        </w:trPr>
        <w:tc>
          <w:tcPr>
            <w:tcW w:w="1137" w:type="pct"/>
            <w:shd w:val="clear" w:color="auto" w:fill="auto"/>
            <w:vAlign w:val="center"/>
          </w:tcPr>
          <w:p w:rsidR="00D35714" w:rsidRPr="00911273" w:rsidRDefault="00D35714" w:rsidP="00D35714">
            <w:pPr>
              <w:spacing w:before="0" w:line="240" w:lineRule="auto"/>
              <w:jc w:val="center"/>
              <w:rPr>
                <w:rFonts w:asciiTheme="minorHAnsi" w:hAnsiTheme="minorHAnsi"/>
                <w:b/>
                <w:szCs w:val="22"/>
              </w:rPr>
            </w:pPr>
            <w:r w:rsidRPr="00911273">
              <w:rPr>
                <w:rFonts w:asciiTheme="minorHAnsi" w:hAnsiTheme="minorHAnsi"/>
                <w:b/>
                <w:szCs w:val="22"/>
              </w:rPr>
              <w:lastRenderedPageBreak/>
              <w:t>Nazwa wskaźnika produktu</w:t>
            </w:r>
          </w:p>
        </w:tc>
        <w:tc>
          <w:tcPr>
            <w:tcW w:w="757" w:type="pct"/>
            <w:vAlign w:val="center"/>
          </w:tcPr>
          <w:p w:rsidR="00D35714" w:rsidRPr="00911273" w:rsidRDefault="00D35714" w:rsidP="00D35714">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349" w:type="pct"/>
            <w:shd w:val="clear" w:color="auto" w:fill="auto"/>
            <w:vAlign w:val="center"/>
          </w:tcPr>
          <w:p w:rsidR="00D35714" w:rsidRPr="00911273" w:rsidRDefault="00D35714" w:rsidP="00D35714">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757" w:type="pct"/>
            <w:vAlign w:val="center"/>
          </w:tcPr>
          <w:p w:rsidR="00D35714" w:rsidRPr="00911273" w:rsidRDefault="00D35714" w:rsidP="00D35714">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CD63C1" w:rsidRPr="00911273" w:rsidTr="00D35714">
        <w:trPr>
          <w:cantSplit/>
          <w:trHeight w:val="20"/>
        </w:trPr>
        <w:tc>
          <w:tcPr>
            <w:tcW w:w="1137" w:type="pct"/>
            <w:shd w:val="clear" w:color="auto" w:fill="auto"/>
            <w:vAlign w:val="center"/>
          </w:tcPr>
          <w:p w:rsidR="00CD63C1" w:rsidRPr="00911273" w:rsidRDefault="00CD63C1" w:rsidP="00CD63C1">
            <w:pPr>
              <w:spacing w:before="60" w:after="60" w:line="240" w:lineRule="auto"/>
              <w:jc w:val="center"/>
              <w:rPr>
                <w:rFonts w:asciiTheme="minorHAnsi" w:hAnsiTheme="minorHAnsi"/>
                <w:szCs w:val="22"/>
              </w:rPr>
            </w:pPr>
            <w:r w:rsidRPr="00C904D5">
              <w:rPr>
                <w:rFonts w:asciiTheme="minorHAnsi" w:hAnsiTheme="minorHAnsi" w:cs="Arial"/>
                <w:szCs w:val="22"/>
              </w:rPr>
              <w:t xml:space="preserve">Liczba jednostek naukowych ponoszących nakłady inwestycyjne na działalność B+R </w:t>
            </w:r>
          </w:p>
        </w:tc>
        <w:tc>
          <w:tcPr>
            <w:tcW w:w="757" w:type="pct"/>
            <w:vAlign w:val="center"/>
          </w:tcPr>
          <w:p w:rsidR="00CD63C1" w:rsidRPr="00911273" w:rsidRDefault="00CD63C1" w:rsidP="00CD63C1">
            <w:pPr>
              <w:spacing w:before="0" w:line="240" w:lineRule="auto"/>
              <w:jc w:val="center"/>
              <w:rPr>
                <w:szCs w:val="22"/>
              </w:rPr>
            </w:pPr>
            <w:r w:rsidRPr="00272877">
              <w:rPr>
                <w:rFonts w:asciiTheme="minorHAnsi" w:hAnsiTheme="minorHAnsi"/>
                <w:szCs w:val="22"/>
              </w:rPr>
              <w:t>szt.</w:t>
            </w:r>
          </w:p>
        </w:tc>
        <w:tc>
          <w:tcPr>
            <w:tcW w:w="2349" w:type="pct"/>
            <w:shd w:val="clear" w:color="auto" w:fill="auto"/>
            <w:vAlign w:val="center"/>
          </w:tcPr>
          <w:p w:rsidR="00CD63C1" w:rsidRPr="004A7CC9" w:rsidRDefault="00CD63C1" w:rsidP="00CD63C1">
            <w:pPr>
              <w:spacing w:before="60" w:after="60" w:line="240" w:lineRule="auto"/>
              <w:jc w:val="both"/>
              <w:rPr>
                <w:rFonts w:asciiTheme="minorHAnsi" w:eastAsiaTheme="minorHAnsi" w:hAnsiTheme="minorHAnsi" w:cs="Arial"/>
                <w:szCs w:val="22"/>
                <w:lang w:eastAsia="en-US"/>
              </w:rPr>
            </w:pPr>
            <w:r w:rsidRPr="004A7CC9">
              <w:rPr>
                <w:rFonts w:asciiTheme="minorHAnsi" w:eastAsiaTheme="minorHAnsi" w:hAnsiTheme="minorHAnsi" w:cs="Arial"/>
                <w:szCs w:val="22"/>
                <w:lang w:eastAsia="en-US"/>
              </w:rPr>
              <w:t>Liczba jednostek naukowych uczestniczących w realizacji projektu obejmującego inwestycyjne nakłady na działalność B+R (zgodnie z katalogiem kosztów kwalifikowalnych).</w:t>
            </w:r>
          </w:p>
          <w:p w:rsidR="00CD63C1" w:rsidRPr="004A7CC9" w:rsidRDefault="00CD63C1" w:rsidP="009F65B6">
            <w:pPr>
              <w:spacing w:before="60" w:after="60" w:line="240" w:lineRule="auto"/>
              <w:jc w:val="both"/>
              <w:rPr>
                <w:rFonts w:asciiTheme="minorHAnsi" w:eastAsiaTheme="minorHAnsi" w:hAnsiTheme="minorHAnsi" w:cs="Arial"/>
                <w:szCs w:val="22"/>
                <w:lang w:eastAsia="en-US"/>
              </w:rPr>
            </w:pPr>
            <w:r w:rsidRPr="004A7CC9">
              <w:rPr>
                <w:rFonts w:asciiTheme="minorHAnsi" w:eastAsiaTheme="minorHAnsi" w:hAnsiTheme="minorHAnsi" w:cs="Arial"/>
                <w:szCs w:val="22"/>
                <w:lang w:eastAsia="en-US"/>
              </w:rPr>
              <w:t>Wskaźnik obejmuje jednostki naukowe składające wniosek oraz jednostki naukowe będące partnerami w ramach realizowanego projektu i mogące otrzymać wsparcie.</w:t>
            </w:r>
          </w:p>
        </w:tc>
        <w:tc>
          <w:tcPr>
            <w:tcW w:w="757" w:type="pct"/>
            <w:vAlign w:val="center"/>
          </w:tcPr>
          <w:p w:rsidR="00CD63C1" w:rsidRPr="00911273" w:rsidRDefault="009F65B6" w:rsidP="009F65B6">
            <w:pPr>
              <w:spacing w:before="60" w:after="60" w:line="240" w:lineRule="auto"/>
              <w:jc w:val="center"/>
              <w:rPr>
                <w:rFonts w:asciiTheme="minorHAnsi" w:hAnsiTheme="minorHAnsi"/>
                <w:szCs w:val="22"/>
              </w:rPr>
            </w:pPr>
            <w:r>
              <w:rPr>
                <w:rFonts w:asciiTheme="minorHAnsi" w:hAnsiTheme="minorHAnsi"/>
                <w:szCs w:val="22"/>
              </w:rPr>
              <w:t>RPO WD</w:t>
            </w:r>
          </w:p>
        </w:tc>
      </w:tr>
      <w:tr w:rsidR="00CD63C1" w:rsidRPr="00911273" w:rsidTr="00D35714">
        <w:trPr>
          <w:cantSplit/>
          <w:trHeight w:val="20"/>
        </w:trPr>
        <w:tc>
          <w:tcPr>
            <w:tcW w:w="1137" w:type="pct"/>
            <w:shd w:val="clear" w:color="auto" w:fill="auto"/>
            <w:vAlign w:val="center"/>
          </w:tcPr>
          <w:p w:rsidR="00CD63C1" w:rsidRDefault="00CD63C1" w:rsidP="00CD63C1">
            <w:pPr>
              <w:spacing w:before="60" w:after="60" w:line="240" w:lineRule="auto"/>
              <w:jc w:val="center"/>
              <w:rPr>
                <w:rFonts w:asciiTheme="minorHAnsi" w:hAnsiTheme="minorHAnsi" w:cs="Arial"/>
                <w:szCs w:val="22"/>
              </w:rPr>
            </w:pPr>
            <w:r w:rsidRPr="00C904D5">
              <w:rPr>
                <w:rFonts w:asciiTheme="minorHAnsi" w:hAnsiTheme="minorHAnsi" w:cs="Arial"/>
                <w:szCs w:val="22"/>
              </w:rPr>
              <w:t>Inwestycje prywatne uzupełniające wsparcie publiczne w projekty w zakresie innow</w:t>
            </w:r>
            <w:r>
              <w:rPr>
                <w:rFonts w:asciiTheme="minorHAnsi" w:hAnsiTheme="minorHAnsi" w:cs="Arial"/>
                <w:szCs w:val="22"/>
              </w:rPr>
              <w:t>acji lub badań i rozwoju</w:t>
            </w:r>
          </w:p>
          <w:p w:rsidR="00CD63C1" w:rsidRPr="00C904D5" w:rsidRDefault="00CD63C1" w:rsidP="00CD63C1">
            <w:pPr>
              <w:spacing w:before="60" w:after="60" w:line="240" w:lineRule="auto"/>
              <w:jc w:val="center"/>
              <w:rPr>
                <w:rFonts w:asciiTheme="minorHAnsi" w:hAnsiTheme="minorHAnsi" w:cs="Arial"/>
                <w:szCs w:val="22"/>
              </w:rPr>
            </w:pPr>
            <w:r>
              <w:rPr>
                <w:rFonts w:asciiTheme="minorHAnsi" w:hAnsiTheme="minorHAnsi" w:cs="Arial"/>
                <w:szCs w:val="22"/>
              </w:rPr>
              <w:t>(CI 27)</w:t>
            </w:r>
          </w:p>
        </w:tc>
        <w:tc>
          <w:tcPr>
            <w:tcW w:w="757" w:type="pct"/>
            <w:vAlign w:val="center"/>
          </w:tcPr>
          <w:p w:rsidR="00CD63C1" w:rsidRDefault="00CD63C1" w:rsidP="00CD63C1">
            <w:pPr>
              <w:spacing w:line="240" w:lineRule="auto"/>
              <w:jc w:val="center"/>
              <w:rPr>
                <w:rFonts w:asciiTheme="minorHAnsi" w:hAnsiTheme="minorHAnsi" w:cs="Arial"/>
                <w:szCs w:val="22"/>
              </w:rPr>
            </w:pPr>
            <w:r>
              <w:rPr>
                <w:rFonts w:asciiTheme="minorHAnsi" w:hAnsiTheme="minorHAnsi" w:cs="Arial"/>
                <w:szCs w:val="22"/>
              </w:rPr>
              <w:t>zł</w:t>
            </w:r>
          </w:p>
          <w:p w:rsidR="00CD63C1" w:rsidRDefault="00CD63C1" w:rsidP="00CD63C1">
            <w:pPr>
              <w:spacing w:line="240" w:lineRule="auto"/>
              <w:jc w:val="center"/>
              <w:rPr>
                <w:rFonts w:asciiTheme="minorHAnsi" w:hAnsiTheme="minorHAnsi"/>
                <w:szCs w:val="22"/>
              </w:rPr>
            </w:pPr>
          </w:p>
        </w:tc>
        <w:tc>
          <w:tcPr>
            <w:tcW w:w="2349" w:type="pct"/>
            <w:shd w:val="clear" w:color="auto" w:fill="auto"/>
            <w:vAlign w:val="center"/>
          </w:tcPr>
          <w:p w:rsidR="00CD63C1" w:rsidRPr="004A7CC9" w:rsidRDefault="00CD63C1" w:rsidP="00CD63C1">
            <w:pPr>
              <w:pStyle w:val="Default"/>
              <w:jc w:val="both"/>
              <w:rPr>
                <w:rFonts w:asciiTheme="minorHAnsi" w:hAnsiTheme="minorHAnsi"/>
                <w:sz w:val="22"/>
                <w:szCs w:val="22"/>
                <w:lang w:val="en-US"/>
              </w:rPr>
            </w:pPr>
            <w:r w:rsidRPr="004A7CC9">
              <w:rPr>
                <w:rFonts w:asciiTheme="minorHAnsi" w:hAnsiTheme="minorHAnsi"/>
                <w:sz w:val="22"/>
                <w:szCs w:val="22"/>
                <w:lang w:val="en-US"/>
              </w:rPr>
              <w:t xml:space="preserve">Total value of private contribution in supported innovation or R&amp;D projects, including </w:t>
            </w:r>
            <w:proofErr w:type="spellStart"/>
            <w:r w:rsidRPr="004A7CC9">
              <w:rPr>
                <w:rFonts w:asciiTheme="minorHAnsi" w:hAnsiTheme="minorHAnsi"/>
                <w:sz w:val="22"/>
                <w:szCs w:val="22"/>
                <w:lang w:val="en-US"/>
              </w:rPr>
              <w:t>noneligible</w:t>
            </w:r>
            <w:proofErr w:type="spellEnd"/>
            <w:r w:rsidRPr="004A7CC9">
              <w:rPr>
                <w:rFonts w:asciiTheme="minorHAnsi" w:hAnsiTheme="minorHAnsi"/>
                <w:sz w:val="22"/>
                <w:szCs w:val="22"/>
                <w:lang w:val="en-US"/>
              </w:rPr>
              <w:t xml:space="preserve"> parts of the project. If the investment also qualifies as state aid (see indicators ‘Private investment matching public support to enterprises (grants/non-grants’), it should be reported under all relevant indicators. </w:t>
            </w:r>
          </w:p>
          <w:p w:rsidR="00CD63C1" w:rsidRPr="004A7CC9" w:rsidRDefault="00CD63C1" w:rsidP="009F65B6">
            <w:pPr>
              <w:spacing w:line="240" w:lineRule="auto"/>
              <w:jc w:val="both"/>
              <w:rPr>
                <w:color w:val="000000"/>
                <w:szCs w:val="22"/>
                <w:highlight w:val="yellow"/>
              </w:rPr>
            </w:pPr>
            <w:r w:rsidRPr="001D6024">
              <w:rPr>
                <w:rFonts w:asciiTheme="minorHAnsi" w:hAnsiTheme="minorHAnsi"/>
                <w:b/>
                <w:szCs w:val="22"/>
              </w:rPr>
              <w:t>Tłumaczenie robocze:</w:t>
            </w:r>
            <w:r w:rsidRPr="004A7CC9">
              <w:rPr>
                <w:rFonts w:asciiTheme="minorHAnsi" w:hAnsiTheme="minorHAnsi"/>
                <w:szCs w:val="22"/>
              </w:rPr>
              <w:t xml:space="preserve"> </w:t>
            </w:r>
            <w:r w:rsidRPr="004A7CC9">
              <w:rPr>
                <w:rFonts w:asciiTheme="minorHAnsi" w:eastAsiaTheme="minorHAnsi" w:hAnsiTheme="minorHAnsi" w:cstheme="minorBidi"/>
                <w:szCs w:val="22"/>
                <w:lang w:eastAsia="en-US"/>
              </w:rPr>
              <w:t xml:space="preserve">Całkowita wartość wkładu prywatnego w projektach wspierających innowacje lub projektach B+R, w tym wydatki niekwalifikowalne projektu. Jeżeli inwestycja kwalifikuje się również do pomocy publicznej (patrz wskaźnik „Inwestycje prywatne uzupełniające wsparcie publiczne dla przedsiębiorstw (dotacje/inne niż dotacje)”, to powinna zostać wykazana we wszystkich powiązanych wskaźnikach. </w:t>
            </w:r>
          </w:p>
        </w:tc>
        <w:tc>
          <w:tcPr>
            <w:tcW w:w="757" w:type="pct"/>
            <w:vAlign w:val="center"/>
          </w:tcPr>
          <w:p w:rsidR="00CD63C1" w:rsidRPr="00C904D5" w:rsidRDefault="009F65B6" w:rsidP="009F65B6">
            <w:pPr>
              <w:spacing w:before="60" w:after="60" w:line="240" w:lineRule="auto"/>
              <w:jc w:val="center"/>
              <w:rPr>
                <w:rFonts w:asciiTheme="minorHAnsi" w:hAnsiTheme="minorHAnsi" w:cs="Arial"/>
                <w:szCs w:val="22"/>
              </w:rPr>
            </w:pPr>
            <w:r>
              <w:rPr>
                <w:rFonts w:asciiTheme="minorHAnsi" w:hAnsiTheme="minorHAnsi"/>
                <w:szCs w:val="22"/>
              </w:rPr>
              <w:t>RPO WD</w:t>
            </w:r>
          </w:p>
        </w:tc>
      </w:tr>
      <w:tr w:rsidR="00CD63C1" w:rsidRPr="00911273" w:rsidTr="00D35714">
        <w:trPr>
          <w:cantSplit/>
          <w:trHeight w:val="20"/>
        </w:trPr>
        <w:tc>
          <w:tcPr>
            <w:tcW w:w="1137" w:type="pct"/>
            <w:shd w:val="clear" w:color="auto" w:fill="auto"/>
            <w:vAlign w:val="center"/>
          </w:tcPr>
          <w:p w:rsidR="00CD63C1" w:rsidRDefault="00CD63C1" w:rsidP="00CD63C1">
            <w:pPr>
              <w:spacing w:before="60" w:after="60" w:line="240" w:lineRule="auto"/>
              <w:jc w:val="center"/>
              <w:rPr>
                <w:rFonts w:asciiTheme="minorHAnsi" w:hAnsiTheme="minorHAnsi"/>
                <w:szCs w:val="22"/>
              </w:rPr>
            </w:pPr>
            <w:r w:rsidRPr="00C904D5">
              <w:rPr>
                <w:rFonts w:asciiTheme="minorHAnsi" w:hAnsiTheme="minorHAnsi" w:cs="Arial"/>
                <w:szCs w:val="22"/>
              </w:rPr>
              <w:t>Nakłady inwestycyjne na zakup aparatury naukowo-badawczej</w:t>
            </w:r>
          </w:p>
          <w:p w:rsidR="00CD63C1" w:rsidRPr="00911273" w:rsidRDefault="00CD63C1" w:rsidP="00CD63C1">
            <w:pPr>
              <w:spacing w:before="60" w:after="60" w:line="240" w:lineRule="auto"/>
              <w:jc w:val="center"/>
              <w:rPr>
                <w:rFonts w:asciiTheme="minorHAnsi" w:hAnsiTheme="minorHAnsi"/>
                <w:szCs w:val="22"/>
              </w:rPr>
            </w:pPr>
          </w:p>
        </w:tc>
        <w:tc>
          <w:tcPr>
            <w:tcW w:w="757" w:type="pct"/>
            <w:vAlign w:val="center"/>
          </w:tcPr>
          <w:p w:rsidR="00CD63C1" w:rsidRPr="00225820" w:rsidRDefault="00CD63C1" w:rsidP="00CD63C1">
            <w:pPr>
              <w:spacing w:line="240" w:lineRule="auto"/>
              <w:jc w:val="center"/>
              <w:rPr>
                <w:rFonts w:asciiTheme="minorHAnsi" w:hAnsiTheme="minorHAnsi"/>
                <w:szCs w:val="22"/>
              </w:rPr>
            </w:pPr>
            <w:r>
              <w:rPr>
                <w:rFonts w:asciiTheme="minorHAnsi" w:hAnsiTheme="minorHAnsi"/>
                <w:szCs w:val="22"/>
              </w:rPr>
              <w:t>zł</w:t>
            </w:r>
          </w:p>
        </w:tc>
        <w:tc>
          <w:tcPr>
            <w:tcW w:w="2349" w:type="pct"/>
            <w:shd w:val="clear" w:color="auto" w:fill="auto"/>
            <w:vAlign w:val="center"/>
          </w:tcPr>
          <w:p w:rsidR="00CD63C1" w:rsidRPr="004A7CC9" w:rsidRDefault="00CD63C1" w:rsidP="009F65B6">
            <w:pPr>
              <w:spacing w:before="0" w:line="240" w:lineRule="auto"/>
              <w:jc w:val="both"/>
              <w:rPr>
                <w:rFonts w:ascii="Calibri" w:hAnsi="Calibri"/>
                <w:szCs w:val="22"/>
              </w:rPr>
            </w:pPr>
            <w:r w:rsidRPr="004A7CC9">
              <w:rPr>
                <w:rFonts w:ascii="Calibri" w:hAnsi="Calibri"/>
                <w:szCs w:val="22"/>
              </w:rPr>
              <w:t>Nakłady poniesione przez beneficjenta na zakup aparatury naukowo-badawczej w zawiązku z realizowanym projektem. Nakłady obejmują dofinansowanie i wkład własny.</w:t>
            </w:r>
          </w:p>
          <w:p w:rsidR="00CD63C1" w:rsidRPr="004A7CC9" w:rsidRDefault="00CD63C1" w:rsidP="009F65B6">
            <w:pPr>
              <w:spacing w:before="0" w:line="240" w:lineRule="auto"/>
              <w:jc w:val="both"/>
              <w:rPr>
                <w:color w:val="000000"/>
                <w:szCs w:val="22"/>
              </w:rPr>
            </w:pPr>
            <w:r w:rsidRPr="004A7CC9">
              <w:rPr>
                <w:rFonts w:ascii="Calibri" w:hAnsi="Calibri"/>
                <w:szCs w:val="22"/>
              </w:rPr>
              <w:t xml:space="preserve">Informacja dodatkowa (GUS): </w:t>
            </w:r>
            <w:r w:rsidRPr="004A7CC9">
              <w:rPr>
                <w:rFonts w:ascii="Calibri" w:hAnsi="Calibri" w:cs="Arial"/>
                <w:szCs w:val="22"/>
              </w:rPr>
              <w:t>aparatura naukowo-badawcza:</w:t>
            </w:r>
            <w:r w:rsidRPr="004A7CC9">
              <w:rPr>
                <w:rFonts w:ascii="Calibri" w:hAnsi="Calibri"/>
                <w:szCs w:val="22"/>
              </w:rPr>
              <w:t xml:space="preserve"> zestawy urządzeń badawczych, pomiarowych lub laboratoryjnych o małym stopniu uniwersalności i wysokich parametrach technicznych (zazwyczaj wyższych o</w:t>
            </w:r>
            <w:r w:rsidR="004A7CC9">
              <w:rPr>
                <w:rFonts w:ascii="Calibri" w:hAnsi="Calibri"/>
                <w:szCs w:val="22"/>
              </w:rPr>
              <w:t> </w:t>
            </w:r>
            <w:r w:rsidRPr="004A7CC9">
              <w:rPr>
                <w:rFonts w:ascii="Calibri" w:hAnsi="Calibri"/>
                <w:szCs w:val="22"/>
              </w:rPr>
              <w:t>kilka rzędów dokładności pomiaru w stosunku do typowej aparatury stosowanej do celów produkcyjnych lub eksploatacyjnych). Do aparatury nie zalicza się sprzętu komputerowego i innych urządzeń nie wykorzystywanych bezpośrednio do realizacji prac B+R.</w:t>
            </w:r>
          </w:p>
        </w:tc>
        <w:tc>
          <w:tcPr>
            <w:tcW w:w="757" w:type="pct"/>
            <w:vAlign w:val="center"/>
          </w:tcPr>
          <w:p w:rsidR="00CD63C1" w:rsidRPr="00911273" w:rsidRDefault="009F65B6" w:rsidP="00CD63C1">
            <w:pPr>
              <w:spacing w:before="60" w:after="60" w:line="240" w:lineRule="auto"/>
              <w:jc w:val="center"/>
              <w:rPr>
                <w:rFonts w:asciiTheme="minorHAnsi" w:hAnsiTheme="minorHAnsi"/>
                <w:szCs w:val="22"/>
              </w:rPr>
            </w:pPr>
            <w:r>
              <w:rPr>
                <w:rFonts w:asciiTheme="minorHAnsi" w:eastAsiaTheme="minorHAnsi" w:hAnsiTheme="minorHAnsi" w:cs="Calibri"/>
                <w:szCs w:val="22"/>
                <w:lang w:eastAsia="en-US"/>
              </w:rPr>
              <w:t>SZOOP RPO WD</w:t>
            </w:r>
          </w:p>
        </w:tc>
      </w:tr>
      <w:tr w:rsidR="00CD63C1" w:rsidRPr="00911273" w:rsidTr="00D35714">
        <w:trPr>
          <w:trHeight w:val="20"/>
        </w:trPr>
        <w:tc>
          <w:tcPr>
            <w:tcW w:w="1137" w:type="pct"/>
            <w:shd w:val="clear" w:color="auto" w:fill="auto"/>
            <w:vAlign w:val="center"/>
          </w:tcPr>
          <w:p w:rsidR="00CD63C1" w:rsidRPr="00C904D5" w:rsidRDefault="00CD63C1" w:rsidP="00CD63C1">
            <w:pPr>
              <w:spacing w:before="60" w:after="60" w:line="240" w:lineRule="auto"/>
              <w:jc w:val="center"/>
              <w:rPr>
                <w:rFonts w:asciiTheme="minorHAnsi" w:hAnsiTheme="minorHAnsi" w:cs="Arial"/>
                <w:szCs w:val="22"/>
              </w:rPr>
            </w:pPr>
            <w:r w:rsidRPr="00C904D5">
              <w:rPr>
                <w:rFonts w:asciiTheme="minorHAnsi" w:hAnsiTheme="minorHAnsi" w:cs="Arial"/>
                <w:szCs w:val="22"/>
              </w:rPr>
              <w:t>Liczba wspartych laboratoriów badawczych</w:t>
            </w:r>
          </w:p>
        </w:tc>
        <w:tc>
          <w:tcPr>
            <w:tcW w:w="757" w:type="pct"/>
            <w:vAlign w:val="center"/>
          </w:tcPr>
          <w:p w:rsidR="00CD63C1" w:rsidRPr="00225820" w:rsidRDefault="00CD63C1" w:rsidP="00CD63C1">
            <w:pPr>
              <w:spacing w:line="240" w:lineRule="auto"/>
              <w:jc w:val="center"/>
              <w:rPr>
                <w:rFonts w:asciiTheme="minorHAnsi" w:hAnsiTheme="minorHAnsi"/>
                <w:szCs w:val="22"/>
              </w:rPr>
            </w:pPr>
            <w:r>
              <w:rPr>
                <w:rFonts w:asciiTheme="minorHAnsi" w:hAnsiTheme="minorHAnsi"/>
                <w:szCs w:val="22"/>
              </w:rPr>
              <w:t>szt.</w:t>
            </w:r>
          </w:p>
        </w:tc>
        <w:tc>
          <w:tcPr>
            <w:tcW w:w="2349" w:type="pct"/>
            <w:shd w:val="clear" w:color="auto" w:fill="auto"/>
            <w:vAlign w:val="center"/>
          </w:tcPr>
          <w:p w:rsidR="00CD63C1" w:rsidRPr="004A7CC9" w:rsidRDefault="00CD63C1" w:rsidP="009F65B6">
            <w:pPr>
              <w:spacing w:before="0" w:line="240" w:lineRule="auto"/>
              <w:jc w:val="both"/>
              <w:rPr>
                <w:rFonts w:ascii="Calibri" w:hAnsi="Calibri"/>
                <w:color w:val="000000"/>
                <w:szCs w:val="22"/>
              </w:rPr>
            </w:pPr>
            <w:r w:rsidRPr="004A7CC9">
              <w:rPr>
                <w:rFonts w:ascii="Calibri" w:hAnsi="Calibri"/>
                <w:color w:val="000000"/>
                <w:szCs w:val="22"/>
              </w:rPr>
              <w:t>Liczba laboratoriów badawczych wybudowanych (utworzonych)</w:t>
            </w:r>
            <w:r w:rsidR="004A7CC9">
              <w:rPr>
                <w:rFonts w:ascii="Calibri" w:hAnsi="Calibri"/>
                <w:color w:val="000000"/>
                <w:szCs w:val="22"/>
              </w:rPr>
              <w:t> </w:t>
            </w:r>
            <w:r w:rsidRPr="004A7CC9">
              <w:rPr>
                <w:rFonts w:ascii="Calibri" w:hAnsi="Calibri"/>
                <w:color w:val="000000"/>
                <w:szCs w:val="22"/>
              </w:rPr>
              <w:t xml:space="preserve">rozbudowywanych, przebudowywanych lub doposażonych w aparaturę naukowo-badawczą w wyniku udzielonego wsparcia i przygotowywanych do prowadzenia prac B+R. </w:t>
            </w:r>
          </w:p>
          <w:p w:rsidR="00CD63C1" w:rsidRPr="004A7CC9" w:rsidRDefault="00CD63C1" w:rsidP="009F65B6">
            <w:pPr>
              <w:spacing w:before="0" w:line="240" w:lineRule="auto"/>
              <w:jc w:val="both"/>
              <w:rPr>
                <w:color w:val="000000"/>
                <w:szCs w:val="22"/>
              </w:rPr>
            </w:pPr>
            <w:r w:rsidRPr="004A7CC9">
              <w:rPr>
                <w:rFonts w:ascii="Calibri" w:hAnsi="Calibri"/>
                <w:color w:val="000000"/>
                <w:szCs w:val="22"/>
              </w:rPr>
              <w:t xml:space="preserve">Przez laboratorium należy rozumieć techniczne </w:t>
            </w:r>
            <w:r w:rsidRPr="004A7CC9">
              <w:rPr>
                <w:rFonts w:ascii="Calibri" w:hAnsi="Calibri"/>
                <w:color w:val="000000"/>
                <w:szCs w:val="22"/>
              </w:rPr>
              <w:lastRenderedPageBreak/>
              <w:t xml:space="preserve">i organizacyjnie wydzielone pomieszczenie wyposażone w niezbędną aparaturę naukowo-badawczą. </w:t>
            </w:r>
          </w:p>
        </w:tc>
        <w:tc>
          <w:tcPr>
            <w:tcW w:w="757" w:type="pct"/>
            <w:vAlign w:val="center"/>
          </w:tcPr>
          <w:p w:rsidR="00CD63C1" w:rsidRPr="00C904D5" w:rsidRDefault="009F65B6" w:rsidP="00CD63C1">
            <w:pPr>
              <w:spacing w:before="60" w:after="60" w:line="240" w:lineRule="auto"/>
              <w:jc w:val="center"/>
              <w:rPr>
                <w:rFonts w:asciiTheme="minorHAnsi" w:hAnsiTheme="minorHAnsi" w:cs="Arial"/>
                <w:szCs w:val="22"/>
              </w:rPr>
            </w:pPr>
            <w:r>
              <w:rPr>
                <w:rFonts w:asciiTheme="minorHAnsi" w:eastAsiaTheme="minorHAnsi" w:hAnsiTheme="minorHAnsi" w:cs="Calibri"/>
                <w:szCs w:val="22"/>
                <w:lang w:eastAsia="en-US"/>
              </w:rPr>
              <w:lastRenderedPageBreak/>
              <w:t>SZOOP RPO WD</w:t>
            </w:r>
          </w:p>
        </w:tc>
      </w:tr>
      <w:tr w:rsidR="00D35714" w:rsidRPr="00911273" w:rsidTr="00D35714">
        <w:trPr>
          <w:trHeight w:val="20"/>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lastRenderedPageBreak/>
              <w:t>Liczba obiektów dostosowanych do potrzeb osób z niepełnosprawnościami</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2349" w:type="pct"/>
            <w:shd w:val="clear" w:color="auto" w:fill="auto"/>
            <w:vAlign w:val="center"/>
          </w:tcPr>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Należy podać liczbę obiektów, a nie sprzętów, urządzeń itp., w które obiekty zaopatrzono.</w:t>
            </w:r>
          </w:p>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757" w:type="pct"/>
            <w:vAlign w:val="center"/>
          </w:tcPr>
          <w:p w:rsidR="00D35714" w:rsidRPr="00AA6B29" w:rsidRDefault="002A7D28" w:rsidP="002A7D28">
            <w:pPr>
              <w:spacing w:line="240" w:lineRule="auto"/>
              <w:jc w:val="center"/>
              <w:rPr>
                <w:rFonts w:asciiTheme="minorHAnsi" w:hAnsiTheme="minorHAnsi"/>
                <w:szCs w:val="22"/>
              </w:rPr>
            </w:pPr>
            <w:r>
              <w:rPr>
                <w:rFonts w:asciiTheme="minorHAnsi" w:hAnsiTheme="minorHAnsi"/>
                <w:szCs w:val="22"/>
              </w:rPr>
              <w:t>h</w:t>
            </w:r>
            <w:r w:rsidR="00D35714" w:rsidRPr="00AA6B29">
              <w:rPr>
                <w:rFonts w:asciiTheme="minorHAnsi" w:hAnsiTheme="minorHAnsi"/>
                <w:szCs w:val="22"/>
              </w:rPr>
              <w:t>oryzontalny</w:t>
            </w:r>
          </w:p>
        </w:tc>
      </w:tr>
      <w:tr w:rsidR="00D25D17" w:rsidRPr="00911273" w:rsidTr="00D35714">
        <w:trPr>
          <w:trHeight w:val="3018"/>
        </w:trPr>
        <w:tc>
          <w:tcPr>
            <w:tcW w:w="1137" w:type="pct"/>
            <w:shd w:val="clear" w:color="auto" w:fill="auto"/>
            <w:vAlign w:val="center"/>
          </w:tcPr>
          <w:p w:rsidR="00D25D17" w:rsidRPr="00AA6B29" w:rsidRDefault="00D25D17" w:rsidP="00D35714">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 xml:space="preserve">Liczba podmiotów wykorzystujących technologie </w:t>
            </w:r>
            <w:r w:rsidR="000D5DD5">
              <w:rPr>
                <w:rFonts w:asciiTheme="minorHAnsi" w:eastAsiaTheme="minorHAnsi" w:hAnsiTheme="minorHAnsi"/>
                <w:szCs w:val="22"/>
                <w:lang w:eastAsia="en-US"/>
              </w:rPr>
              <w:t xml:space="preserve">informacyjno-komunikacyjne </w:t>
            </w:r>
          </w:p>
        </w:tc>
        <w:tc>
          <w:tcPr>
            <w:tcW w:w="757" w:type="pct"/>
            <w:vAlign w:val="center"/>
          </w:tcPr>
          <w:p w:rsidR="00D25D17" w:rsidRPr="00AA6B29" w:rsidRDefault="00D25D17" w:rsidP="00D35714">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349" w:type="pct"/>
            <w:shd w:val="clear" w:color="auto" w:fill="auto"/>
            <w:vAlign w:val="center"/>
          </w:tcPr>
          <w:p w:rsidR="00D25D17" w:rsidRDefault="00D25D1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D25D17" w:rsidRDefault="00D25D1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D25D17" w:rsidRDefault="00D25D17"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W zakresie EFS podmioty wykorzystujące TIK należy rozumieć jako podmioty (beneficjenci, partnerzy beneficjentów), które w ramach realizowanego przez nie projektu wspierają wykorzystywanie technik poprzez, np. propagowanie: szkolenie/zakup</w:t>
            </w:r>
            <w:r w:rsidR="00E4135C">
              <w:rPr>
                <w:rFonts w:asciiTheme="minorHAnsi" w:eastAsiaTheme="minorHAnsi" w:hAnsiTheme="minorHAnsi"/>
                <w:szCs w:val="22"/>
                <w:lang w:eastAsia="en-US"/>
              </w:rPr>
              <w:t xml:space="preserve">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w:t>
            </w:r>
            <w:r w:rsidR="00E4135C">
              <w:rPr>
                <w:rFonts w:asciiTheme="minorHAnsi" w:eastAsiaTheme="minorHAnsi" w:hAnsiTheme="minorHAnsi"/>
                <w:szCs w:val="22"/>
                <w:lang w:eastAsia="en-US"/>
              </w:rPr>
              <w:lastRenderedPageBreak/>
              <w:t>operacyjnych na lata 2014-2020, nie należy wykazywać w module Uczestnicy projektów w SL2014.</w:t>
            </w:r>
          </w:p>
          <w:p w:rsidR="00E4135C" w:rsidRDefault="00E4135C"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E4135C" w:rsidRPr="00AA6B29" w:rsidRDefault="00E4135C" w:rsidP="00D35714">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 xml:space="preserve">W przypadku, gdy beneficjentem pozostaje jedne podmiot , we wskaźniku należy </w:t>
            </w:r>
            <w:r w:rsidR="002302E0">
              <w:rPr>
                <w:rFonts w:asciiTheme="minorHAnsi" w:eastAsiaTheme="minorHAnsi" w:hAnsiTheme="minorHAnsi"/>
                <w:szCs w:val="22"/>
                <w:lang w:eastAsia="en-US"/>
              </w:rPr>
              <w:t>ująć wartość „1”. W przypadku, gdy projekt jest realizowany przez partnerstwo podmiotów, w wartości wskaźnika należy ująć każdy z podmiotów wchodzących w skład partnerstwa, który wdrożył w swojej działalności narzędzia TIK.</w:t>
            </w:r>
          </w:p>
        </w:tc>
        <w:tc>
          <w:tcPr>
            <w:tcW w:w="757" w:type="pct"/>
            <w:vAlign w:val="center"/>
          </w:tcPr>
          <w:p w:rsidR="00D25D17" w:rsidRPr="00AA6B29" w:rsidRDefault="002A7D28" w:rsidP="002A7D28">
            <w:pPr>
              <w:spacing w:line="240" w:lineRule="auto"/>
              <w:jc w:val="center"/>
              <w:rPr>
                <w:rFonts w:asciiTheme="minorHAnsi" w:hAnsiTheme="minorHAnsi"/>
                <w:szCs w:val="22"/>
              </w:rPr>
            </w:pPr>
            <w:r>
              <w:rPr>
                <w:rFonts w:asciiTheme="minorHAnsi" w:hAnsiTheme="minorHAnsi"/>
                <w:szCs w:val="22"/>
              </w:rPr>
              <w:lastRenderedPageBreak/>
              <w:t>h</w:t>
            </w:r>
            <w:r w:rsidR="00D25D17">
              <w:rPr>
                <w:rFonts w:asciiTheme="minorHAnsi" w:hAnsiTheme="minorHAnsi"/>
                <w:szCs w:val="22"/>
              </w:rPr>
              <w:t>oryzontalny</w:t>
            </w:r>
          </w:p>
        </w:tc>
      </w:tr>
      <w:tr w:rsidR="00D35714" w:rsidRPr="00911273" w:rsidTr="00D35714">
        <w:trPr>
          <w:trHeight w:val="3018"/>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lastRenderedPageBreak/>
              <w:t>Liczba osób objętych szkoleniami / doradztwem w zakresie kompetencji cyfrowych O</w:t>
            </w:r>
            <w:r w:rsidR="001835B5">
              <w:rPr>
                <w:rFonts w:asciiTheme="minorHAnsi" w:eastAsiaTheme="minorHAnsi" w:hAnsiTheme="minorHAnsi"/>
                <w:szCs w:val="22"/>
                <w:lang w:eastAsia="en-US"/>
              </w:rPr>
              <w:t>gółem</w:t>
            </w:r>
            <w:r w:rsidRPr="00AA6B29">
              <w:rPr>
                <w:rFonts w:asciiTheme="minorHAnsi" w:eastAsiaTheme="minorHAnsi" w:hAnsiTheme="minorHAnsi"/>
                <w:szCs w:val="22"/>
                <w:lang w:eastAsia="en-US"/>
              </w:rPr>
              <w:t>/K</w:t>
            </w:r>
            <w:r w:rsidR="001835B5">
              <w:rPr>
                <w:rFonts w:asciiTheme="minorHAnsi" w:eastAsiaTheme="minorHAnsi" w:hAnsiTheme="minorHAnsi"/>
                <w:szCs w:val="22"/>
                <w:lang w:eastAsia="en-US"/>
              </w:rPr>
              <w:t>obiety</w:t>
            </w:r>
            <w:r w:rsidRPr="00AA6B29">
              <w:rPr>
                <w:rFonts w:asciiTheme="minorHAnsi" w:eastAsiaTheme="minorHAnsi" w:hAnsiTheme="minorHAnsi"/>
                <w:szCs w:val="22"/>
                <w:lang w:eastAsia="en-US"/>
              </w:rPr>
              <w:t>/M</w:t>
            </w:r>
            <w:r w:rsidR="001835B5">
              <w:rPr>
                <w:rFonts w:asciiTheme="minorHAnsi" w:eastAsiaTheme="minorHAnsi" w:hAnsiTheme="minorHAnsi"/>
                <w:szCs w:val="22"/>
                <w:lang w:eastAsia="en-US"/>
              </w:rPr>
              <w:t>ężczyźni</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osoby</w:t>
            </w:r>
          </w:p>
        </w:tc>
        <w:tc>
          <w:tcPr>
            <w:tcW w:w="2349" w:type="pct"/>
            <w:shd w:val="clear" w:color="auto" w:fill="auto"/>
            <w:vAlign w:val="center"/>
          </w:tcPr>
          <w:p w:rsidR="00D35714" w:rsidRPr="00AA6B29" w:rsidRDefault="00D35714" w:rsidP="00D35714">
            <w:pPr>
              <w:spacing w:before="0" w:line="240" w:lineRule="auto"/>
              <w:jc w:val="both"/>
              <w:rPr>
                <w:rFonts w:asciiTheme="minorHAnsi" w:eastAsiaTheme="minorHAnsi" w:hAnsiTheme="minorHAnsi"/>
                <w:szCs w:val="22"/>
                <w:lang w:eastAsia="en-US"/>
              </w:rPr>
            </w:pPr>
            <w:r w:rsidRPr="00AA6B29">
              <w:rPr>
                <w:rFonts w:asciiTheme="minorHAnsi" w:eastAsiaTheme="minorHAnsi" w:hAnsiTheme="minorHAnsi"/>
                <w:szCs w:val="22"/>
                <w:lang w:eastAsia="en-US"/>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AA6B29">
              <w:rPr>
                <w:rFonts w:asciiTheme="minorHAnsi" w:eastAsiaTheme="minorHAnsi" w:hAnsiTheme="minorHAnsi"/>
                <w:szCs w:val="22"/>
                <w:lang w:eastAsia="en-US"/>
              </w:rPr>
              <w:t>internetu</w:t>
            </w:r>
            <w:proofErr w:type="spellEnd"/>
            <w:r w:rsidRPr="00AA6B29">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w:t>
            </w:r>
          </w:p>
        </w:tc>
        <w:tc>
          <w:tcPr>
            <w:tcW w:w="757" w:type="pct"/>
            <w:vAlign w:val="center"/>
          </w:tcPr>
          <w:p w:rsidR="00D35714" w:rsidRPr="00AA6B29" w:rsidRDefault="002A7D28" w:rsidP="002A7D28">
            <w:pPr>
              <w:spacing w:line="240" w:lineRule="auto"/>
              <w:jc w:val="center"/>
              <w:rPr>
                <w:rFonts w:asciiTheme="minorHAnsi" w:hAnsiTheme="minorHAnsi"/>
                <w:szCs w:val="22"/>
              </w:rPr>
            </w:pPr>
            <w:r>
              <w:rPr>
                <w:rFonts w:asciiTheme="minorHAnsi" w:hAnsiTheme="minorHAnsi"/>
                <w:szCs w:val="22"/>
              </w:rPr>
              <w:t>h</w:t>
            </w:r>
            <w:r w:rsidR="00D35714" w:rsidRPr="00AA6B29">
              <w:rPr>
                <w:rFonts w:asciiTheme="minorHAnsi" w:hAnsiTheme="minorHAnsi"/>
                <w:szCs w:val="22"/>
              </w:rPr>
              <w:t>oryzontalny</w:t>
            </w:r>
          </w:p>
        </w:tc>
      </w:tr>
      <w:tr w:rsidR="00D35714" w:rsidRPr="00911273" w:rsidTr="00D35714">
        <w:trPr>
          <w:trHeight w:val="20"/>
        </w:trPr>
        <w:tc>
          <w:tcPr>
            <w:tcW w:w="1137" w:type="pct"/>
            <w:shd w:val="clear" w:color="auto" w:fill="auto"/>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757" w:type="pct"/>
            <w:vAlign w:val="center"/>
          </w:tcPr>
          <w:p w:rsidR="00D35714" w:rsidRPr="00AA6B29" w:rsidRDefault="00D35714" w:rsidP="00D35714">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2349" w:type="pct"/>
            <w:shd w:val="clear" w:color="auto" w:fill="auto"/>
            <w:vAlign w:val="center"/>
          </w:tcPr>
          <w:p w:rsidR="00D35714" w:rsidRPr="00AA6B29" w:rsidRDefault="00D35714" w:rsidP="00D35714">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A6B29">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r w:rsidR="00ED07F0">
              <w:rPr>
                <w:rFonts w:asciiTheme="minorHAnsi" w:eastAsiaTheme="minorHAnsi" w:hAnsiTheme="minorHAnsi" w:cs="Arial"/>
                <w:color w:val="000000"/>
                <w:szCs w:val="22"/>
                <w:lang w:eastAsia="en-US"/>
              </w:rPr>
              <w:t xml:space="preserve"> (nie należy wpisywać go do wniosku o dofinansowanie)</w:t>
            </w:r>
            <w:r w:rsidR="009B3E38">
              <w:rPr>
                <w:rFonts w:asciiTheme="minorHAnsi" w:eastAsiaTheme="minorHAnsi" w:hAnsiTheme="minorHAnsi" w:cs="Arial"/>
                <w:color w:val="000000"/>
                <w:szCs w:val="22"/>
                <w:lang w:eastAsia="en-US"/>
              </w:rPr>
              <w:t xml:space="preserve"> i</w:t>
            </w:r>
            <w:r w:rsidR="009B3E38" w:rsidRPr="009B3E38">
              <w:rPr>
                <w:rFonts w:asciiTheme="minorHAnsi" w:eastAsiaTheme="minorHAnsi" w:hAnsiTheme="minorHAnsi" w:cs="Arial"/>
                <w:color w:val="000000"/>
                <w:szCs w:val="22"/>
                <w:lang w:eastAsia="en-US"/>
              </w:rPr>
              <w:t xml:space="preserve"> dotyczy usług dostosowawczych lub oddziaływania na szeroko pojętą infrastrukturę, nieprzewidzianych z góry we wniosku o dofinansowanie projektu, lecz uruchamianych wraz z pojawieniem się w projekcie (w charakterze uczestnika lub personelu) osoby z niepełnosprawnością</w:t>
            </w:r>
            <w:r w:rsidR="009B3E38">
              <w:rPr>
                <w:rFonts w:asciiTheme="minorHAnsi" w:eastAsiaTheme="minorHAnsi" w:hAnsiTheme="minorHAnsi" w:cs="Arial"/>
                <w:color w:val="000000"/>
                <w:szCs w:val="22"/>
                <w:lang w:eastAsia="en-US"/>
              </w:rPr>
              <w:t xml:space="preserve">. </w:t>
            </w:r>
          </w:p>
          <w:p w:rsidR="009F5A31" w:rsidRPr="007614FD" w:rsidRDefault="00D35714" w:rsidP="009F5A3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AA6B29">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w:t>
            </w:r>
            <w:r w:rsidRPr="00AA6B29">
              <w:rPr>
                <w:rFonts w:asciiTheme="minorHAnsi" w:eastAsiaTheme="minorHAnsi" w:hAnsiTheme="minorHAnsi" w:cs="Arial"/>
                <w:color w:val="000000"/>
                <w:szCs w:val="22"/>
                <w:lang w:eastAsia="en-US"/>
              </w:rPr>
              <w:lastRenderedPageBreak/>
              <w:t>komputerowej np. programy powiększające, mówiące, drukarki materiałów w alfabecie B</w:t>
            </w:r>
            <w:r w:rsidRPr="007614FD">
              <w:rPr>
                <w:rFonts w:asciiTheme="minorHAnsi" w:eastAsiaTheme="minorHAnsi" w:hAnsiTheme="minorHAnsi" w:cs="Arial"/>
                <w:color w:val="000000"/>
                <w:szCs w:val="22"/>
                <w:lang w:eastAsia="en-US"/>
              </w:rPr>
              <w:t>raille'a), osoby asystujące, odpowiednie dostosowanie wyżywienia.</w:t>
            </w:r>
          </w:p>
          <w:p w:rsidR="00D35714" w:rsidRPr="00AA6B29" w:rsidRDefault="00D35714" w:rsidP="00D35714">
            <w:pPr>
              <w:spacing w:before="0" w:line="240" w:lineRule="auto"/>
              <w:jc w:val="both"/>
              <w:rPr>
                <w:rFonts w:asciiTheme="minorHAnsi" w:eastAsiaTheme="minorHAnsi" w:hAnsiTheme="minorHAnsi"/>
                <w:szCs w:val="22"/>
                <w:lang w:eastAsia="en-US"/>
              </w:rPr>
            </w:pPr>
            <w:r w:rsidRPr="007614FD">
              <w:rPr>
                <w:rFonts w:asciiTheme="minorHAnsi" w:eastAsiaTheme="minorHAnsi" w:hAnsiTheme="minorHAnsi" w:cs="Arial"/>
                <w:color w:val="000000"/>
                <w:szCs w:val="22"/>
                <w:lang w:eastAsia="en-US"/>
              </w:rPr>
              <w:t xml:space="preserve">Definicja na podstawie </w:t>
            </w:r>
            <w:r w:rsidRPr="007614FD">
              <w:rPr>
                <w:rFonts w:asciiTheme="minorHAnsi" w:eastAsiaTheme="minorHAnsi" w:hAnsiTheme="minorHAnsi" w:cs="Arial"/>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7614FD">
              <w:rPr>
                <w:rFonts w:asciiTheme="minorHAnsi" w:eastAsiaTheme="minorHAnsi" w:hAnsiTheme="minorHAnsi" w:cs="Arial"/>
                <w:color w:val="000000"/>
                <w:szCs w:val="22"/>
                <w:lang w:eastAsia="en-US"/>
              </w:rPr>
              <w:t>.</w:t>
            </w:r>
          </w:p>
        </w:tc>
        <w:tc>
          <w:tcPr>
            <w:tcW w:w="757" w:type="pct"/>
            <w:vAlign w:val="center"/>
          </w:tcPr>
          <w:p w:rsidR="00D35714" w:rsidRPr="0061737E" w:rsidRDefault="002A7D28" w:rsidP="00D35714">
            <w:pPr>
              <w:spacing w:line="240" w:lineRule="auto"/>
              <w:jc w:val="center"/>
              <w:rPr>
                <w:rFonts w:asciiTheme="minorHAnsi" w:hAnsiTheme="minorHAnsi"/>
                <w:szCs w:val="22"/>
              </w:rPr>
            </w:pPr>
            <w:r>
              <w:rPr>
                <w:rFonts w:asciiTheme="minorHAnsi" w:hAnsiTheme="minorHAnsi"/>
                <w:szCs w:val="22"/>
              </w:rPr>
              <w:lastRenderedPageBreak/>
              <w:t>h</w:t>
            </w:r>
            <w:r w:rsidR="00D35714" w:rsidRPr="000B05C7">
              <w:rPr>
                <w:rFonts w:asciiTheme="minorHAnsi" w:hAnsiTheme="minorHAnsi"/>
                <w:szCs w:val="22"/>
              </w:rPr>
              <w:t>oryzontalny</w:t>
            </w:r>
          </w:p>
        </w:tc>
      </w:tr>
    </w:tbl>
    <w:p w:rsidR="009119D9" w:rsidRDefault="009119D9" w:rsidP="00B92427">
      <w:pPr>
        <w:pStyle w:val="Default"/>
        <w:spacing w:after="120"/>
        <w:jc w:val="both"/>
        <w:rPr>
          <w:rFonts w:asciiTheme="minorHAnsi" w:hAnsiTheme="minorHAnsi"/>
          <w:sz w:val="22"/>
          <w:szCs w:val="22"/>
        </w:rPr>
      </w:pPr>
    </w:p>
    <w:p w:rsidR="00912831" w:rsidRDefault="00912831" w:rsidP="00B92427">
      <w:pPr>
        <w:pStyle w:val="Default"/>
        <w:spacing w:after="120"/>
        <w:jc w:val="both"/>
        <w:rPr>
          <w:rFonts w:asciiTheme="minorHAnsi" w:hAnsiTheme="minorHAnsi"/>
          <w:sz w:val="22"/>
          <w:szCs w:val="22"/>
        </w:rPr>
      </w:pPr>
    </w:p>
    <w:p w:rsidR="008A09D1" w:rsidRPr="008A09D1" w:rsidRDefault="008A09D1" w:rsidP="00B92427">
      <w:pPr>
        <w:pStyle w:val="Default"/>
        <w:spacing w:after="120"/>
        <w:jc w:val="both"/>
        <w:rPr>
          <w:rFonts w:asciiTheme="minorHAnsi" w:hAnsiTheme="minorHAnsi"/>
          <w:sz w:val="22"/>
          <w:szCs w:val="22"/>
        </w:rPr>
      </w:pPr>
      <w:r w:rsidRPr="008A09D1">
        <w:rPr>
          <w:rFonts w:asciiTheme="minorHAnsi" w:hAnsiTheme="minorHAnsi"/>
          <w:sz w:val="22"/>
          <w:szCs w:val="22"/>
        </w:rPr>
        <w:t xml:space="preserve">Dla </w:t>
      </w:r>
      <w:r w:rsidR="00221D32">
        <w:rPr>
          <w:rFonts w:asciiTheme="minorHAnsi" w:hAnsiTheme="minorHAnsi"/>
          <w:sz w:val="22"/>
          <w:szCs w:val="22"/>
        </w:rPr>
        <w:t>każdego z wybranych wskaźników w</w:t>
      </w:r>
      <w:r w:rsidRPr="008A09D1">
        <w:rPr>
          <w:rFonts w:asciiTheme="minorHAnsi" w:hAnsiTheme="minorHAnsi"/>
          <w:sz w:val="22"/>
          <w:szCs w:val="22"/>
        </w:rPr>
        <w:t xml:space="preserve">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B92427">
      <w:pPr>
        <w:pStyle w:val="Default"/>
        <w:spacing w:after="120"/>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B80AE7" w:rsidRDefault="00B80AE7" w:rsidP="00640270">
      <w:pPr>
        <w:pStyle w:val="Default"/>
        <w:jc w:val="both"/>
        <w:rPr>
          <w:rFonts w:asciiTheme="minorHAnsi" w:hAnsiTheme="minorHAnsi"/>
          <w:sz w:val="22"/>
          <w:szCs w:val="22"/>
          <w:highlight w:val="yellow"/>
        </w:rPr>
      </w:pPr>
    </w:p>
    <w:p w:rsidR="003A6859" w:rsidRDefault="003A6859" w:rsidP="003A6859">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W r</w:t>
      </w:r>
      <w:r w:rsidR="00221D32">
        <w:rPr>
          <w:rFonts w:asciiTheme="minorHAnsi" w:eastAsiaTheme="minorHAnsi" w:hAnsiTheme="minorHAnsi" w:cs="Arial"/>
          <w:szCs w:val="22"/>
          <w:lang w:eastAsia="en-US"/>
        </w:rPr>
        <w:t>amach wniosku o dofinansowanie w</w:t>
      </w:r>
      <w:r w:rsidRPr="00911273">
        <w:rPr>
          <w:rFonts w:asciiTheme="minorHAnsi" w:eastAsiaTheme="minorHAnsi" w:hAnsiTheme="minorHAnsi" w:cs="Arial"/>
          <w:szCs w:val="22"/>
          <w:lang w:eastAsia="en-US"/>
        </w:rPr>
        <w:t xml:space="preserve">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z listy przedstawionej </w:t>
      </w:r>
      <w:r>
        <w:rPr>
          <w:rFonts w:asciiTheme="minorHAnsi" w:eastAsiaTheme="minorHAnsi" w:hAnsiTheme="minorHAnsi" w:cs="Arial"/>
          <w:szCs w:val="22"/>
          <w:lang w:eastAsia="en-US"/>
        </w:rPr>
        <w:t xml:space="preserve"> </w:t>
      </w:r>
      <w:r w:rsidR="00D96D24">
        <w:rPr>
          <w:rFonts w:asciiTheme="minorHAnsi" w:eastAsiaTheme="minorHAnsi" w:hAnsiTheme="minorHAnsi" w:cs="Arial"/>
          <w:szCs w:val="22"/>
          <w:lang w:eastAsia="en-US"/>
        </w:rPr>
        <w:t>w powyższej  tabeli</w:t>
      </w:r>
      <w:r w:rsidRPr="00911273">
        <w:rPr>
          <w:rFonts w:asciiTheme="minorHAnsi" w:eastAsiaTheme="minorHAnsi" w:hAnsiTheme="minorHAnsi" w:cs="Arial"/>
          <w:szCs w:val="22"/>
          <w:lang w:eastAsia="en-US"/>
        </w:rPr>
        <w:t xml:space="preserve">,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p>
    <w:p w:rsidR="008C495E" w:rsidRDefault="008C495E" w:rsidP="00DC184F">
      <w:pPr>
        <w:autoSpaceDE w:val="0"/>
        <w:autoSpaceDN w:val="0"/>
        <w:adjustRightInd w:val="0"/>
        <w:spacing w:before="120" w:after="120" w:line="240" w:lineRule="auto"/>
        <w:jc w:val="both"/>
        <w:rPr>
          <w:rFonts w:asciiTheme="minorHAnsi" w:hAnsiTheme="minorHAnsi"/>
          <w:b/>
          <w:szCs w:val="22"/>
        </w:rPr>
      </w:pPr>
    </w:p>
    <w:p w:rsidR="00DF52C4" w:rsidRPr="004E49D6" w:rsidRDefault="00DF52C4" w:rsidP="00DC184F">
      <w:pPr>
        <w:autoSpaceDE w:val="0"/>
        <w:autoSpaceDN w:val="0"/>
        <w:adjustRightInd w:val="0"/>
        <w:spacing w:before="120" w:after="120" w:line="240" w:lineRule="auto"/>
        <w:jc w:val="both"/>
        <w:rPr>
          <w:rFonts w:asciiTheme="minorHAnsi" w:hAnsiTheme="minorHAnsi"/>
          <w:b/>
          <w:szCs w:val="22"/>
        </w:rPr>
      </w:pPr>
    </w:p>
    <w:p w:rsidR="003D3BC5" w:rsidRDefault="008C495E" w:rsidP="00B92427">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B92427">
      <w:pPr>
        <w:pStyle w:val="Default"/>
        <w:spacing w:after="120"/>
        <w:jc w:val="both"/>
        <w:rPr>
          <w:rFonts w:asciiTheme="minorHAnsi" w:hAnsiTheme="minorHAnsi"/>
          <w:sz w:val="22"/>
          <w:szCs w:val="22"/>
        </w:rPr>
      </w:pPr>
      <w:r w:rsidRPr="000F5C98">
        <w:rPr>
          <w:rFonts w:asciiTheme="minorHAnsi" w:hAnsiTheme="minorHAnsi"/>
          <w:sz w:val="22"/>
          <w:szCs w:val="22"/>
        </w:rPr>
        <w:t xml:space="preserve">Dla </w:t>
      </w:r>
      <w:r w:rsidR="00221D32">
        <w:rPr>
          <w:rFonts w:asciiTheme="minorHAnsi" w:hAnsiTheme="minorHAnsi"/>
          <w:sz w:val="22"/>
          <w:szCs w:val="22"/>
        </w:rPr>
        <w:t>każdego z wybranych wskaźników w</w:t>
      </w:r>
      <w:r w:rsidRPr="000F5C98">
        <w:rPr>
          <w:rFonts w:asciiTheme="minorHAnsi" w:hAnsiTheme="minorHAnsi"/>
          <w:sz w:val="22"/>
          <w:szCs w:val="22"/>
        </w:rPr>
        <w:t xml:space="preserve">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B92427">
      <w:pPr>
        <w:pStyle w:val="Default"/>
        <w:spacing w:after="120"/>
        <w:jc w:val="both"/>
        <w:rPr>
          <w:rFonts w:asciiTheme="minorHAnsi" w:hAnsiTheme="minorHAnsi"/>
          <w:sz w:val="22"/>
          <w:szCs w:val="22"/>
        </w:rPr>
      </w:pPr>
      <w:r w:rsidRPr="00E313C3">
        <w:rPr>
          <w:rFonts w:asciiTheme="minorHAnsi" w:hAnsiTheme="minorHAnsi"/>
          <w:sz w:val="22"/>
          <w:szCs w:val="22"/>
        </w:rPr>
        <w:t>Wartość docelowa dla wskaźnika rezultatu to wyrażony liczbowo stan danego wskaźnika uzyskany w</w:t>
      </w:r>
      <w:r w:rsidR="00141571" w:rsidRPr="00E313C3">
        <w:rPr>
          <w:rFonts w:asciiTheme="minorHAnsi" w:hAnsiTheme="minorHAnsi"/>
          <w:sz w:val="22"/>
          <w:szCs w:val="22"/>
        </w:rPr>
        <w:t> </w:t>
      </w:r>
      <w:r w:rsidR="00B92427" w:rsidRPr="00E313C3">
        <w:rPr>
          <w:rFonts w:asciiTheme="minorHAnsi" w:hAnsiTheme="minorHAnsi"/>
          <w:sz w:val="22"/>
          <w:szCs w:val="22"/>
        </w:rPr>
        <w:t>efekcie realizacji projektu.</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w:t>
      </w:r>
      <w:r w:rsidR="00D80B00">
        <w:rPr>
          <w:rFonts w:asciiTheme="minorHAnsi" w:hAnsiTheme="minorHAnsi"/>
        </w:rPr>
        <w:t>ć należy odpowiedni dokument.</w:t>
      </w:r>
    </w:p>
    <w:p w:rsidR="00CB1388" w:rsidRDefault="00861312"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W</w:t>
      </w:r>
      <w:r w:rsidR="00CB1388">
        <w:rPr>
          <w:rFonts w:asciiTheme="minorHAnsi" w:hAnsiTheme="minorHAnsi"/>
          <w:b/>
          <w:szCs w:val="22"/>
        </w:rPr>
        <w:t xml:space="preserve">szyscy wnioskodawcy są zobligowani do określenia poniższych wskaźników o charakterze rezultatu bezpośredniego – </w:t>
      </w:r>
      <w:r>
        <w:rPr>
          <w:rFonts w:asciiTheme="minorHAnsi" w:hAnsiTheme="minorHAnsi"/>
          <w:b/>
          <w:szCs w:val="22"/>
        </w:rPr>
        <w:t xml:space="preserve">także </w:t>
      </w:r>
      <w:r w:rsidR="00CB1388">
        <w:rPr>
          <w:rFonts w:asciiTheme="minorHAnsi" w:hAnsiTheme="minorHAnsi"/>
          <w:b/>
          <w:szCs w:val="22"/>
        </w:rPr>
        <w:t>horyzontalnych</w:t>
      </w:r>
      <w:r w:rsidR="00912831">
        <w:rPr>
          <w:rFonts w:asciiTheme="minorHAnsi" w:hAnsiTheme="minorHAnsi"/>
          <w:b/>
          <w:szCs w:val="22"/>
        </w:rPr>
        <w:t>, jeśli są adekwatne do celu projektu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69"/>
        <w:gridCol w:w="1397"/>
        <w:gridCol w:w="4106"/>
        <w:gridCol w:w="2090"/>
      </w:tblGrid>
      <w:tr w:rsidR="00D80B00" w:rsidRPr="003C55C7" w:rsidTr="0022625B">
        <w:trPr>
          <w:trHeight w:val="20"/>
          <w:jc w:val="center"/>
        </w:trPr>
        <w:tc>
          <w:tcPr>
            <w:tcW w:w="1189" w:type="pct"/>
            <w:shd w:val="clear" w:color="auto" w:fill="auto"/>
            <w:vAlign w:val="center"/>
          </w:tcPr>
          <w:p w:rsidR="00D80B00" w:rsidRPr="00911273" w:rsidRDefault="00D80B00" w:rsidP="00BA4FB4">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D80B00" w:rsidRPr="00911273" w:rsidRDefault="00D80B00" w:rsidP="00BA4FB4">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D80B00" w:rsidRPr="00911273" w:rsidRDefault="00D80B00" w:rsidP="00BA4FB4">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D80B00" w:rsidRPr="00911273" w:rsidRDefault="00D80B00" w:rsidP="00BA4FB4">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C143DD" w:rsidRPr="003C55C7" w:rsidTr="004A7CC9">
        <w:trPr>
          <w:trHeight w:val="919"/>
          <w:jc w:val="center"/>
        </w:trPr>
        <w:tc>
          <w:tcPr>
            <w:tcW w:w="1189" w:type="pct"/>
            <w:shd w:val="clear" w:color="auto" w:fill="auto"/>
            <w:vAlign w:val="center"/>
          </w:tcPr>
          <w:p w:rsidR="00C143DD" w:rsidRPr="00CD63C1" w:rsidRDefault="00C143DD" w:rsidP="004A7CC9">
            <w:pPr>
              <w:autoSpaceDE w:val="0"/>
              <w:autoSpaceDN w:val="0"/>
              <w:adjustRightInd w:val="0"/>
              <w:spacing w:before="0" w:line="240" w:lineRule="auto"/>
              <w:rPr>
                <w:rFonts w:asciiTheme="minorHAnsi" w:eastAsiaTheme="minorHAnsi" w:hAnsiTheme="minorHAnsi" w:cs="Calibri"/>
                <w:szCs w:val="22"/>
                <w:lang w:eastAsia="en-US"/>
              </w:rPr>
            </w:pPr>
            <w:r w:rsidRPr="00C904D5">
              <w:rPr>
                <w:rFonts w:asciiTheme="minorHAnsi" w:hAnsiTheme="minorHAnsi" w:cs="Arial"/>
                <w:szCs w:val="22"/>
              </w:rPr>
              <w:t>Liczba przedsiębiorstw korzystających ze wspartej infrastruktury badawczej</w:t>
            </w:r>
          </w:p>
        </w:tc>
        <w:tc>
          <w:tcPr>
            <w:tcW w:w="701" w:type="pct"/>
            <w:vAlign w:val="center"/>
          </w:tcPr>
          <w:p w:rsidR="00C143DD" w:rsidRPr="00CD63C1" w:rsidRDefault="00C143DD" w:rsidP="004A7CC9">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szt.</w:t>
            </w:r>
          </w:p>
        </w:tc>
        <w:tc>
          <w:tcPr>
            <w:tcW w:w="2061" w:type="pct"/>
            <w:shd w:val="clear" w:color="auto" w:fill="auto"/>
            <w:vAlign w:val="center"/>
          </w:tcPr>
          <w:p w:rsidR="00C143DD" w:rsidRDefault="00C143DD" w:rsidP="00C143DD">
            <w:pPr>
              <w:spacing w:before="0" w:line="240" w:lineRule="auto"/>
              <w:jc w:val="both"/>
              <w:rPr>
                <w:rFonts w:asciiTheme="minorHAnsi" w:hAnsiTheme="minorHAnsi"/>
                <w:szCs w:val="22"/>
              </w:rPr>
            </w:pPr>
            <w:r w:rsidRPr="00C143DD">
              <w:rPr>
                <w:rFonts w:asciiTheme="minorHAnsi" w:hAnsiTheme="minorHAnsi"/>
                <w:szCs w:val="22"/>
              </w:rPr>
              <w:t>Liczba przedsiębiorstw, które w ramach działalności B+R skorzystały (samodzielnie, we współpracy z jednostką naukową, przez jednostkę naukową na zlecenie przedsiębiorstwa) ze wspartej infrastruktury badawczej, niezależnie od tego, kto był beneficjentem zrealizowanego projektu.</w:t>
            </w:r>
          </w:p>
          <w:p w:rsidR="00C143DD" w:rsidRPr="00C143DD" w:rsidRDefault="00C143DD" w:rsidP="00C143DD">
            <w:pPr>
              <w:spacing w:before="0" w:line="240" w:lineRule="auto"/>
              <w:jc w:val="both"/>
              <w:rPr>
                <w:rFonts w:asciiTheme="minorHAnsi" w:hAnsiTheme="minorHAnsi"/>
                <w:szCs w:val="22"/>
              </w:rPr>
            </w:pPr>
            <w:r w:rsidRPr="00C143DD">
              <w:rPr>
                <w:rFonts w:asciiTheme="minorHAnsi" w:hAnsiTheme="minorHAnsi"/>
                <w:szCs w:val="22"/>
              </w:rPr>
              <w:lastRenderedPageBreak/>
              <w:t xml:space="preserve">Przedsiębiorstwo wykazywane jest jeden raz niezależnie od tego, ile projektów zrealizowało przy wykorzystaniu wspartej infrastruktury badawczej. </w:t>
            </w:r>
          </w:p>
        </w:tc>
        <w:tc>
          <w:tcPr>
            <w:tcW w:w="1049" w:type="pct"/>
            <w:vAlign w:val="center"/>
          </w:tcPr>
          <w:p w:rsidR="00C143DD" w:rsidRPr="00CD63C1" w:rsidRDefault="00C143DD" w:rsidP="004A7CC9">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lastRenderedPageBreak/>
              <w:t>SZOOP RPO WD</w:t>
            </w:r>
          </w:p>
        </w:tc>
      </w:tr>
      <w:tr w:rsidR="00C143DD" w:rsidRPr="003C55C7" w:rsidTr="004A7CC9">
        <w:trPr>
          <w:trHeight w:val="705"/>
          <w:jc w:val="center"/>
        </w:trPr>
        <w:tc>
          <w:tcPr>
            <w:tcW w:w="1189" w:type="pct"/>
            <w:shd w:val="clear" w:color="auto" w:fill="auto"/>
            <w:vAlign w:val="center"/>
          </w:tcPr>
          <w:p w:rsidR="00C143DD" w:rsidRPr="00CD63C1" w:rsidRDefault="00C143DD" w:rsidP="004A7CC9">
            <w:pPr>
              <w:autoSpaceDE w:val="0"/>
              <w:autoSpaceDN w:val="0"/>
              <w:adjustRightInd w:val="0"/>
              <w:spacing w:before="0" w:line="240" w:lineRule="auto"/>
              <w:rPr>
                <w:rFonts w:asciiTheme="minorHAnsi" w:eastAsiaTheme="minorHAnsi" w:hAnsiTheme="minorHAnsi" w:cs="Calibri"/>
                <w:szCs w:val="22"/>
                <w:lang w:eastAsia="en-US"/>
              </w:rPr>
            </w:pPr>
            <w:r w:rsidRPr="00C904D5">
              <w:rPr>
                <w:rFonts w:asciiTheme="minorHAnsi" w:hAnsiTheme="minorHAnsi" w:cs="Arial"/>
                <w:szCs w:val="22"/>
              </w:rPr>
              <w:lastRenderedPageBreak/>
              <w:t>Liczba projektów B+R realizowanych przy wykorzystaniu wspartej infrastruktury badawczej</w:t>
            </w:r>
          </w:p>
        </w:tc>
        <w:tc>
          <w:tcPr>
            <w:tcW w:w="701" w:type="pct"/>
            <w:vAlign w:val="center"/>
          </w:tcPr>
          <w:p w:rsidR="00C143DD" w:rsidRPr="00CD63C1" w:rsidRDefault="00C143DD" w:rsidP="004A7CC9">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szt.</w:t>
            </w:r>
          </w:p>
        </w:tc>
        <w:tc>
          <w:tcPr>
            <w:tcW w:w="2061" w:type="pct"/>
            <w:shd w:val="clear" w:color="auto" w:fill="auto"/>
            <w:vAlign w:val="center"/>
          </w:tcPr>
          <w:p w:rsidR="00C143DD" w:rsidRPr="00C143DD" w:rsidRDefault="00C143DD" w:rsidP="00261AB3">
            <w:pPr>
              <w:spacing w:before="0" w:line="240" w:lineRule="auto"/>
              <w:jc w:val="both"/>
              <w:rPr>
                <w:rFonts w:asciiTheme="minorHAnsi" w:hAnsiTheme="minorHAnsi"/>
                <w:szCs w:val="22"/>
              </w:rPr>
            </w:pPr>
            <w:r w:rsidRPr="00C143DD">
              <w:rPr>
                <w:rFonts w:asciiTheme="minorHAnsi" w:hAnsiTheme="minorHAnsi"/>
                <w:szCs w:val="22"/>
              </w:rPr>
              <w:t xml:space="preserve">Liczba projektów obejmujących prace B+R, przy realizacji których wykorzystana została wsparta infrastruktura badawcza. </w:t>
            </w:r>
          </w:p>
          <w:p w:rsidR="00C143DD" w:rsidRPr="00C143DD" w:rsidRDefault="00C143DD" w:rsidP="00C143DD">
            <w:pPr>
              <w:spacing w:before="0" w:line="240" w:lineRule="auto"/>
              <w:jc w:val="both"/>
              <w:rPr>
                <w:rFonts w:asciiTheme="minorHAnsi" w:hAnsiTheme="minorHAnsi"/>
                <w:szCs w:val="22"/>
              </w:rPr>
            </w:pPr>
            <w:r w:rsidRPr="00C143DD">
              <w:rPr>
                <w:rFonts w:asciiTheme="minorHAnsi" w:hAnsiTheme="minorHAnsi"/>
                <w:szCs w:val="22"/>
              </w:rPr>
              <w:t xml:space="preserve">Uwzględnia się wszystkie projekty B+R realizowane przy wykorzystaniu wspartej infrastruktury badawczej także inne podmioty. </w:t>
            </w:r>
          </w:p>
        </w:tc>
        <w:tc>
          <w:tcPr>
            <w:tcW w:w="1049" w:type="pct"/>
            <w:vAlign w:val="center"/>
          </w:tcPr>
          <w:p w:rsidR="00C143DD" w:rsidRPr="00CD63C1" w:rsidRDefault="00C143DD" w:rsidP="00261AB3">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SZOOP RPO WD</w:t>
            </w:r>
          </w:p>
        </w:tc>
      </w:tr>
      <w:tr w:rsidR="007415A3" w:rsidRPr="003C55C7" w:rsidTr="004A7CC9">
        <w:trPr>
          <w:trHeight w:val="705"/>
          <w:jc w:val="center"/>
        </w:trPr>
        <w:tc>
          <w:tcPr>
            <w:tcW w:w="1189" w:type="pct"/>
            <w:shd w:val="clear" w:color="auto" w:fill="auto"/>
            <w:vAlign w:val="center"/>
          </w:tcPr>
          <w:p w:rsidR="007415A3" w:rsidRPr="00CD63C1" w:rsidRDefault="007415A3" w:rsidP="007415A3">
            <w:pPr>
              <w:autoSpaceDE w:val="0"/>
              <w:autoSpaceDN w:val="0"/>
              <w:adjustRightInd w:val="0"/>
              <w:spacing w:before="0" w:line="240" w:lineRule="auto"/>
              <w:rPr>
                <w:rFonts w:asciiTheme="minorHAnsi" w:eastAsiaTheme="minorHAnsi" w:hAnsiTheme="minorHAnsi" w:cs="Calibri"/>
                <w:szCs w:val="22"/>
                <w:lang w:eastAsia="en-US"/>
              </w:rPr>
            </w:pPr>
            <w:r w:rsidRPr="00C904D5">
              <w:rPr>
                <w:rFonts w:asciiTheme="minorHAnsi" w:hAnsiTheme="minorHAnsi" w:cs="Arial"/>
                <w:szCs w:val="22"/>
              </w:rPr>
              <w:t>Liczba naukowców pracujących w ulepszonych obiektach infrastruktury badawczej (CI 25)</w:t>
            </w:r>
          </w:p>
        </w:tc>
        <w:tc>
          <w:tcPr>
            <w:tcW w:w="701" w:type="pct"/>
            <w:vAlign w:val="center"/>
          </w:tcPr>
          <w:p w:rsidR="007415A3" w:rsidRPr="00CD63C1" w:rsidRDefault="007415A3" w:rsidP="007415A3">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EPC</w:t>
            </w:r>
            <w:r>
              <w:rPr>
                <w:rFonts w:asciiTheme="minorHAnsi" w:eastAsiaTheme="minorHAnsi" w:hAnsiTheme="minorHAnsi" w:cs="Calibri"/>
                <w:szCs w:val="22"/>
                <w:lang w:eastAsia="en-US"/>
              </w:rPr>
              <w:br/>
              <w:t>(O/K/M)</w:t>
            </w:r>
          </w:p>
        </w:tc>
        <w:tc>
          <w:tcPr>
            <w:tcW w:w="2061" w:type="pct"/>
            <w:shd w:val="clear" w:color="auto" w:fill="auto"/>
            <w:vAlign w:val="center"/>
          </w:tcPr>
          <w:p w:rsidR="007415A3" w:rsidRPr="007415A3" w:rsidRDefault="007415A3" w:rsidP="007415A3">
            <w:pPr>
              <w:autoSpaceDE w:val="0"/>
              <w:autoSpaceDN w:val="0"/>
              <w:adjustRightInd w:val="0"/>
              <w:spacing w:before="0" w:line="240" w:lineRule="auto"/>
              <w:jc w:val="both"/>
              <w:rPr>
                <w:rFonts w:asciiTheme="minorHAnsi" w:eastAsiaTheme="minorHAnsi" w:hAnsiTheme="minorHAnsi" w:cs="Arial"/>
                <w:szCs w:val="22"/>
                <w:lang w:val="en-US" w:eastAsia="en-US"/>
              </w:rPr>
            </w:pPr>
            <w:r w:rsidRPr="007415A3">
              <w:rPr>
                <w:rFonts w:asciiTheme="minorHAnsi" w:hAnsiTheme="minorHAnsi"/>
                <w:szCs w:val="22"/>
                <w:lang w:val="en-US"/>
              </w:rPr>
              <w:t xml:space="preserve">Existing working positions in research infrastructure facilities that (1) directly perform R&amp;D activities and (2) are directly affected by the project. The posts must be filled (vacant posts are not counted). Support staff for R&amp;D (i.e. jobs not directly involved in R&amp;D activities) is not counted. If more researchers will be employed in the facilities as a consequence of the project, thus the numbers of research jobs increases, the new posts are included (see also “Number of new researchers in supported entities”). The facilities may be private or public. </w:t>
            </w:r>
          </w:p>
          <w:p w:rsidR="007415A3" w:rsidRPr="007415A3" w:rsidRDefault="007415A3" w:rsidP="007415A3">
            <w:pPr>
              <w:pStyle w:val="Default"/>
              <w:jc w:val="both"/>
              <w:rPr>
                <w:rFonts w:asciiTheme="minorHAnsi" w:hAnsiTheme="minorHAnsi"/>
                <w:sz w:val="22"/>
                <w:szCs w:val="22"/>
                <w:lang w:val="en-US"/>
              </w:rPr>
            </w:pPr>
            <w:r w:rsidRPr="007415A3">
              <w:rPr>
                <w:rFonts w:asciiTheme="minorHAnsi" w:hAnsiTheme="minorHAnsi"/>
                <w:sz w:val="22"/>
                <w:szCs w:val="22"/>
                <w:lang w:val="en-US"/>
              </w:rPr>
              <w:t xml:space="preserve">The project must improve the facilities or quality of equipment, i.e. maintenance or replacement without quality increase is excluded. </w:t>
            </w:r>
          </w:p>
          <w:p w:rsidR="007415A3" w:rsidRPr="007415A3" w:rsidRDefault="007415A3" w:rsidP="007415A3">
            <w:pPr>
              <w:pStyle w:val="Default"/>
              <w:jc w:val="both"/>
              <w:rPr>
                <w:rFonts w:asciiTheme="minorHAnsi" w:hAnsiTheme="minorHAnsi"/>
                <w:sz w:val="22"/>
                <w:szCs w:val="22"/>
                <w:lang w:val="en-US"/>
              </w:rPr>
            </w:pPr>
            <w:r w:rsidRPr="007415A3">
              <w:rPr>
                <w:rFonts w:asciiTheme="minorHAnsi" w:hAnsiTheme="minorHAnsi"/>
                <w:sz w:val="22"/>
                <w:szCs w:val="22"/>
                <w:lang w:val="en-US"/>
              </w:rPr>
              <w:t xml:space="preserve">Full-time equivalent: Jobs can be full time, part time or seasonal. Seasonal and part time jobs are to be converted to FTE using ILO/statistical/other standards. </w:t>
            </w:r>
          </w:p>
          <w:p w:rsidR="007415A3" w:rsidRPr="007415A3" w:rsidRDefault="007415A3" w:rsidP="007415A3">
            <w:pPr>
              <w:autoSpaceDE w:val="0"/>
              <w:autoSpaceDN w:val="0"/>
              <w:adjustRightInd w:val="0"/>
              <w:spacing w:before="0" w:line="240" w:lineRule="auto"/>
              <w:jc w:val="both"/>
              <w:rPr>
                <w:rFonts w:asciiTheme="minorHAnsi" w:hAnsiTheme="minorHAnsi"/>
                <w:i/>
                <w:iCs/>
                <w:szCs w:val="22"/>
                <w:lang w:val="en-US"/>
              </w:rPr>
            </w:pPr>
            <w:r w:rsidRPr="007415A3">
              <w:rPr>
                <w:rFonts w:asciiTheme="minorHAnsi" w:hAnsiTheme="minorHAnsi"/>
                <w:i/>
                <w:iCs/>
                <w:szCs w:val="22"/>
                <w:lang w:val="en-US"/>
              </w:rPr>
              <w:t>Research infrastructure is a term used to designate a very heterogeneous group of tangible or intangible assets thus cannot be captured by a limited number of physical indicators. The approach chosen here is to focus on a non-financial dimension of the investment (employment) that is still able to reflect the scale of intervention.</w:t>
            </w:r>
          </w:p>
          <w:p w:rsidR="007415A3" w:rsidRPr="007415A3" w:rsidRDefault="007415A3" w:rsidP="007415A3">
            <w:pPr>
              <w:autoSpaceDE w:val="0"/>
              <w:autoSpaceDN w:val="0"/>
              <w:adjustRightInd w:val="0"/>
              <w:spacing w:before="0" w:line="240" w:lineRule="auto"/>
              <w:jc w:val="both"/>
              <w:rPr>
                <w:rFonts w:asciiTheme="minorHAnsi" w:eastAsiaTheme="minorHAnsi" w:hAnsiTheme="minorHAnsi" w:cstheme="minorBidi"/>
                <w:szCs w:val="22"/>
                <w:lang w:eastAsia="en-US"/>
              </w:rPr>
            </w:pPr>
            <w:r w:rsidRPr="007415A3">
              <w:rPr>
                <w:rFonts w:asciiTheme="minorHAnsi" w:hAnsiTheme="minorHAnsi"/>
                <w:iCs/>
                <w:szCs w:val="22"/>
              </w:rPr>
              <w:t xml:space="preserve">Tłumaczenie robocze: </w:t>
            </w:r>
            <w:r w:rsidRPr="007415A3">
              <w:rPr>
                <w:rFonts w:asciiTheme="minorHAnsi" w:eastAsiaTheme="minorHAnsi" w:hAnsiTheme="minorHAnsi" w:cstheme="minorBidi"/>
                <w:szCs w:val="22"/>
                <w:lang w:eastAsia="en-US"/>
              </w:rPr>
              <w:t xml:space="preserve">Istniejące miejsca pracy dotyczące obiektów infrastruktury badawczej, które (1) służą bezpośrednio prowadzeniu działalności B+R oraz (2) są bezpośrednio związane z projektem. Miejsca pracy muszą być obsadzone (wakaty nie są liczone). Nie wlicza się personelu pomocniczego zajmującego się B+R (czyli miejsc pracy niezwiązanych bezpośrednio z działalnością B+R). Jeżeli w </w:t>
            </w:r>
            <w:r w:rsidRPr="007415A3">
              <w:rPr>
                <w:rFonts w:asciiTheme="minorHAnsi" w:eastAsiaTheme="minorHAnsi" w:hAnsiTheme="minorHAnsi" w:cstheme="minorBidi"/>
                <w:szCs w:val="22"/>
                <w:lang w:eastAsia="en-US"/>
              </w:rPr>
              <w:lastRenderedPageBreak/>
              <w:t xml:space="preserve">wyniku realizacji projektu w obiektach zostanie zatrudniona dodatkowa liczba pracowników badawczych, co powoduje wzrost liczby miejsc pracy B+R, to wlicza się również te nowe miejsca pracy (patrz także wskaźnik „Liczba nowych naukowców zatrudnionych we wspartych podmiotach”). </w:t>
            </w:r>
          </w:p>
          <w:p w:rsidR="007415A3" w:rsidRPr="007415A3" w:rsidRDefault="007415A3" w:rsidP="007415A3">
            <w:pPr>
              <w:autoSpaceDE w:val="0"/>
              <w:autoSpaceDN w:val="0"/>
              <w:adjustRightInd w:val="0"/>
              <w:spacing w:before="0" w:line="240" w:lineRule="auto"/>
              <w:jc w:val="both"/>
              <w:rPr>
                <w:rFonts w:asciiTheme="minorHAnsi" w:eastAsiaTheme="minorHAnsi" w:hAnsiTheme="minorHAnsi" w:cstheme="minorBidi"/>
                <w:szCs w:val="22"/>
                <w:lang w:eastAsia="en-US"/>
              </w:rPr>
            </w:pPr>
            <w:r w:rsidRPr="007415A3">
              <w:rPr>
                <w:rFonts w:asciiTheme="minorHAnsi" w:eastAsiaTheme="minorHAnsi" w:hAnsiTheme="minorHAnsi" w:cstheme="minorBidi"/>
                <w:szCs w:val="22"/>
                <w:lang w:eastAsia="en-US"/>
              </w:rPr>
              <w:t xml:space="preserve">Obiekty mogą być prywatne lub państwowe. Projekt musi wpływać na poprawę jakości obiektów lub urządzeń, tzn. do wskaźnika nie kwalifikują się koszty utrzymania lub wymiany nie prowadzące do podwyższenia jakości. </w:t>
            </w:r>
          </w:p>
          <w:p w:rsidR="007415A3" w:rsidRPr="007415A3" w:rsidRDefault="007415A3" w:rsidP="007415A3">
            <w:pPr>
              <w:autoSpaceDE w:val="0"/>
              <w:autoSpaceDN w:val="0"/>
              <w:adjustRightInd w:val="0"/>
              <w:spacing w:before="0" w:line="240" w:lineRule="auto"/>
              <w:jc w:val="both"/>
              <w:rPr>
                <w:rFonts w:asciiTheme="minorHAnsi" w:eastAsiaTheme="minorHAnsi" w:hAnsiTheme="minorHAnsi" w:cstheme="minorBidi"/>
                <w:szCs w:val="22"/>
                <w:lang w:eastAsia="en-US"/>
              </w:rPr>
            </w:pPr>
            <w:r w:rsidRPr="007415A3">
              <w:rPr>
                <w:rFonts w:asciiTheme="minorHAnsi" w:eastAsiaTheme="minorHAnsi" w:hAnsiTheme="minorHAnsi" w:cstheme="minorBidi"/>
                <w:szCs w:val="22"/>
                <w:lang w:eastAsia="en-US"/>
              </w:rPr>
              <w:t>Ekwiwalent pełnego czasu pracy (EPC): miejsca pracy mogą dotyczyć pełnego wymiaru, niepełnego wymiaru godzin lub być sezonowe. Miejsca pracy sezonowe i niepełny wymiar przelicza się na EPC z wykorzystaniem standardów MOP/statystycznych/innych.</w:t>
            </w:r>
          </w:p>
          <w:p w:rsidR="007415A3" w:rsidRPr="007415A3" w:rsidRDefault="007415A3" w:rsidP="007415A3">
            <w:pPr>
              <w:autoSpaceDE w:val="0"/>
              <w:autoSpaceDN w:val="0"/>
              <w:adjustRightInd w:val="0"/>
              <w:spacing w:before="0" w:line="240" w:lineRule="auto"/>
              <w:jc w:val="both"/>
              <w:rPr>
                <w:rFonts w:asciiTheme="minorHAnsi" w:eastAsiaTheme="minorHAnsi" w:hAnsiTheme="minorHAnsi" w:cstheme="minorBidi"/>
                <w:szCs w:val="22"/>
                <w:lang w:eastAsia="en-US"/>
              </w:rPr>
            </w:pPr>
            <w:r w:rsidRPr="007415A3">
              <w:rPr>
                <w:rFonts w:asciiTheme="minorHAnsi" w:eastAsiaTheme="minorHAnsi" w:hAnsiTheme="minorHAnsi" w:cstheme="minorBidi"/>
                <w:szCs w:val="22"/>
                <w:lang w:eastAsia="en-US"/>
              </w:rPr>
              <w:t xml:space="preserve">W związku z tym, że termin „infrastruktura badawcza” jest używany w przypadku bardzo niejednorodnej grupy aktywów materialnych i niematerialnych, nie można go skwantyfikować ograniczoną liczbą wskaźników fizycznych. Podejście zastosowane w przypadku tego wskaźnika  powinno koncentrować się na niefinansowym wymiarze inwestycji (zatrudnienia), który </w:t>
            </w:r>
            <w:r w:rsidRPr="007415A3">
              <w:rPr>
                <w:szCs w:val="22"/>
              </w:rPr>
              <w:t xml:space="preserve"> </w:t>
            </w:r>
            <w:r w:rsidRPr="007415A3">
              <w:rPr>
                <w:rFonts w:asciiTheme="minorHAnsi" w:eastAsiaTheme="minorHAnsi" w:hAnsiTheme="minorHAnsi" w:cstheme="minorBidi"/>
                <w:szCs w:val="22"/>
                <w:lang w:eastAsia="en-US"/>
              </w:rPr>
              <w:t>jest w stanie oddać skalę przedsięwzięcia.</w:t>
            </w:r>
          </w:p>
        </w:tc>
        <w:tc>
          <w:tcPr>
            <w:tcW w:w="1049" w:type="pct"/>
            <w:vAlign w:val="center"/>
          </w:tcPr>
          <w:p w:rsidR="007415A3" w:rsidRPr="00CD63C1" w:rsidRDefault="007415A3" w:rsidP="007415A3">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lastRenderedPageBreak/>
              <w:t>RPO WD</w:t>
            </w:r>
          </w:p>
        </w:tc>
      </w:tr>
      <w:tr w:rsidR="007415A3" w:rsidRPr="003C55C7" w:rsidTr="004A7CC9">
        <w:trPr>
          <w:trHeight w:val="705"/>
          <w:jc w:val="center"/>
        </w:trPr>
        <w:tc>
          <w:tcPr>
            <w:tcW w:w="1189" w:type="pct"/>
            <w:shd w:val="clear" w:color="auto" w:fill="auto"/>
            <w:vAlign w:val="center"/>
          </w:tcPr>
          <w:p w:rsidR="007415A3" w:rsidRPr="00CD63C1" w:rsidRDefault="007415A3" w:rsidP="007415A3">
            <w:pPr>
              <w:autoSpaceDE w:val="0"/>
              <w:autoSpaceDN w:val="0"/>
              <w:adjustRightInd w:val="0"/>
              <w:spacing w:before="0" w:line="240" w:lineRule="auto"/>
              <w:rPr>
                <w:rFonts w:asciiTheme="minorHAnsi" w:eastAsiaTheme="minorHAnsi" w:hAnsiTheme="minorHAnsi" w:cs="Calibri"/>
                <w:szCs w:val="22"/>
                <w:lang w:eastAsia="en-US"/>
              </w:rPr>
            </w:pPr>
            <w:r w:rsidRPr="00C904D5">
              <w:rPr>
                <w:rFonts w:asciiTheme="minorHAnsi" w:hAnsiTheme="minorHAnsi" w:cs="Arial"/>
                <w:szCs w:val="22"/>
              </w:rPr>
              <w:lastRenderedPageBreak/>
              <w:t>Liczba nowych naukowców we wspieranych jednostkach (CI 24)</w:t>
            </w:r>
          </w:p>
        </w:tc>
        <w:tc>
          <w:tcPr>
            <w:tcW w:w="701" w:type="pct"/>
            <w:vAlign w:val="center"/>
          </w:tcPr>
          <w:p w:rsidR="007415A3" w:rsidRPr="00CD63C1" w:rsidRDefault="007415A3" w:rsidP="007415A3">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t>EPC</w:t>
            </w:r>
            <w:r>
              <w:rPr>
                <w:rFonts w:asciiTheme="minorHAnsi" w:eastAsiaTheme="minorHAnsi" w:hAnsiTheme="minorHAnsi" w:cs="Calibri"/>
                <w:szCs w:val="22"/>
                <w:lang w:eastAsia="en-US"/>
              </w:rPr>
              <w:br/>
              <w:t>(O/K/M)</w:t>
            </w:r>
          </w:p>
        </w:tc>
        <w:tc>
          <w:tcPr>
            <w:tcW w:w="2061" w:type="pct"/>
            <w:shd w:val="clear" w:color="auto" w:fill="auto"/>
            <w:vAlign w:val="center"/>
          </w:tcPr>
          <w:p w:rsidR="007415A3" w:rsidRPr="007415A3" w:rsidRDefault="007415A3" w:rsidP="007415A3">
            <w:pPr>
              <w:spacing w:line="240" w:lineRule="auto"/>
              <w:jc w:val="both"/>
              <w:rPr>
                <w:rFonts w:asciiTheme="minorHAnsi" w:hAnsiTheme="minorHAnsi"/>
                <w:szCs w:val="22"/>
                <w:lang w:val="en-US"/>
              </w:rPr>
            </w:pPr>
            <w:r w:rsidRPr="007415A3">
              <w:rPr>
                <w:rFonts w:asciiTheme="minorHAnsi" w:hAnsiTheme="minorHAnsi"/>
                <w:szCs w:val="22"/>
                <w:lang w:val="en-US"/>
              </w:rPr>
              <w:t xml:space="preserve">Gross new working positions (that did not exist before) to directly perform R&amp;D activities, in full time equivalents. The post must be a consequence of project implementation or completion, be filled (vacant posts are not counted) and increase the total number of research jobs in the </w:t>
            </w:r>
            <w:proofErr w:type="spellStart"/>
            <w:r w:rsidRPr="007415A3">
              <w:rPr>
                <w:rFonts w:asciiTheme="minorHAnsi" w:hAnsiTheme="minorHAnsi"/>
                <w:szCs w:val="22"/>
                <w:lang w:val="en-US"/>
              </w:rPr>
              <w:t>organisation</w:t>
            </w:r>
            <w:proofErr w:type="spellEnd"/>
            <w:r w:rsidRPr="007415A3">
              <w:rPr>
                <w:rFonts w:asciiTheme="minorHAnsi" w:hAnsiTheme="minorHAnsi"/>
                <w:szCs w:val="22"/>
                <w:lang w:val="en-US"/>
              </w:rPr>
              <w:t>. Support staff for R&amp;D (i.e. jobs not directly involved in R&amp;D activities) is not counted. The indicator focuses on employed personnel; the supported entity may be new or already existing.</w:t>
            </w:r>
          </w:p>
          <w:p w:rsidR="007415A3" w:rsidRPr="007415A3" w:rsidRDefault="007415A3" w:rsidP="007415A3">
            <w:pPr>
              <w:spacing w:before="60" w:line="240" w:lineRule="auto"/>
              <w:jc w:val="both"/>
              <w:rPr>
                <w:rFonts w:asciiTheme="minorHAnsi" w:hAnsiTheme="minorHAnsi"/>
                <w:szCs w:val="22"/>
                <w:lang w:val="en-US"/>
              </w:rPr>
            </w:pPr>
            <w:r w:rsidRPr="007415A3">
              <w:rPr>
                <w:rFonts w:asciiTheme="minorHAnsi" w:hAnsiTheme="minorHAnsi"/>
                <w:szCs w:val="22"/>
                <w:lang w:val="en-US"/>
              </w:rPr>
              <w:t xml:space="preserve">Gross: Not counting the origin of the jobholder as long as it directly contributes to the increase of total research jobs in the </w:t>
            </w:r>
            <w:proofErr w:type="spellStart"/>
            <w:r w:rsidRPr="007415A3">
              <w:rPr>
                <w:rFonts w:asciiTheme="minorHAnsi" w:hAnsiTheme="minorHAnsi"/>
                <w:szCs w:val="22"/>
                <w:lang w:val="en-US"/>
              </w:rPr>
              <w:t>organisation</w:t>
            </w:r>
            <w:proofErr w:type="spellEnd"/>
            <w:r w:rsidRPr="007415A3">
              <w:rPr>
                <w:rFonts w:asciiTheme="minorHAnsi" w:hAnsiTheme="minorHAnsi"/>
                <w:szCs w:val="22"/>
                <w:lang w:val="en-US"/>
              </w:rPr>
              <w:t>.</w:t>
            </w:r>
          </w:p>
          <w:p w:rsidR="007415A3" w:rsidRPr="007415A3" w:rsidRDefault="007415A3" w:rsidP="007415A3">
            <w:pPr>
              <w:spacing w:before="60" w:line="240" w:lineRule="auto"/>
              <w:jc w:val="both"/>
              <w:rPr>
                <w:rFonts w:asciiTheme="minorHAnsi" w:hAnsiTheme="minorHAnsi"/>
                <w:szCs w:val="22"/>
                <w:lang w:val="en-US"/>
              </w:rPr>
            </w:pPr>
            <w:r w:rsidRPr="007415A3">
              <w:rPr>
                <w:rFonts w:asciiTheme="minorHAnsi" w:hAnsiTheme="minorHAnsi"/>
                <w:szCs w:val="22"/>
                <w:lang w:val="en-US"/>
              </w:rPr>
              <w:t xml:space="preserve">Full-time equivalent: Jobs can be full time, </w:t>
            </w:r>
            <w:r w:rsidRPr="007415A3">
              <w:rPr>
                <w:rFonts w:asciiTheme="minorHAnsi" w:hAnsiTheme="minorHAnsi"/>
                <w:szCs w:val="22"/>
                <w:lang w:val="en-US"/>
              </w:rPr>
              <w:lastRenderedPageBreak/>
              <w:t xml:space="preserve">part time or seasonal. Seasonal and part time jobs are to be converted to FTE using ILO/statistical/other standards. In the field of RTD the duration of jobs tends to be shorter (“project support”). The jobs created for </w:t>
            </w:r>
            <w:r w:rsidRPr="007415A3">
              <w:rPr>
                <w:rFonts w:asciiTheme="minorHAnsi" w:hAnsiTheme="minorHAnsi"/>
                <w:i/>
                <w:iCs/>
                <w:szCs w:val="22"/>
                <w:lang w:val="en-US"/>
              </w:rPr>
              <w:t xml:space="preserve">different </w:t>
            </w:r>
            <w:r w:rsidRPr="007415A3">
              <w:rPr>
                <w:rFonts w:asciiTheme="minorHAnsi" w:hAnsiTheme="minorHAnsi"/>
                <w:szCs w:val="22"/>
                <w:lang w:val="en-US"/>
              </w:rPr>
              <w:t>projects should be added up (provided that all projects receive support); this is not regarded as multiple counting.</w:t>
            </w:r>
            <w:r w:rsidRPr="007415A3">
              <w:rPr>
                <w:rFonts w:asciiTheme="minorHAnsi" w:hAnsiTheme="minorHAnsi"/>
                <w:i/>
                <w:iCs/>
                <w:szCs w:val="22"/>
                <w:lang w:val="en-US"/>
              </w:rPr>
              <w:t xml:space="preserve"> </w:t>
            </w:r>
          </w:p>
          <w:p w:rsidR="007415A3" w:rsidRPr="007415A3" w:rsidRDefault="007415A3" w:rsidP="007415A3">
            <w:pPr>
              <w:pStyle w:val="Default"/>
              <w:jc w:val="both"/>
              <w:rPr>
                <w:rFonts w:asciiTheme="minorHAnsi" w:hAnsiTheme="minorHAnsi"/>
                <w:sz w:val="22"/>
                <w:szCs w:val="22"/>
                <w:lang w:val="en-US"/>
              </w:rPr>
            </w:pPr>
          </w:p>
          <w:p w:rsidR="007415A3" w:rsidRPr="007415A3" w:rsidRDefault="007415A3" w:rsidP="007415A3">
            <w:pPr>
              <w:spacing w:before="60" w:line="240" w:lineRule="auto"/>
              <w:jc w:val="both"/>
              <w:rPr>
                <w:rFonts w:asciiTheme="minorHAnsi" w:hAnsiTheme="minorHAnsi"/>
                <w:szCs w:val="22"/>
              </w:rPr>
            </w:pPr>
            <w:r w:rsidRPr="007415A3">
              <w:rPr>
                <w:rFonts w:asciiTheme="minorHAnsi" w:hAnsiTheme="minorHAnsi"/>
                <w:szCs w:val="22"/>
              </w:rPr>
              <w:t xml:space="preserve">Tłumaczenie robocze: </w:t>
            </w:r>
            <w:r w:rsidRPr="007415A3">
              <w:rPr>
                <w:rFonts w:asciiTheme="minorHAnsi" w:hAnsiTheme="minorHAnsi"/>
                <w:color w:val="000000" w:themeColor="text1"/>
                <w:szCs w:val="22"/>
              </w:rPr>
              <w:t xml:space="preserve">Nowe miejsca pracy brutto (wcześniej nieistniejące) utworzone bezpośrednio do prowadzenia działalności w zakresie B+R wyrażone w ekwiwalencie pełnego czasu pracy. Miejsce pracy musi być rezultatem wdrożonego projektu i musi uwzględniać </w:t>
            </w:r>
            <w:r w:rsidRPr="007415A3">
              <w:rPr>
                <w:rFonts w:asciiTheme="minorHAnsi" w:hAnsiTheme="minorHAnsi"/>
                <w:szCs w:val="22"/>
              </w:rPr>
              <w:t xml:space="preserve">obsadzone miejsca pracy (wakaty nie są liczone), które zwiększają łączną liczbę miejsc pracy w organizacji. </w:t>
            </w:r>
            <w:r w:rsidRPr="007415A3">
              <w:rPr>
                <w:rFonts w:asciiTheme="minorHAnsi" w:hAnsiTheme="minorHAnsi"/>
                <w:color w:val="000000" w:themeColor="text1"/>
                <w:szCs w:val="22"/>
              </w:rPr>
              <w:t>Personel pomocniczy dla B+R (tzn. zawody niezwiązane bezpośrednio z czynnościami badawczymi) nie jest uwzględniany. Wskaźnik skupia się na zatrudnionym personelu; wspierana jednostka może być nowa lub już istniejąca.</w:t>
            </w:r>
          </w:p>
          <w:p w:rsidR="007415A3" w:rsidRPr="007415A3" w:rsidRDefault="007415A3" w:rsidP="007415A3">
            <w:pPr>
              <w:spacing w:before="60" w:line="240" w:lineRule="auto"/>
              <w:jc w:val="both"/>
              <w:rPr>
                <w:rFonts w:asciiTheme="minorHAnsi" w:hAnsiTheme="minorHAnsi"/>
                <w:color w:val="000000" w:themeColor="text1"/>
                <w:szCs w:val="22"/>
              </w:rPr>
            </w:pPr>
            <w:r w:rsidRPr="007415A3">
              <w:rPr>
                <w:rFonts w:asciiTheme="minorHAnsi" w:hAnsiTheme="minorHAnsi"/>
                <w:color w:val="000000" w:themeColor="text1"/>
                <w:szCs w:val="22"/>
              </w:rPr>
              <w:t>Brutto: Nie uwzględnia się miejsca pracy otrzymanego w wyniku zmian wewnątrz organizacji dopóki nie przyczyni się to do całkowitego wzrostu liczby badawczych miejsc pracy w organizacji.</w:t>
            </w:r>
          </w:p>
          <w:p w:rsidR="007415A3" w:rsidRPr="007415A3" w:rsidRDefault="007415A3" w:rsidP="007415A3">
            <w:pPr>
              <w:spacing w:before="60" w:line="240" w:lineRule="auto"/>
              <w:jc w:val="both"/>
              <w:rPr>
                <w:rFonts w:asciiTheme="minorHAnsi" w:hAnsiTheme="minorHAnsi"/>
                <w:color w:val="000000" w:themeColor="text1"/>
                <w:szCs w:val="22"/>
              </w:rPr>
            </w:pPr>
          </w:p>
          <w:p w:rsidR="007415A3" w:rsidRPr="007415A3" w:rsidRDefault="007415A3" w:rsidP="00C143DD">
            <w:pPr>
              <w:spacing w:before="60" w:line="240" w:lineRule="auto"/>
              <w:jc w:val="both"/>
              <w:rPr>
                <w:rFonts w:asciiTheme="minorHAnsi" w:hAnsiTheme="minorHAnsi"/>
                <w:szCs w:val="22"/>
              </w:rPr>
            </w:pPr>
            <w:r w:rsidRPr="00C143DD">
              <w:rPr>
                <w:rFonts w:asciiTheme="minorHAnsi" w:hAnsiTheme="minorHAnsi"/>
                <w:color w:val="000000" w:themeColor="text1"/>
                <w:szCs w:val="22"/>
              </w:rPr>
              <w:t>Ekwiwalent pełnego czasu pracy (EPC): miejsca pracy mogą dotyczyć pełnego wymiaru, niepełnego wymiaru godzin lub być sezonowe. Miejsca pracy sezonowe i niepełny wymiar czasu pracy przelicza się na EPC z wykorzystaniem standardów MOP/statystycznych/innych. W sektorze B+R okres trwania pracy może być krótszy ("wspieranie projektu") Stanowiska pracy stworzone dla różnych projektów powinny być zsumowane (pod warunkiem, że wszystkie projekty otrzymują wsparcie); nie jest to postrzegane jako wielokrotne liczenie.</w:t>
            </w:r>
          </w:p>
        </w:tc>
        <w:tc>
          <w:tcPr>
            <w:tcW w:w="1049" w:type="pct"/>
            <w:vAlign w:val="center"/>
          </w:tcPr>
          <w:p w:rsidR="007415A3" w:rsidRPr="00CD63C1" w:rsidRDefault="007415A3" w:rsidP="007415A3">
            <w:pPr>
              <w:autoSpaceDE w:val="0"/>
              <w:autoSpaceDN w:val="0"/>
              <w:adjustRightInd w:val="0"/>
              <w:spacing w:before="0" w:line="240" w:lineRule="auto"/>
              <w:jc w:val="center"/>
              <w:rPr>
                <w:rFonts w:asciiTheme="minorHAnsi" w:eastAsiaTheme="minorHAnsi" w:hAnsiTheme="minorHAnsi" w:cs="Calibri"/>
                <w:szCs w:val="22"/>
                <w:lang w:eastAsia="en-US"/>
              </w:rPr>
            </w:pPr>
            <w:r>
              <w:rPr>
                <w:rFonts w:asciiTheme="minorHAnsi" w:eastAsiaTheme="minorHAnsi" w:hAnsiTheme="minorHAnsi" w:cs="Calibri"/>
                <w:szCs w:val="22"/>
                <w:lang w:eastAsia="en-US"/>
              </w:rPr>
              <w:lastRenderedPageBreak/>
              <w:t>SZOOP RPO WD</w:t>
            </w:r>
          </w:p>
        </w:tc>
      </w:tr>
      <w:tr w:rsidR="007415A3" w:rsidRPr="003C55C7" w:rsidTr="007614FD">
        <w:trPr>
          <w:trHeight w:val="3388"/>
          <w:jc w:val="center"/>
        </w:trPr>
        <w:tc>
          <w:tcPr>
            <w:tcW w:w="1189" w:type="pct"/>
            <w:shd w:val="clear" w:color="auto" w:fill="auto"/>
          </w:tcPr>
          <w:p w:rsidR="007415A3" w:rsidRDefault="007415A3" w:rsidP="007415A3">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415A3" w:rsidRPr="003C55C7" w:rsidRDefault="007415A3" w:rsidP="007415A3">
            <w:pPr>
              <w:pStyle w:val="Default"/>
              <w:rPr>
                <w:rFonts w:asciiTheme="minorHAnsi" w:hAnsiTheme="minorHAnsi" w:cs="ArialNarrow"/>
                <w:sz w:val="22"/>
                <w:szCs w:val="22"/>
              </w:rPr>
            </w:pPr>
            <w:r w:rsidRPr="001835B5">
              <w:rPr>
                <w:rFonts w:asciiTheme="minorHAnsi" w:hAnsiTheme="minorHAnsi" w:cs="ArialNarrow"/>
                <w:sz w:val="22"/>
                <w:szCs w:val="22"/>
              </w:rPr>
              <w:t>Ogółem/Kobiety/Mężczyźni</w:t>
            </w:r>
          </w:p>
        </w:tc>
        <w:tc>
          <w:tcPr>
            <w:tcW w:w="701" w:type="pct"/>
          </w:tcPr>
          <w:p w:rsidR="007415A3" w:rsidRPr="003C55C7" w:rsidRDefault="007415A3" w:rsidP="007415A3">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7415A3" w:rsidRPr="00D96D24" w:rsidRDefault="007415A3" w:rsidP="00C143DD">
            <w:pPr>
              <w:spacing w:before="0" w:line="240" w:lineRule="auto"/>
              <w:jc w:val="both"/>
              <w:rPr>
                <w:rFonts w:asciiTheme="minorHAnsi" w:hAnsiTheme="minorHAnsi"/>
              </w:rPr>
            </w:pPr>
            <w:r w:rsidRPr="00D96D24">
              <w:rPr>
                <w:rFonts w:asciiTheme="minorHAnsi" w:hAnsiTheme="minorHAnsi"/>
              </w:rPr>
              <w:t>Nowe miejsca pracy brutto we wspartych  podmiotach</w:t>
            </w:r>
            <w:r w:rsidRPr="00D96D24">
              <w:rPr>
                <w:rFonts w:asciiTheme="minorHAnsi" w:hAnsiTheme="minorHAnsi" w:cs="ArialNarrow"/>
                <w:szCs w:val="22"/>
              </w:rPr>
              <w:t xml:space="preserve"> (innych niż przedsiębiorstwa) </w:t>
            </w:r>
            <w:r w:rsidRPr="00D96D24">
              <w:rPr>
                <w:rFonts w:asciiTheme="minorHAnsi" w:hAnsiTheme="minorHAnsi"/>
              </w:rPr>
              <w:t xml:space="preserve">wyrażone w ekwiwalencie pełnego czasu pracy (EPC). </w:t>
            </w:r>
          </w:p>
          <w:p w:rsidR="007415A3" w:rsidRPr="00D96D24" w:rsidRDefault="007415A3" w:rsidP="00C143DD">
            <w:pPr>
              <w:spacing w:before="0" w:line="240" w:lineRule="auto"/>
              <w:jc w:val="both"/>
              <w:rPr>
                <w:rFonts w:asciiTheme="minorHAnsi" w:hAnsiTheme="minorHAnsi"/>
              </w:rPr>
            </w:pPr>
            <w:r w:rsidRPr="00D96D24">
              <w:rPr>
                <w:rFonts w:asciiTheme="minorHAnsi" w:hAnsiTheme="minorHAnsi"/>
              </w:rPr>
              <w:t>Wskaźnik ukazuje zmianę "przed-po" i</w:t>
            </w:r>
            <w:r>
              <w:rPr>
                <w:rFonts w:asciiTheme="minorHAnsi" w:hAnsiTheme="minorHAnsi"/>
              </w:rPr>
              <w:t> </w:t>
            </w:r>
            <w:r w:rsidRPr="00D96D24">
              <w:rPr>
                <w:rFonts w:asciiTheme="minorHAnsi" w:hAnsiTheme="minorHAnsi"/>
              </w:rPr>
              <w:t>obejmuje część wzrostu zatrudnienia w</w:t>
            </w:r>
            <w:r>
              <w:rPr>
                <w:rFonts w:asciiTheme="minorHAnsi" w:hAnsiTheme="minorHAnsi"/>
              </w:rPr>
              <w:t> </w:t>
            </w:r>
            <w:r w:rsidRPr="00D96D24">
              <w:rPr>
                <w:rFonts w:asciiTheme="minorHAnsi" w:hAnsiTheme="minorHAnsi"/>
              </w:rPr>
              <w:t xml:space="preserve">podmiocie będącego bezpośrednim skutkiem zakończenia realizacji projektu (nie są wliczani pracownicy zatrudnieni do realizacji projektu). </w:t>
            </w:r>
          </w:p>
          <w:p w:rsidR="007415A3" w:rsidRPr="00D96D24" w:rsidRDefault="007415A3" w:rsidP="00EB4ECE">
            <w:pPr>
              <w:spacing w:before="0" w:line="240" w:lineRule="auto"/>
              <w:jc w:val="both"/>
              <w:rPr>
                <w:rFonts w:asciiTheme="minorHAnsi" w:hAnsiTheme="minorHAnsi"/>
              </w:rPr>
            </w:pPr>
            <w:r w:rsidRPr="00D96D24">
              <w:rPr>
                <w:rFonts w:asciiTheme="minorHAnsi" w:hAnsiTheme="minorHAnsi"/>
              </w:rPr>
              <w:t xml:space="preserve">Uwzględnia się obsadzone miejsca pracy (wakaty nie są liczone), które zwiększają łączną liczbę miejsc pracy w podmiocie </w:t>
            </w:r>
            <w:r>
              <w:rPr>
                <w:rFonts w:asciiTheme="minorHAnsi" w:hAnsiTheme="minorHAnsi" w:cs="ArialNarrow"/>
                <w:szCs w:val="22"/>
              </w:rPr>
              <w:t>(innym niż przedsiębiorstwa).</w:t>
            </w:r>
            <w:r>
              <w:rPr>
                <w:rFonts w:asciiTheme="minorHAnsi" w:hAnsiTheme="minorHAnsi"/>
              </w:rPr>
              <w:t xml:space="preserve"> Brak wzrostu </w:t>
            </w:r>
            <w:r w:rsidRPr="00D96D24">
              <w:rPr>
                <w:rFonts w:asciiTheme="minorHAnsi" w:hAnsiTheme="minorHAnsi"/>
              </w:rPr>
              <w:t xml:space="preserve">w całkowitym zatrudnieniu w podmiocie </w:t>
            </w:r>
            <w:r w:rsidRPr="00D96D24">
              <w:rPr>
                <w:rFonts w:asciiTheme="minorHAnsi" w:hAnsiTheme="minorHAnsi" w:cs="ArialNarrow"/>
                <w:szCs w:val="22"/>
              </w:rPr>
              <w:t xml:space="preserve">(innym niż przedsiębiorstwa) </w:t>
            </w:r>
            <w:r w:rsidRPr="00D96D24">
              <w:rPr>
                <w:rFonts w:asciiTheme="minorHAnsi" w:hAnsiTheme="minorHAnsi"/>
              </w:rPr>
              <w:t>oznacza, że wartość wskaźnika jest równa zero, co traktuje się jako wyrównanie miejsc pracy, a nie wzrost. Nie wlicza się miejsc pracy, np. utrzymanych dzięki realizacji projektu.</w:t>
            </w:r>
          </w:p>
          <w:p w:rsidR="007415A3" w:rsidRPr="00D96D24" w:rsidRDefault="007415A3" w:rsidP="00EB4ECE">
            <w:pPr>
              <w:spacing w:before="0" w:line="240" w:lineRule="auto"/>
              <w:jc w:val="both"/>
              <w:rPr>
                <w:rFonts w:asciiTheme="minorHAnsi" w:hAnsiTheme="minorHAnsi"/>
              </w:rPr>
            </w:pPr>
            <w:r w:rsidRPr="00D96D24">
              <w:rPr>
                <w:rFonts w:asciiTheme="minorHAnsi" w:hAnsiTheme="minorHAnsi"/>
              </w:rPr>
              <w:t xml:space="preserve">Brutto: Nie uwzględniamy miejsca pracy otrzymanego w wyniku zmian wewnątrz podmiotu </w:t>
            </w:r>
            <w:r w:rsidRPr="00D96D24">
              <w:rPr>
                <w:rFonts w:asciiTheme="minorHAnsi" w:hAnsiTheme="minorHAnsi" w:cs="ArialNarrow"/>
                <w:szCs w:val="22"/>
              </w:rPr>
              <w:t>(innego niż przedsiębiorstwa)</w:t>
            </w:r>
            <w:r w:rsidRPr="00D96D24">
              <w:rPr>
                <w:rFonts w:asciiTheme="minorHAnsi" w:hAnsiTheme="minorHAnsi"/>
              </w:rPr>
              <w:t xml:space="preserve">, dopóki nie przyczyni się to do całkowitego wzrostu liczby miejsc pracy w podmiocie. Wskaźnik powinien być zastosowany, jeżeli wzrost zatrudnienia może być wiarygodnie </w:t>
            </w:r>
            <w:r>
              <w:rPr>
                <w:rFonts w:asciiTheme="minorHAnsi" w:hAnsiTheme="minorHAnsi"/>
              </w:rPr>
              <w:t xml:space="preserve">przypisany do wsparcia </w:t>
            </w:r>
            <w:r w:rsidRPr="00D96D24">
              <w:rPr>
                <w:rFonts w:asciiTheme="minorHAnsi" w:hAnsiTheme="minorHAnsi"/>
              </w:rPr>
              <w:t>w ramach projektu.</w:t>
            </w:r>
          </w:p>
          <w:p w:rsidR="007415A3" w:rsidRPr="007614FD" w:rsidRDefault="007415A3" w:rsidP="00C143DD">
            <w:pPr>
              <w:spacing w:before="0" w:line="240" w:lineRule="auto"/>
              <w:jc w:val="both"/>
              <w:rPr>
                <w:rFonts w:asciiTheme="minorHAnsi" w:hAnsiTheme="minorHAnsi"/>
                <w:i/>
              </w:rPr>
            </w:pPr>
            <w:r w:rsidRPr="00D96D24">
              <w:rPr>
                <w:rFonts w:asciiTheme="minorHAnsi" w:hAnsiTheme="minorHAnsi"/>
              </w:rPr>
              <w:t>Ekwiwalent pełnego czasu pracy: miejsca pracy mogą być pełnoetatowe, na część etatu lub sezonowe, przy czym etaty częściowe podlegają sumowaniu lecz nie są zaokrąglane do pełnych jednostek. Zatrudnienie sezonowe i na cz</w:t>
            </w:r>
            <w:r>
              <w:rPr>
                <w:rFonts w:asciiTheme="minorHAnsi" w:hAnsiTheme="minorHAnsi"/>
              </w:rPr>
              <w:t xml:space="preserve">ęść etatu przelicza się na EPC </w:t>
            </w:r>
            <w:r w:rsidRPr="00D96D24">
              <w:rPr>
                <w:rFonts w:asciiTheme="minorHAnsi" w:hAnsiTheme="minorHAnsi"/>
              </w:rPr>
              <w:t xml:space="preserve">z wykorzystaniem standardów ILO (Międzynarodowa Organizacja Pracy)/ statystycznych/innych. </w:t>
            </w:r>
          </w:p>
        </w:tc>
        <w:tc>
          <w:tcPr>
            <w:tcW w:w="1049" w:type="pct"/>
          </w:tcPr>
          <w:p w:rsidR="007415A3" w:rsidRPr="003C55C7" w:rsidRDefault="007415A3" w:rsidP="007415A3">
            <w:pPr>
              <w:spacing w:line="240" w:lineRule="auto"/>
              <w:jc w:val="both"/>
              <w:rPr>
                <w:rFonts w:asciiTheme="minorHAnsi" w:hAnsiTheme="minorHAnsi"/>
                <w:szCs w:val="22"/>
              </w:rPr>
            </w:pPr>
            <w:r w:rsidRPr="003C55C7">
              <w:rPr>
                <w:rFonts w:asciiTheme="minorHAnsi" w:hAnsiTheme="minorHAnsi"/>
                <w:szCs w:val="22"/>
              </w:rPr>
              <w:t>horyzontalny</w:t>
            </w:r>
          </w:p>
        </w:tc>
      </w:tr>
      <w:tr w:rsidR="007415A3" w:rsidRPr="003C55C7" w:rsidTr="00BA4FB4">
        <w:trPr>
          <w:trHeight w:val="20"/>
          <w:jc w:val="center"/>
        </w:trPr>
        <w:tc>
          <w:tcPr>
            <w:tcW w:w="1189" w:type="pct"/>
            <w:shd w:val="clear" w:color="auto" w:fill="auto"/>
          </w:tcPr>
          <w:p w:rsidR="007415A3" w:rsidRPr="003C55C7" w:rsidRDefault="007415A3" w:rsidP="007415A3">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7415A3" w:rsidRPr="003C55C7" w:rsidRDefault="007415A3" w:rsidP="007415A3">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7415A3" w:rsidRPr="008554A8" w:rsidRDefault="007415A3" w:rsidP="007415A3">
            <w:pPr>
              <w:autoSpaceDE w:val="0"/>
              <w:autoSpaceDN w:val="0"/>
              <w:adjustRightInd w:val="0"/>
              <w:spacing w:before="0" w:line="240" w:lineRule="auto"/>
              <w:jc w:val="both"/>
              <w:rPr>
                <w:rFonts w:ascii="Arial Narrow" w:hAnsi="Arial Narrow"/>
                <w:color w:val="333399"/>
                <w:sz w:val="18"/>
                <w:szCs w:val="18"/>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r>
              <w:rPr>
                <w:rFonts w:asciiTheme="minorHAnsi" w:eastAsiaTheme="minorHAnsi" w:hAnsiTheme="minorHAnsi" w:cstheme="minorBidi"/>
                <w:sz w:val="23"/>
                <w:szCs w:val="23"/>
                <w:lang w:eastAsia="en-US"/>
              </w:rPr>
              <w:t>.</w:t>
            </w:r>
          </w:p>
        </w:tc>
        <w:tc>
          <w:tcPr>
            <w:tcW w:w="1049" w:type="pct"/>
          </w:tcPr>
          <w:p w:rsidR="007415A3" w:rsidRPr="003C55C7" w:rsidRDefault="007415A3" w:rsidP="007415A3">
            <w:pPr>
              <w:spacing w:line="240" w:lineRule="auto"/>
              <w:jc w:val="both"/>
              <w:rPr>
                <w:rFonts w:asciiTheme="minorHAnsi" w:hAnsiTheme="minorHAnsi"/>
                <w:szCs w:val="22"/>
              </w:rPr>
            </w:pPr>
            <w:r w:rsidRPr="003C55C7">
              <w:rPr>
                <w:rFonts w:asciiTheme="minorHAnsi" w:hAnsiTheme="minorHAnsi"/>
                <w:szCs w:val="22"/>
              </w:rPr>
              <w:t>horyzontalny</w:t>
            </w:r>
          </w:p>
        </w:tc>
      </w:tr>
      <w:tr w:rsidR="007415A3" w:rsidRPr="003C55C7" w:rsidTr="00F46A99">
        <w:trPr>
          <w:trHeight w:val="20"/>
          <w:jc w:val="center"/>
        </w:trPr>
        <w:tc>
          <w:tcPr>
            <w:tcW w:w="1189" w:type="pct"/>
            <w:shd w:val="clear" w:color="auto" w:fill="auto"/>
          </w:tcPr>
          <w:p w:rsidR="007415A3" w:rsidRPr="003C55C7" w:rsidRDefault="007415A3" w:rsidP="003F2906">
            <w:pPr>
              <w:pStyle w:val="Default"/>
              <w:rPr>
                <w:rFonts w:asciiTheme="minorHAnsi" w:hAnsiTheme="minorHAnsi" w:cs="ArialNarrow"/>
                <w:sz w:val="22"/>
                <w:szCs w:val="22"/>
              </w:rPr>
            </w:pPr>
            <w:r w:rsidRPr="003C55C7">
              <w:rPr>
                <w:rFonts w:asciiTheme="minorHAnsi" w:hAnsiTheme="minorHAnsi" w:cs="ArialNarrow"/>
                <w:sz w:val="22"/>
                <w:szCs w:val="22"/>
              </w:rPr>
              <w:t>Liczba nowo utworzonych miejsc pracy - pozostałe formy</w:t>
            </w:r>
            <w:r w:rsidR="00F46A99">
              <w:rPr>
                <w:rFonts w:asciiTheme="minorHAnsi" w:hAnsiTheme="minorHAnsi" w:cs="ArialNarrow"/>
                <w:sz w:val="22"/>
                <w:szCs w:val="22"/>
              </w:rPr>
              <w:t xml:space="preserve"> </w:t>
            </w:r>
          </w:p>
        </w:tc>
        <w:tc>
          <w:tcPr>
            <w:tcW w:w="701" w:type="pct"/>
          </w:tcPr>
          <w:p w:rsidR="007415A3" w:rsidRPr="003C55C7" w:rsidRDefault="007415A3" w:rsidP="007415A3">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tcPr>
          <w:p w:rsidR="007415A3" w:rsidRPr="008554A8" w:rsidRDefault="007415A3" w:rsidP="00F46A99">
            <w:pPr>
              <w:autoSpaceDE w:val="0"/>
              <w:autoSpaceDN w:val="0"/>
              <w:adjustRightInd w:val="0"/>
              <w:spacing w:before="0" w:line="240" w:lineRule="auto"/>
              <w:rPr>
                <w:rFonts w:ascii="Arial Narrow" w:hAnsi="Arial Narrow"/>
                <w:color w:val="333399"/>
                <w:sz w:val="18"/>
                <w:szCs w:val="18"/>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np. umowy cywilnoprawne, miejsca pracy do obsługi projektu, nietrwałe miejsca pracy</w:t>
            </w:r>
            <w:r>
              <w:rPr>
                <w:rFonts w:asciiTheme="minorHAnsi" w:eastAsiaTheme="minorHAnsi" w:hAnsiTheme="minorHAnsi" w:cs="Verdana"/>
                <w:sz w:val="23"/>
                <w:szCs w:val="23"/>
                <w:lang w:eastAsia="en-US"/>
              </w:rPr>
              <w:t>.</w:t>
            </w:r>
            <w:r w:rsidR="003F2906" w:rsidRPr="00F46A99">
              <w:rPr>
                <w:rFonts w:asciiTheme="minorHAnsi" w:hAnsiTheme="minorHAnsi"/>
                <w:color w:val="FF0000"/>
                <w:sz w:val="24"/>
                <w:szCs w:val="24"/>
              </w:rPr>
              <w:t xml:space="preserve"> (wskaźnik ma charakter informacyjny)</w:t>
            </w:r>
          </w:p>
        </w:tc>
        <w:tc>
          <w:tcPr>
            <w:tcW w:w="1049" w:type="pct"/>
          </w:tcPr>
          <w:p w:rsidR="007415A3" w:rsidRPr="003C55C7" w:rsidRDefault="007415A3" w:rsidP="007415A3">
            <w:pPr>
              <w:spacing w:line="240" w:lineRule="auto"/>
              <w:jc w:val="both"/>
              <w:rPr>
                <w:rFonts w:asciiTheme="minorHAnsi" w:hAnsiTheme="minorHAnsi"/>
                <w:szCs w:val="22"/>
              </w:rPr>
            </w:pPr>
            <w:r w:rsidRPr="003C55C7">
              <w:rPr>
                <w:rFonts w:asciiTheme="minorHAnsi" w:hAnsiTheme="minorHAnsi"/>
                <w:szCs w:val="22"/>
              </w:rPr>
              <w:t>horyzontalny</w:t>
            </w:r>
          </w:p>
        </w:tc>
      </w:tr>
    </w:tbl>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415E92" w:rsidRPr="0044238B" w:rsidRDefault="00415E92" w:rsidP="00415E9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W r</w:t>
      </w:r>
      <w:r w:rsidR="00221D32">
        <w:rPr>
          <w:rFonts w:asciiTheme="minorHAnsi" w:eastAsiaTheme="minorHAnsi" w:hAnsiTheme="minorHAnsi" w:cs="Arial"/>
          <w:szCs w:val="22"/>
          <w:lang w:eastAsia="en-US"/>
        </w:rPr>
        <w:t>amach wniosku o dofinansowanie w</w:t>
      </w:r>
      <w:r w:rsidRPr="00911273">
        <w:rPr>
          <w:rFonts w:asciiTheme="minorHAnsi" w:eastAsiaTheme="minorHAnsi" w:hAnsiTheme="minorHAnsi" w:cs="Arial"/>
          <w:szCs w:val="22"/>
          <w:lang w:eastAsia="en-US"/>
        </w:rPr>
        <w:t xml:space="preserve">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Pr>
          <w:rFonts w:asciiTheme="minorHAnsi" w:eastAsiaTheme="minorHAnsi" w:hAnsiTheme="minorHAnsi" w:cs="Arial"/>
          <w:szCs w:val="22"/>
          <w:lang w:eastAsia="en-US"/>
        </w:rPr>
        <w:t xml:space="preserve">oraz </w:t>
      </w:r>
      <w:r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 powyższych tabelach,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w:t>
      </w:r>
      <w:r w:rsidR="00221D32">
        <w:rPr>
          <w:rFonts w:asciiTheme="minorHAnsi" w:hAnsiTheme="minorHAnsi"/>
          <w:szCs w:val="22"/>
        </w:rPr>
        <w:t>amach wniosku o dofinansowanie w</w:t>
      </w:r>
      <w:r w:rsidRPr="00911273">
        <w:rPr>
          <w:rFonts w:asciiTheme="minorHAnsi" w:hAnsiTheme="minorHAnsi"/>
          <w:szCs w:val="22"/>
        </w:rPr>
        <w:t>nioskodawca może określić inne, dodatkowe wskaźniki specyficzne dla danego projektu, o ile będzie to niezbędne dla prawidłowej realizacji projektu (tzw. wskaźniki projektowe).</w:t>
      </w:r>
    </w:p>
    <w:p w:rsidR="00415E92" w:rsidRPr="0044238B" w:rsidRDefault="00415E92" w:rsidP="00415E92">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lastRenderedPageBreak/>
        <w:t xml:space="preserve">We wniosku o dofinansowanie należy określić, w jaki sposób i na jakiej podstawie mierzone będą wskaźniki realizacji celu </w:t>
      </w:r>
      <w:r>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poprzez ustalenie źródła weryfikacji/pozyskania danych do pomiaru wskaźnika oraz częstotliwości pomiaru. Dlatego przy określaniu wskaźników nale</w:t>
      </w:r>
      <w:r w:rsidR="00861312">
        <w:rPr>
          <w:rFonts w:asciiTheme="minorHAnsi" w:eastAsiaTheme="minorHAnsi" w:hAnsiTheme="minorHAnsi" w:cstheme="minorBidi"/>
          <w:sz w:val="22"/>
          <w:szCs w:val="22"/>
          <w:lang w:eastAsia="en-US"/>
        </w:rPr>
        <w:t>ży wziąć pod uwagę dostępność i </w:t>
      </w:r>
      <w:r w:rsidRPr="00911273">
        <w:rPr>
          <w:rFonts w:asciiTheme="minorHAnsi" w:eastAsiaTheme="minorHAnsi" w:hAnsiTheme="minorHAnsi" w:cstheme="minorBidi"/>
          <w:sz w:val="22"/>
          <w:szCs w:val="22"/>
          <w:lang w:eastAsia="en-US"/>
        </w:rPr>
        <w:t xml:space="preserve">wiarygodność danych niezbędnych do pomiaru danego wskaźnika.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 przypadku każdego wskaźnika powinna być wykazana na poziomie „0”.</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 dofinansowanie, przy czym osiągnięte wartości powinny zostać wykazane najpóźniej we wniosku o płatność końcową</w:t>
      </w:r>
      <w:r w:rsidR="00DF52C4">
        <w:rPr>
          <w:rFonts w:asciiTheme="minorHAnsi" w:hAnsiTheme="minorHAnsi" w:cs="Arial"/>
          <w:b/>
          <w:u w:val="single"/>
        </w:rPr>
        <w:t xml:space="preserve"> </w:t>
      </w:r>
      <w:r w:rsidR="00DF52C4" w:rsidRPr="00DF52C4">
        <w:rPr>
          <w:rFonts w:asciiTheme="minorHAnsi" w:hAnsiTheme="minorHAnsi" w:cs="Arial"/>
          <w:b/>
          <w:u w:val="single"/>
        </w:rPr>
        <w:t>oraz utrzymane w okresie trwałości projektu</w:t>
      </w:r>
      <w:r w:rsidRPr="00340A6B">
        <w:rPr>
          <w:rFonts w:asciiTheme="minorHAnsi" w:hAnsiTheme="minorHAnsi" w:cs="Arial"/>
          <w:b/>
          <w:u w:val="single"/>
        </w:rPr>
        <w:t xml:space="preserve">,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415E92" w:rsidRPr="00DF52C4" w:rsidRDefault="00415E92" w:rsidP="00DF52C4">
      <w:pPr>
        <w:pStyle w:val="Akapitzlist"/>
        <w:numPr>
          <w:ilvl w:val="0"/>
          <w:numId w:val="6"/>
        </w:numPr>
        <w:spacing w:before="0" w:after="200" w:line="240" w:lineRule="auto"/>
        <w:ind w:left="1134"/>
        <w:contextualSpacing/>
        <w:jc w:val="both"/>
        <w:rPr>
          <w:rFonts w:asciiTheme="minorHAnsi" w:hAnsiTheme="minorHAnsi" w:cs="Arial"/>
          <w:b/>
          <w:u w:val="single"/>
        </w:rPr>
      </w:pPr>
      <w:r w:rsidRPr="00DF52C4">
        <w:rPr>
          <w:rFonts w:asciiTheme="minorHAnsi" w:hAnsiTheme="minorHAnsi" w:cs="Arial"/>
          <w:b/>
          <w:u w:val="single"/>
        </w:rPr>
        <w:t xml:space="preserve">co do zasady – w okresie 12 miesięcy od zakończenia okresu realizacji projektu określonego w umowie o dofinansowaniu projektu lub, o ile wynika to ze specyfiki projektu, od uruchomienia przedsięwzięcia, przy czym osiągnięte wartości wykazywane są </w:t>
      </w:r>
      <w:r w:rsidR="00DF52C4" w:rsidRPr="00DF52C4">
        <w:rPr>
          <w:rFonts w:asciiTheme="minorHAnsi" w:hAnsiTheme="minorHAnsi" w:cs="Arial"/>
          <w:b/>
          <w:u w:val="single"/>
        </w:rPr>
        <w:t>we wniosku o płatność końcową lub jego</w:t>
      </w:r>
      <w:r w:rsidRPr="00DF52C4">
        <w:rPr>
          <w:rFonts w:asciiTheme="minorHAnsi" w:hAnsiTheme="minorHAnsi" w:cs="Arial"/>
          <w:b/>
          <w:u w:val="single"/>
        </w:rPr>
        <w:t xml:space="preserve"> korekci</w:t>
      </w:r>
      <w:r w:rsidR="00F46A99" w:rsidRPr="00DF52C4">
        <w:rPr>
          <w:rFonts w:asciiTheme="minorHAnsi" w:hAnsiTheme="minorHAnsi" w:cs="Arial"/>
          <w:b/>
          <w:u w:val="single"/>
        </w:rPr>
        <w:t>e</w:t>
      </w:r>
      <w:r w:rsidR="00DF52C4">
        <w:rPr>
          <w:rFonts w:asciiTheme="minorHAnsi" w:hAnsiTheme="minorHAnsi" w:cs="Arial"/>
          <w:b/>
          <w:u w:val="single"/>
        </w:rPr>
        <w:t xml:space="preserve">. </w:t>
      </w:r>
      <w:r w:rsidR="00DF52C4" w:rsidRPr="00DF52C4">
        <w:rPr>
          <w:rFonts w:asciiTheme="minorHAnsi" w:hAnsiTheme="minorHAnsi" w:cs="Arial"/>
          <w:b/>
          <w:u w:val="single"/>
        </w:rPr>
        <w:t>Wskaźniki rezultatu powinny być utrzymane w okresie trwałości projektu,</w:t>
      </w:r>
      <w:r w:rsidR="00F46A99" w:rsidRPr="00DF52C4">
        <w:rPr>
          <w:rFonts w:asciiTheme="minorHAnsi" w:hAnsiTheme="minorHAnsi" w:cs="Arial"/>
          <w:b/>
          <w:u w:val="single"/>
        </w:rPr>
        <w:t xml:space="preserve"> lub</w:t>
      </w:r>
    </w:p>
    <w:p w:rsidR="00F46A99" w:rsidRPr="00DF52C4" w:rsidRDefault="00F46A99" w:rsidP="00415E92">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DF52C4">
        <w:rPr>
          <w:rFonts w:asciiTheme="minorHAnsi" w:hAnsiTheme="minorHAnsi"/>
          <w:b/>
          <w:bCs/>
          <w:szCs w:val="22"/>
        </w:rPr>
        <w:t>w okresie trwałości projektu, na zasadach określonych przez IZ RPO (w umowie o dofinansowanie projektu) – w przypadku wskaźników, których termin realizacji został wydłużony na wniosek Beneficjenta i za zgodą IZ RPO, jednak nie później niż do dnia 31.12.2023 r.</w:t>
      </w:r>
    </w:p>
    <w:p w:rsidR="0032765F" w:rsidRPr="00911273" w:rsidRDefault="0032765F" w:rsidP="00415E92">
      <w:pPr>
        <w:autoSpaceDE w:val="0"/>
        <w:autoSpaceDN w:val="0"/>
        <w:adjustRightInd w:val="0"/>
        <w:spacing w:before="120" w:after="120" w:line="240" w:lineRule="auto"/>
        <w:jc w:val="both"/>
        <w:rPr>
          <w:szCs w:val="22"/>
        </w:rPr>
      </w:pPr>
    </w:p>
    <w:sectPr w:rsidR="0032765F" w:rsidRPr="00911273" w:rsidSect="00D35714">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D1" w:rsidRDefault="00F44DD1" w:rsidP="008C495E">
      <w:pPr>
        <w:spacing w:before="0" w:line="240" w:lineRule="auto"/>
      </w:pPr>
      <w:r>
        <w:separator/>
      </w:r>
    </w:p>
  </w:endnote>
  <w:endnote w:type="continuationSeparator" w:id="0">
    <w:p w:rsidR="00F44DD1" w:rsidRDefault="00F44DD1"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017"/>
      <w:docPartObj>
        <w:docPartGallery w:val="Page Numbers (Bottom of Page)"/>
        <w:docPartUnique/>
      </w:docPartObj>
    </w:sdtPr>
    <w:sdtEndPr/>
    <w:sdtContent>
      <w:p w:rsidR="00A66C0C" w:rsidRDefault="009843C6">
        <w:pPr>
          <w:pStyle w:val="Stopka"/>
          <w:jc w:val="right"/>
        </w:pPr>
        <w:r>
          <w:fldChar w:fldCharType="begin"/>
        </w:r>
        <w:r w:rsidR="00A66C0C">
          <w:instrText>PAGE   \* MERGEFORMAT</w:instrText>
        </w:r>
        <w:r>
          <w:fldChar w:fldCharType="separate"/>
        </w:r>
        <w:r w:rsidR="005D5C44">
          <w:rPr>
            <w:noProof/>
          </w:rPr>
          <w:t>2</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018"/>
      <w:docPartObj>
        <w:docPartGallery w:val="Page Numbers (Bottom of Page)"/>
        <w:docPartUnique/>
      </w:docPartObj>
    </w:sdtPr>
    <w:sdtEndPr/>
    <w:sdtContent>
      <w:p w:rsidR="00B33F83" w:rsidRDefault="009843C6">
        <w:pPr>
          <w:pStyle w:val="Stopka"/>
          <w:jc w:val="right"/>
        </w:pPr>
        <w:r>
          <w:fldChar w:fldCharType="begin"/>
        </w:r>
        <w:r w:rsidR="00B7566F">
          <w:instrText xml:space="preserve"> PAGE   \* MERGEFORMAT </w:instrText>
        </w:r>
        <w:r>
          <w:fldChar w:fldCharType="separate"/>
        </w:r>
        <w:r w:rsidR="005D5C44">
          <w:rPr>
            <w:noProof/>
          </w:rPr>
          <w:t>1</w:t>
        </w:r>
        <w:r>
          <w:rPr>
            <w:noProof/>
          </w:rPr>
          <w:fldChar w:fldCharType="end"/>
        </w:r>
      </w:p>
    </w:sdtContent>
  </w:sdt>
  <w:p w:rsidR="00B33F83" w:rsidRDefault="00B3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D1" w:rsidRDefault="00F44DD1" w:rsidP="008C495E">
      <w:pPr>
        <w:spacing w:before="0" w:line="240" w:lineRule="auto"/>
      </w:pPr>
      <w:r>
        <w:separator/>
      </w:r>
    </w:p>
  </w:footnote>
  <w:footnote w:type="continuationSeparator" w:id="0">
    <w:p w:rsidR="00F44DD1" w:rsidRDefault="00F44DD1"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83" w:rsidRDefault="00B33F83" w:rsidP="00B33F83">
    <w:pPr>
      <w:pStyle w:val="Nagwek"/>
      <w:tabs>
        <w:tab w:val="left" w:pos="6602"/>
      </w:tabs>
      <w:rPr>
        <w:noProof/>
        <w:sz w:val="16"/>
        <w:szCs w:val="16"/>
      </w:rPr>
    </w:pPr>
    <w:r>
      <w:rPr>
        <w:noProof/>
        <w:sz w:val="16"/>
        <w:szCs w:val="16"/>
      </w:rPr>
      <w:tab/>
    </w:r>
    <w:r>
      <w:rPr>
        <w:noProof/>
        <w:sz w:val="16"/>
        <w:szCs w:val="16"/>
      </w:rPr>
      <w:tab/>
    </w:r>
    <w:r w:rsidRPr="00B33F83">
      <w:rPr>
        <w:noProof/>
        <w:sz w:val="16"/>
        <w:szCs w:val="16"/>
      </w:rPr>
      <w:drawing>
        <wp:anchor distT="0" distB="0" distL="114300" distR="114300" simplePos="0" relativeHeight="251660800" behindDoc="1" locked="0" layoutInCell="1" allowOverlap="1" wp14:anchorId="19E5A8FA" wp14:editId="1A904B79">
          <wp:simplePos x="0" y="0"/>
          <wp:positionH relativeFrom="column">
            <wp:posOffset>347980</wp:posOffset>
          </wp:positionH>
          <wp:positionV relativeFrom="paragraph">
            <wp:posOffset>-137795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sz w:val="16"/>
        <w:szCs w:val="16"/>
      </w:rPr>
      <w:tab/>
    </w: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E313C3" w:rsidRPr="00FD21DC" w:rsidRDefault="000D5DD5" w:rsidP="000D5DD5">
    <w:pPr>
      <w:tabs>
        <w:tab w:val="center" w:pos="4536"/>
        <w:tab w:val="right" w:pos="9072"/>
      </w:tabs>
      <w:spacing w:before="0" w:line="240" w:lineRule="auto"/>
      <w:jc w:val="righ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E313C3" w:rsidRPr="00FD21DC">
      <w:rPr>
        <w:rFonts w:asciiTheme="minorHAnsi" w:hAnsiTheme="minorHAnsi"/>
        <w:sz w:val="18"/>
        <w:szCs w:val="18"/>
      </w:rPr>
      <w:t>Załączn</w:t>
    </w:r>
    <w:r w:rsidR="006C2EE6">
      <w:rPr>
        <w:rFonts w:asciiTheme="minorHAnsi" w:hAnsiTheme="minorHAnsi"/>
        <w:sz w:val="18"/>
        <w:szCs w:val="18"/>
      </w:rPr>
      <w:t>ik nr 2 do Regulaminu konkursu</w:t>
    </w:r>
  </w:p>
  <w:p w:rsidR="00E313C3" w:rsidRPr="00FD21DC" w:rsidRDefault="00E313C3" w:rsidP="00E313C3">
    <w:pPr>
      <w:spacing w:before="0" w:line="240" w:lineRule="auto"/>
      <w:jc w:val="right"/>
      <w:rPr>
        <w:rFonts w:asciiTheme="minorHAnsi" w:hAnsiTheme="minorHAnsi"/>
        <w:sz w:val="18"/>
        <w:szCs w:val="18"/>
      </w:rPr>
    </w:pPr>
    <w:r w:rsidRPr="000D5DD5">
      <w:rPr>
        <w:rFonts w:asciiTheme="minorHAnsi" w:hAnsiTheme="minorHAnsi"/>
        <w:sz w:val="18"/>
        <w:szCs w:val="18"/>
      </w:rPr>
      <w:t>Nr nabo</w:t>
    </w:r>
    <w:r w:rsidR="00B569A4" w:rsidRPr="000D5DD5">
      <w:rPr>
        <w:rFonts w:asciiTheme="minorHAnsi" w:hAnsiTheme="minorHAnsi"/>
        <w:sz w:val="18"/>
        <w:szCs w:val="18"/>
      </w:rPr>
      <w:t xml:space="preserve">ru </w:t>
    </w:r>
    <w:r w:rsidR="008A3293" w:rsidRPr="008A3293">
      <w:rPr>
        <w:rFonts w:asciiTheme="minorHAnsi" w:hAnsiTheme="minorHAnsi"/>
        <w:sz w:val="18"/>
        <w:szCs w:val="18"/>
      </w:rPr>
      <w:t>RPDS.01.01.00-IZ.00-02-</w:t>
    </w:r>
    <w:r w:rsidR="00AD2BCE">
      <w:rPr>
        <w:rFonts w:asciiTheme="minorHAnsi" w:hAnsiTheme="minorHAnsi"/>
        <w:sz w:val="18"/>
        <w:szCs w:val="18"/>
      </w:rPr>
      <w:t>380</w:t>
    </w:r>
    <w:r w:rsidR="008A3293" w:rsidRPr="008A3293">
      <w:rPr>
        <w:rFonts w:asciiTheme="minorHAnsi" w:hAnsiTheme="minorHAnsi"/>
        <w:sz w:val="18"/>
        <w:szCs w:val="18"/>
      </w:rPr>
      <w:t>/</w:t>
    </w:r>
    <w:r w:rsidR="00AD2BCE">
      <w:rPr>
        <w:rFonts w:asciiTheme="minorHAnsi" w:hAnsiTheme="minorHAnsi"/>
        <w:sz w:val="18"/>
        <w:szCs w:val="18"/>
      </w:rPr>
      <w:t>20</w:t>
    </w:r>
  </w:p>
  <w:p w:rsidR="0083253A" w:rsidRPr="003A3F65" w:rsidRDefault="0083253A" w:rsidP="00E313C3">
    <w:pPr>
      <w:pStyle w:val="Nagwek"/>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0550C"/>
    <w:rsid w:val="000145B6"/>
    <w:rsid w:val="000215F0"/>
    <w:rsid w:val="000253C7"/>
    <w:rsid w:val="000350F4"/>
    <w:rsid w:val="0008693E"/>
    <w:rsid w:val="00094C3F"/>
    <w:rsid w:val="000972D6"/>
    <w:rsid w:val="000B05C7"/>
    <w:rsid w:val="000C0A4C"/>
    <w:rsid w:val="000D5DD5"/>
    <w:rsid w:val="000D7D03"/>
    <w:rsid w:val="000E7DD8"/>
    <w:rsid w:val="000F2AC0"/>
    <w:rsid w:val="000F2F7C"/>
    <w:rsid w:val="000F5C98"/>
    <w:rsid w:val="00122EE4"/>
    <w:rsid w:val="001375BD"/>
    <w:rsid w:val="00140414"/>
    <w:rsid w:val="00141571"/>
    <w:rsid w:val="001437C9"/>
    <w:rsid w:val="0015486C"/>
    <w:rsid w:val="00162039"/>
    <w:rsid w:val="00175453"/>
    <w:rsid w:val="001835B5"/>
    <w:rsid w:val="00184A53"/>
    <w:rsid w:val="00191605"/>
    <w:rsid w:val="001A47D2"/>
    <w:rsid w:val="001A7F85"/>
    <w:rsid w:val="001C4F9E"/>
    <w:rsid w:val="001D6024"/>
    <w:rsid w:val="001F684D"/>
    <w:rsid w:val="00221D32"/>
    <w:rsid w:val="00222A42"/>
    <w:rsid w:val="002261A4"/>
    <w:rsid w:val="002302E0"/>
    <w:rsid w:val="00237177"/>
    <w:rsid w:val="002408B0"/>
    <w:rsid w:val="00242E2B"/>
    <w:rsid w:val="00246DFA"/>
    <w:rsid w:val="00253FAA"/>
    <w:rsid w:val="00266D58"/>
    <w:rsid w:val="002855F7"/>
    <w:rsid w:val="002972E4"/>
    <w:rsid w:val="002A7D28"/>
    <w:rsid w:val="002B5DA0"/>
    <w:rsid w:val="002D5507"/>
    <w:rsid w:val="002F6273"/>
    <w:rsid w:val="002F6A9E"/>
    <w:rsid w:val="0032765F"/>
    <w:rsid w:val="00335935"/>
    <w:rsid w:val="00340A6B"/>
    <w:rsid w:val="003517C9"/>
    <w:rsid w:val="00370466"/>
    <w:rsid w:val="00380060"/>
    <w:rsid w:val="00380861"/>
    <w:rsid w:val="00381C30"/>
    <w:rsid w:val="00396F3C"/>
    <w:rsid w:val="003A3F65"/>
    <w:rsid w:val="003A6137"/>
    <w:rsid w:val="003A6859"/>
    <w:rsid w:val="003C55C7"/>
    <w:rsid w:val="003D2C3D"/>
    <w:rsid w:val="003D3BC5"/>
    <w:rsid w:val="003F2906"/>
    <w:rsid w:val="003F6A6D"/>
    <w:rsid w:val="0041446A"/>
    <w:rsid w:val="00415E92"/>
    <w:rsid w:val="00421C29"/>
    <w:rsid w:val="00422DE9"/>
    <w:rsid w:val="00440A48"/>
    <w:rsid w:val="0044238B"/>
    <w:rsid w:val="00443051"/>
    <w:rsid w:val="0046263E"/>
    <w:rsid w:val="0046493A"/>
    <w:rsid w:val="00471B0C"/>
    <w:rsid w:val="00476947"/>
    <w:rsid w:val="00484BAB"/>
    <w:rsid w:val="00485CDD"/>
    <w:rsid w:val="004A7CC9"/>
    <w:rsid w:val="004B2948"/>
    <w:rsid w:val="004B303A"/>
    <w:rsid w:val="004E49D6"/>
    <w:rsid w:val="00506413"/>
    <w:rsid w:val="00516B06"/>
    <w:rsid w:val="00522930"/>
    <w:rsid w:val="00530E5D"/>
    <w:rsid w:val="005358BE"/>
    <w:rsid w:val="00535E8F"/>
    <w:rsid w:val="0054318F"/>
    <w:rsid w:val="005506E5"/>
    <w:rsid w:val="00555321"/>
    <w:rsid w:val="005615C8"/>
    <w:rsid w:val="005657D8"/>
    <w:rsid w:val="00572667"/>
    <w:rsid w:val="005A1857"/>
    <w:rsid w:val="005B4ADE"/>
    <w:rsid w:val="005B4F1C"/>
    <w:rsid w:val="005D03B0"/>
    <w:rsid w:val="005D5C44"/>
    <w:rsid w:val="0060140B"/>
    <w:rsid w:val="0061737E"/>
    <w:rsid w:val="00620A45"/>
    <w:rsid w:val="00620B41"/>
    <w:rsid w:val="00635DB0"/>
    <w:rsid w:val="00640270"/>
    <w:rsid w:val="00664321"/>
    <w:rsid w:val="0067179E"/>
    <w:rsid w:val="00677786"/>
    <w:rsid w:val="006A09F0"/>
    <w:rsid w:val="006B05A8"/>
    <w:rsid w:val="006C2EE6"/>
    <w:rsid w:val="006C301F"/>
    <w:rsid w:val="006C3827"/>
    <w:rsid w:val="006C652C"/>
    <w:rsid w:val="006E31F1"/>
    <w:rsid w:val="00701E65"/>
    <w:rsid w:val="00704B1F"/>
    <w:rsid w:val="00726AC4"/>
    <w:rsid w:val="007300ED"/>
    <w:rsid w:val="00732663"/>
    <w:rsid w:val="007415A3"/>
    <w:rsid w:val="00741B27"/>
    <w:rsid w:val="00752B4A"/>
    <w:rsid w:val="007614FD"/>
    <w:rsid w:val="007650AC"/>
    <w:rsid w:val="00770BD0"/>
    <w:rsid w:val="007805BC"/>
    <w:rsid w:val="00785C6B"/>
    <w:rsid w:val="00787387"/>
    <w:rsid w:val="00790ED5"/>
    <w:rsid w:val="007D1CF1"/>
    <w:rsid w:val="007D2573"/>
    <w:rsid w:val="007D7DE7"/>
    <w:rsid w:val="007E025A"/>
    <w:rsid w:val="007E26CB"/>
    <w:rsid w:val="007E6D53"/>
    <w:rsid w:val="007F2ECD"/>
    <w:rsid w:val="0083253A"/>
    <w:rsid w:val="008554A8"/>
    <w:rsid w:val="0085713F"/>
    <w:rsid w:val="00861312"/>
    <w:rsid w:val="008A09D1"/>
    <w:rsid w:val="008A195C"/>
    <w:rsid w:val="008A3293"/>
    <w:rsid w:val="008B21E1"/>
    <w:rsid w:val="008B673D"/>
    <w:rsid w:val="008C495E"/>
    <w:rsid w:val="008D1389"/>
    <w:rsid w:val="008E3F0D"/>
    <w:rsid w:val="008E5735"/>
    <w:rsid w:val="008F6A26"/>
    <w:rsid w:val="009024D3"/>
    <w:rsid w:val="00911273"/>
    <w:rsid w:val="009119D9"/>
    <w:rsid w:val="00912831"/>
    <w:rsid w:val="00916677"/>
    <w:rsid w:val="009449EE"/>
    <w:rsid w:val="009456DB"/>
    <w:rsid w:val="00946665"/>
    <w:rsid w:val="00957260"/>
    <w:rsid w:val="009609F6"/>
    <w:rsid w:val="00960C7D"/>
    <w:rsid w:val="00982504"/>
    <w:rsid w:val="009843C6"/>
    <w:rsid w:val="00990FCA"/>
    <w:rsid w:val="009926BE"/>
    <w:rsid w:val="009B3E38"/>
    <w:rsid w:val="009B52F7"/>
    <w:rsid w:val="009D3C56"/>
    <w:rsid w:val="009E26D1"/>
    <w:rsid w:val="009E65D0"/>
    <w:rsid w:val="009F5A31"/>
    <w:rsid w:val="009F65B6"/>
    <w:rsid w:val="00A11346"/>
    <w:rsid w:val="00A1656E"/>
    <w:rsid w:val="00A318E7"/>
    <w:rsid w:val="00A44A6F"/>
    <w:rsid w:val="00A459F4"/>
    <w:rsid w:val="00A656DD"/>
    <w:rsid w:val="00A66C0C"/>
    <w:rsid w:val="00A7445E"/>
    <w:rsid w:val="00A804DB"/>
    <w:rsid w:val="00A84839"/>
    <w:rsid w:val="00A91D14"/>
    <w:rsid w:val="00A92980"/>
    <w:rsid w:val="00AA6B29"/>
    <w:rsid w:val="00AD14C1"/>
    <w:rsid w:val="00AD2437"/>
    <w:rsid w:val="00AD2BCE"/>
    <w:rsid w:val="00B145AE"/>
    <w:rsid w:val="00B17F26"/>
    <w:rsid w:val="00B204DD"/>
    <w:rsid w:val="00B235B0"/>
    <w:rsid w:val="00B32BB7"/>
    <w:rsid w:val="00B33F83"/>
    <w:rsid w:val="00B37870"/>
    <w:rsid w:val="00B40F0F"/>
    <w:rsid w:val="00B569A4"/>
    <w:rsid w:val="00B61B7A"/>
    <w:rsid w:val="00B7566F"/>
    <w:rsid w:val="00B80AE7"/>
    <w:rsid w:val="00B840A9"/>
    <w:rsid w:val="00B92427"/>
    <w:rsid w:val="00BC03CE"/>
    <w:rsid w:val="00BC6350"/>
    <w:rsid w:val="00BE46BC"/>
    <w:rsid w:val="00BE7424"/>
    <w:rsid w:val="00BF5C51"/>
    <w:rsid w:val="00C01842"/>
    <w:rsid w:val="00C0278F"/>
    <w:rsid w:val="00C10532"/>
    <w:rsid w:val="00C143DD"/>
    <w:rsid w:val="00C26DB6"/>
    <w:rsid w:val="00C3556E"/>
    <w:rsid w:val="00C40E8D"/>
    <w:rsid w:val="00C528BA"/>
    <w:rsid w:val="00C7207B"/>
    <w:rsid w:val="00C77744"/>
    <w:rsid w:val="00C90F5E"/>
    <w:rsid w:val="00C9174F"/>
    <w:rsid w:val="00C92D25"/>
    <w:rsid w:val="00C96A75"/>
    <w:rsid w:val="00CA1C6D"/>
    <w:rsid w:val="00CB1388"/>
    <w:rsid w:val="00CB645C"/>
    <w:rsid w:val="00CC7758"/>
    <w:rsid w:val="00CD63C1"/>
    <w:rsid w:val="00CF5466"/>
    <w:rsid w:val="00CF57DB"/>
    <w:rsid w:val="00CF69D1"/>
    <w:rsid w:val="00D03CAB"/>
    <w:rsid w:val="00D11CB4"/>
    <w:rsid w:val="00D11E26"/>
    <w:rsid w:val="00D25D17"/>
    <w:rsid w:val="00D35714"/>
    <w:rsid w:val="00D373A3"/>
    <w:rsid w:val="00D5098A"/>
    <w:rsid w:val="00D57D29"/>
    <w:rsid w:val="00D80B00"/>
    <w:rsid w:val="00D879B6"/>
    <w:rsid w:val="00D93881"/>
    <w:rsid w:val="00D96D24"/>
    <w:rsid w:val="00DA2DDC"/>
    <w:rsid w:val="00DB617A"/>
    <w:rsid w:val="00DB6675"/>
    <w:rsid w:val="00DC184F"/>
    <w:rsid w:val="00DE6EF3"/>
    <w:rsid w:val="00DF52C4"/>
    <w:rsid w:val="00E03CFC"/>
    <w:rsid w:val="00E232BD"/>
    <w:rsid w:val="00E313C3"/>
    <w:rsid w:val="00E32822"/>
    <w:rsid w:val="00E32B6F"/>
    <w:rsid w:val="00E33D9D"/>
    <w:rsid w:val="00E3488B"/>
    <w:rsid w:val="00E35F2F"/>
    <w:rsid w:val="00E4135C"/>
    <w:rsid w:val="00E45BD8"/>
    <w:rsid w:val="00E6017F"/>
    <w:rsid w:val="00E61834"/>
    <w:rsid w:val="00E72468"/>
    <w:rsid w:val="00E90CA0"/>
    <w:rsid w:val="00E9798A"/>
    <w:rsid w:val="00EA265F"/>
    <w:rsid w:val="00EB4ECE"/>
    <w:rsid w:val="00ED07F0"/>
    <w:rsid w:val="00EE1015"/>
    <w:rsid w:val="00EE68A6"/>
    <w:rsid w:val="00EF50B5"/>
    <w:rsid w:val="00F02218"/>
    <w:rsid w:val="00F11106"/>
    <w:rsid w:val="00F1167A"/>
    <w:rsid w:val="00F17083"/>
    <w:rsid w:val="00F35B91"/>
    <w:rsid w:val="00F44DD1"/>
    <w:rsid w:val="00F46A99"/>
    <w:rsid w:val="00F56AFD"/>
    <w:rsid w:val="00F66AA4"/>
    <w:rsid w:val="00F72230"/>
    <w:rsid w:val="00F75C9C"/>
    <w:rsid w:val="00FC6B1D"/>
    <w:rsid w:val="00FD21DC"/>
    <w:rsid w:val="00FD40E1"/>
    <w:rsid w:val="00FF5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paragraph" w:customStyle="1" w:styleId="TableParagraph">
    <w:name w:val="Table Paragraph"/>
    <w:basedOn w:val="Normalny"/>
    <w:uiPriority w:val="1"/>
    <w:qFormat/>
    <w:rsid w:val="00CD63C1"/>
    <w:pPr>
      <w:widowControl w:val="0"/>
      <w:spacing w:before="0" w:line="240" w:lineRule="auto"/>
    </w:pPr>
    <w:rPr>
      <w:rFonts w:asciiTheme="minorHAnsi" w:eastAsiaTheme="minorHAnsi" w:hAnsiTheme="minorHAnsi" w:cstheme="minorBidi"/>
      <w:szCs w:val="22"/>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paragraph" w:customStyle="1" w:styleId="TableParagraph">
    <w:name w:val="Table Paragraph"/>
    <w:basedOn w:val="Normalny"/>
    <w:uiPriority w:val="1"/>
    <w:qFormat/>
    <w:rsid w:val="00CD63C1"/>
    <w:pPr>
      <w:widowControl w:val="0"/>
      <w:spacing w:before="0" w:line="240" w:lineRule="auto"/>
    </w:pPr>
    <w:rPr>
      <w:rFonts w:asciiTheme="minorHAnsi" w:eastAsiaTheme="minorHAnsi" w:hAnsiTheme="minorHAnsi" w:cstheme="minorBidi"/>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5CE6-A4C1-44BA-A968-1ED22289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3116</Words>
  <Characters>18698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28</cp:revision>
  <cp:lastPrinted>2020-01-15T09:00:00Z</cp:lastPrinted>
  <dcterms:created xsi:type="dcterms:W3CDTF">2017-10-20T10:33:00Z</dcterms:created>
  <dcterms:modified xsi:type="dcterms:W3CDTF">2020-01-15T09:03:00Z</dcterms:modified>
</cp:coreProperties>
</file>