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Szkoła Branżowa, której uczniowie obligatoryjnie odbywają praktyczną naukę zawodu u pracodawców jako młodociani pracownicy może być wykluczona z obowiązku spełnienia kryterium dotyczącego obowiązku organizacji staży uczniowskich dla co najmniej 70% wszystkich uczniów i słuchaczy objętych wsparciem?</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Staże uczniowskie są elementem koniecznym każdego projektu.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Zgodnie z kryterium dostępu obowiązkowo należy zaplanować dla co najmniej 70% wszystkich uczniów i słuchaczy objętych wsparciem w projekcie realizację staży uczniowskich u pracodawców.</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Zgodnie z zapisami dokumentacji konkursowej staże uczniowskie mogą być realizowane przez uczniów, którzy nie są młodocianymi pracownikami. Jeżeli w Państwa szkole wszyscy uczniowie to młodociani pracownicy to nie ma możliwości skierowania ich na staże uczniowskie.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można zrezygnować z realizacji staży uczniowskich w ramach działania 10.4 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Staże uczniowskie są elementem koniecznym każdego projektu.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Zgodnie z kryterium dostępu obowiązkowo należy zaplanować dla co najmniej 70% wszystkich uczniów i słuchaczy objętych wsparciem w projekcie realizację staży uczniowskich u pracodawców.</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xml:space="preserve">Czy szkoła prowadząca kształcenie zawodowe, dla której </w:t>
      </w:r>
      <w:r w:rsidR="00F37111" w:rsidRPr="00B95FE1">
        <w:rPr>
          <w:rFonts w:asciiTheme="minorHAnsi" w:hAnsiTheme="minorHAnsi" w:cs="Arial"/>
          <w:color w:val="000000"/>
        </w:rPr>
        <w:t>O</w:t>
      </w:r>
      <w:r w:rsidRPr="00B95FE1">
        <w:rPr>
          <w:rFonts w:asciiTheme="minorHAnsi" w:hAnsiTheme="minorHAnsi" w:cs="Arial"/>
          <w:color w:val="000000"/>
        </w:rPr>
        <w:t xml:space="preserve">rganem </w:t>
      </w:r>
      <w:r w:rsidR="00F37111" w:rsidRPr="00B95FE1">
        <w:rPr>
          <w:rFonts w:asciiTheme="minorHAnsi" w:hAnsiTheme="minorHAnsi" w:cs="Arial"/>
          <w:color w:val="000000"/>
        </w:rPr>
        <w:t>P</w:t>
      </w:r>
      <w:r w:rsidRPr="00B95FE1">
        <w:rPr>
          <w:rFonts w:asciiTheme="minorHAnsi" w:hAnsiTheme="minorHAnsi" w:cs="Arial"/>
          <w:color w:val="000000"/>
        </w:rPr>
        <w:t>rowadzącym jest Ministerstwo/ Województwo, może wziąć udział w konkursie?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Tak.</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jeśli Wnioskodawcą jest jednostka samorządu terytorialnego (</w:t>
      </w:r>
      <w:r w:rsidR="00F37111" w:rsidRPr="00B95FE1">
        <w:rPr>
          <w:rFonts w:asciiTheme="minorHAnsi" w:hAnsiTheme="minorHAnsi" w:cs="Arial"/>
          <w:color w:val="000000"/>
        </w:rPr>
        <w:t>O</w:t>
      </w:r>
      <w:r w:rsidRPr="00B95FE1">
        <w:rPr>
          <w:rFonts w:asciiTheme="minorHAnsi" w:hAnsiTheme="minorHAnsi" w:cs="Arial"/>
          <w:color w:val="000000"/>
        </w:rPr>
        <w:t xml:space="preserve">rgan </w:t>
      </w:r>
      <w:r w:rsidR="00F37111" w:rsidRPr="00B95FE1">
        <w:rPr>
          <w:rFonts w:asciiTheme="minorHAnsi" w:hAnsiTheme="minorHAnsi" w:cs="Arial"/>
          <w:color w:val="000000"/>
        </w:rPr>
        <w:t>P</w:t>
      </w:r>
      <w:r w:rsidRPr="00B95FE1">
        <w:rPr>
          <w:rFonts w:asciiTheme="minorHAnsi" w:hAnsiTheme="minorHAnsi" w:cs="Arial"/>
          <w:color w:val="000000"/>
        </w:rPr>
        <w:t>rowadzący szkołę), wniosek o dofinansowanie musi być podpisywany przez osoby uprawnione do reprezentowania organu prowadzącego szkołę, czy też może być podpisywane przez dyrektora szkoły (na podstawie pełnomocnictwa wydanego przez osoby uprawnione ze strony jednostki samorządu terytorialnego dla dyrektora)?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Wniosek może być podpisany przez dyrektora szkoły na podstawie upoważnienia wydanego przez Organ Prowadzący.</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Skan podpisanego pełnomocnictwa do reprezentowania Wnioskodawcy należy załączyć jako załącznik nr 1 do wniosku o dofinansowanie w systemie SOWA RPDS.</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lastRenderedPageBreak/>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jako Wnioskodawca, państwowa jednostka budżetowa lub jednostka budżetowa samorządu województwa będzie podpisywać umowę o dofinansowanie czy porozumienie?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 państwowymi jednostkami budżetowymi zawierane są porozumienia o dofinansowanie projektu.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Jak wygląda kwestia rozliczania projektu przez szkoły prowadzone przez Ministerstwo/Województwo? Czy Organ Prowadzący zakłada konto bankowe, czy tylko szkoła jako realizator?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Jeżeli szkoła zostanie wskazana jako realizator projektu to przekazywanie środków będzie się odbywało na konto realizatora.</w:t>
      </w:r>
    </w:p>
    <w:p w:rsidR="00211AA5" w:rsidRPr="00B95FE1" w:rsidRDefault="00211AA5"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w:t>
      </w:r>
    </w:p>
    <w:p w:rsidR="00F37111" w:rsidRPr="00B95FE1" w:rsidRDefault="00F37111" w:rsidP="00581374">
      <w:pPr>
        <w:pStyle w:val="NormalnyWeb"/>
        <w:spacing w:before="0" w:beforeAutospacing="0" w:after="0" w:afterAutospacing="0" w:line="276" w:lineRule="auto"/>
        <w:ind w:hanging="20"/>
        <w:rPr>
          <w:rFonts w:asciiTheme="minorHAnsi" w:hAnsiTheme="minorHAnsi" w:cs="Arial"/>
          <w:b/>
          <w:color w:val="000000"/>
        </w:rPr>
      </w:pPr>
      <w:r w:rsidRPr="00B95FE1">
        <w:rPr>
          <w:rFonts w:asciiTheme="minorHAnsi" w:hAnsiTheme="minorHAnsi" w:cs="Arial"/>
          <w:b/>
          <w:color w:val="000000"/>
        </w:rPr>
        <w:t>Pytanie:</w:t>
      </w:r>
    </w:p>
    <w:p w:rsidR="00F37111" w:rsidRPr="00B95FE1" w:rsidRDefault="00F37111"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rPr>
        <w:t>Czy wystarczające jest by procedura wyboru partnera została przeprowadzona przez Dyrektora Szkoły (ogłoszenie o naborze na stronie szkoły, wybór partnera przez Dyrektora szkoły,  ogłoszenie o wynikach naboru na partnera) na podstawie upoważnienia właściwego Ministra?  </w:t>
      </w:r>
    </w:p>
    <w:p w:rsidR="00F37111" w:rsidRPr="00B95FE1" w:rsidRDefault="00F37111" w:rsidP="00581374">
      <w:pPr>
        <w:pStyle w:val="NormalnyWeb"/>
        <w:spacing w:before="0" w:beforeAutospacing="0" w:after="0" w:afterAutospacing="0" w:line="276" w:lineRule="auto"/>
        <w:ind w:hanging="20"/>
        <w:rPr>
          <w:rFonts w:asciiTheme="minorHAnsi" w:hAnsiTheme="minorHAnsi"/>
          <w:b/>
        </w:rPr>
      </w:pPr>
      <w:r w:rsidRPr="00B95FE1">
        <w:rPr>
          <w:rFonts w:asciiTheme="minorHAnsi" w:hAnsiTheme="minorHAnsi"/>
          <w:b/>
        </w:rPr>
        <w:t>Odpowiedź:</w:t>
      </w:r>
    </w:p>
    <w:p w:rsidR="00F37111" w:rsidRPr="00B95FE1" w:rsidRDefault="00F37111" w:rsidP="00581374">
      <w:pPr>
        <w:autoSpaceDE w:val="0"/>
        <w:autoSpaceDN w:val="0"/>
        <w:spacing w:after="0"/>
        <w:rPr>
          <w:sz w:val="24"/>
          <w:szCs w:val="24"/>
        </w:rPr>
      </w:pPr>
      <w:r w:rsidRPr="00B95FE1">
        <w:rPr>
          <w:sz w:val="24"/>
          <w:szCs w:val="24"/>
        </w:rPr>
        <w:t>Zgodnie z Regulamin</w:t>
      </w:r>
      <w:r w:rsidR="001C742F" w:rsidRPr="00B95FE1">
        <w:rPr>
          <w:sz w:val="24"/>
          <w:szCs w:val="24"/>
        </w:rPr>
        <w:t>em konkursu</w:t>
      </w:r>
      <w:r w:rsidRPr="00B95FE1">
        <w:rPr>
          <w:sz w:val="24"/>
          <w:szCs w:val="24"/>
        </w:rPr>
        <w:t xml:space="preserve"> utworzenie lub zainicjowanie partnerstwa musi nastąpić przed złożeniem wniosku o dofinansowanie.</w:t>
      </w:r>
      <w:r w:rsidR="001C742F" w:rsidRPr="00B95FE1">
        <w:rPr>
          <w:sz w:val="24"/>
          <w:szCs w:val="24"/>
        </w:rPr>
        <w:t xml:space="preserve"> </w:t>
      </w:r>
      <w:r w:rsidRPr="00B95FE1">
        <w:rPr>
          <w:sz w:val="24"/>
          <w:szCs w:val="24"/>
        </w:rPr>
        <w:t xml:space="preserve">Przed zawarciem umowy lub porozumienia o dofinansowaniu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rsidR="00F37111" w:rsidRPr="00B95FE1" w:rsidRDefault="00F37111" w:rsidP="00581374">
      <w:pPr>
        <w:spacing w:after="0"/>
        <w:rPr>
          <w:color w:val="000000"/>
          <w:sz w:val="24"/>
          <w:szCs w:val="24"/>
        </w:rPr>
      </w:pPr>
      <w:r w:rsidRPr="00B95FE1">
        <w:rPr>
          <w:color w:val="000000"/>
          <w:sz w:val="24"/>
          <w:szCs w:val="24"/>
        </w:rPr>
        <w:t xml:space="preserve">Zgodnie z art. 33 ust. 2 ustawy z dnia 11 lipca 2014 r. </w:t>
      </w:r>
      <w:r w:rsidRPr="00B95FE1">
        <w:rPr>
          <w:i/>
          <w:iCs/>
          <w:color w:val="000000"/>
          <w:sz w:val="24"/>
          <w:szCs w:val="24"/>
        </w:rPr>
        <w:t>o zasadach realizacji programów operacyjnych polityki spójności finansowanych w perspektywie finansowej 2014-2020</w:t>
      </w:r>
      <w:r w:rsidRPr="00B95FE1">
        <w:rPr>
          <w:color w:val="000000"/>
          <w:sz w:val="24"/>
          <w:szCs w:val="24"/>
        </w:rPr>
        <w:t xml:space="preserve"> wnioskodawcy będący jednostkami sektora finansów publicznych w rozumieniu przepisów o finansach publicznych lub innymi podmiotami wymienionymi w art. 3 ust. 1 ustawy z dnia 29 stycznia 2004 r. </w:t>
      </w:r>
      <w:r w:rsidRPr="00B95FE1">
        <w:rPr>
          <w:i/>
          <w:iCs/>
          <w:color w:val="000000"/>
          <w:sz w:val="24"/>
          <w:szCs w:val="24"/>
        </w:rPr>
        <w:t>Prawo zamówień publicznych</w:t>
      </w:r>
      <w:r w:rsidRPr="00B95FE1">
        <w:rPr>
          <w:color w:val="000000"/>
          <w:sz w:val="24"/>
          <w:szCs w:val="24"/>
        </w:rPr>
        <w:t xml:space="preserve">, dokonują wyboru partnerów pochodzących </w:t>
      </w:r>
      <w:r w:rsidRPr="00B95FE1">
        <w:rPr>
          <w:b/>
          <w:color w:val="000000"/>
          <w:sz w:val="24"/>
          <w:szCs w:val="24"/>
        </w:rPr>
        <w:t>spoza sektora finansów publicznych</w:t>
      </w:r>
      <w:r w:rsidRPr="00B95FE1">
        <w:rPr>
          <w:color w:val="000000"/>
          <w:sz w:val="24"/>
          <w:szCs w:val="24"/>
        </w:rPr>
        <w:t xml:space="preserve"> z zachowaniem zasady przejrzystości i równego traktowania podmiotów, a w szczególności są zobowiązani do zachowania wymogów określonych w pkt 1-3 art. 33 ust. 2 ustawy wdrożeniowej:</w:t>
      </w:r>
    </w:p>
    <w:p w:rsidR="00F37111" w:rsidRPr="00B95FE1" w:rsidRDefault="00F37111" w:rsidP="00581374">
      <w:pPr>
        <w:numPr>
          <w:ilvl w:val="0"/>
          <w:numId w:val="5"/>
        </w:numPr>
        <w:spacing w:after="0"/>
        <w:rPr>
          <w:rFonts w:eastAsia="Times New Roman"/>
          <w:color w:val="000000"/>
          <w:sz w:val="24"/>
          <w:szCs w:val="24"/>
        </w:rPr>
      </w:pPr>
      <w:r w:rsidRPr="00B95FE1">
        <w:rPr>
          <w:rFonts w:eastAsia="Times New Roman"/>
          <w:b/>
          <w:bCs/>
          <w:color w:val="000000"/>
          <w:sz w:val="24"/>
          <w:szCs w:val="24"/>
        </w:rPr>
        <w:t>ogłoszenia otwartego naboru partnerów na swojej stronie internetowej wraz ze wskazaniem co najmniej 21-dniowego terminu na zgłaszanie się partnerów</w:t>
      </w:r>
      <w:r w:rsidRPr="00B95FE1">
        <w:rPr>
          <w:rFonts w:eastAsia="Times New Roman"/>
          <w:color w:val="000000"/>
          <w:sz w:val="24"/>
          <w:szCs w:val="24"/>
        </w:rPr>
        <w:t>;</w:t>
      </w:r>
    </w:p>
    <w:p w:rsidR="00F37111" w:rsidRPr="00B95FE1" w:rsidRDefault="00F37111" w:rsidP="00581374">
      <w:pPr>
        <w:numPr>
          <w:ilvl w:val="0"/>
          <w:numId w:val="5"/>
        </w:numPr>
        <w:spacing w:after="0"/>
        <w:rPr>
          <w:rFonts w:eastAsia="Times New Roman"/>
          <w:color w:val="000000"/>
          <w:sz w:val="24"/>
          <w:szCs w:val="24"/>
        </w:rPr>
      </w:pPr>
      <w:r w:rsidRPr="00B95FE1">
        <w:rPr>
          <w:rFonts w:eastAsia="Times New Roman"/>
          <w:color w:val="000000"/>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F37111" w:rsidRPr="00B95FE1" w:rsidRDefault="00F37111" w:rsidP="00581374">
      <w:pPr>
        <w:numPr>
          <w:ilvl w:val="0"/>
          <w:numId w:val="5"/>
        </w:numPr>
        <w:spacing w:after="0"/>
        <w:rPr>
          <w:rFonts w:eastAsia="Times New Roman"/>
          <w:color w:val="000000"/>
          <w:sz w:val="24"/>
          <w:szCs w:val="24"/>
        </w:rPr>
      </w:pPr>
      <w:r w:rsidRPr="00B95FE1">
        <w:rPr>
          <w:rFonts w:eastAsia="Times New Roman"/>
          <w:color w:val="000000"/>
          <w:sz w:val="24"/>
          <w:szCs w:val="24"/>
        </w:rPr>
        <w:lastRenderedPageBreak/>
        <w:t>podania do publicznej wiadomości na swojej stronie internetowej informacji o podmiotach wybranych do pełnienia funkcji partnera.</w:t>
      </w:r>
    </w:p>
    <w:p w:rsidR="00F37111" w:rsidRPr="00B95FE1" w:rsidRDefault="00F37111" w:rsidP="00581374">
      <w:pPr>
        <w:spacing w:after="0"/>
        <w:rPr>
          <w:color w:val="000000"/>
          <w:sz w:val="24"/>
          <w:szCs w:val="24"/>
        </w:rPr>
      </w:pPr>
      <w:r w:rsidRPr="00B95FE1">
        <w:rPr>
          <w:color w:val="000000"/>
          <w:sz w:val="24"/>
          <w:szCs w:val="24"/>
        </w:rPr>
        <w:t>Ponadto wybór partnerów spoza sektora finansów publicznych musi być dokonany przed złożeniem wniosku o dofinansowanie projektu partnerskiego. Prawidłowość wyboru partnera do projektu będzie podlegała kontroli przed podpisaniem umowy o dofinansowanie.</w:t>
      </w:r>
    </w:p>
    <w:p w:rsidR="004F0383" w:rsidRPr="00B95FE1" w:rsidRDefault="00F37111" w:rsidP="00581374">
      <w:pPr>
        <w:spacing w:after="0"/>
        <w:rPr>
          <w:sz w:val="24"/>
          <w:szCs w:val="24"/>
        </w:rPr>
      </w:pPr>
      <w:r w:rsidRPr="00B95FE1">
        <w:rPr>
          <w:b/>
          <w:sz w:val="24"/>
          <w:szCs w:val="24"/>
        </w:rPr>
        <w:t>Jeżeli wnioskodawcą będzie organ prowadzący czyli ministerstwo to ministerstwo powinno przeprowadzić procedurę wyboru partnera.</w:t>
      </w:r>
      <w:r w:rsidR="004F0383" w:rsidRPr="00B95FE1">
        <w:rPr>
          <w:b/>
          <w:sz w:val="24"/>
          <w:szCs w:val="24"/>
        </w:rPr>
        <w:t xml:space="preserve"> </w:t>
      </w:r>
      <w:r w:rsidR="004F0383" w:rsidRPr="00B95FE1">
        <w:rPr>
          <w:sz w:val="24"/>
          <w:szCs w:val="24"/>
        </w:rPr>
        <w:t xml:space="preserve">Wyłącznie podmiot posiadający osobowość prawną może wejść w rolę wnioskodawcy/beneficjenta lub partnera w projekcie. </w:t>
      </w:r>
    </w:p>
    <w:p w:rsidR="00F37111" w:rsidRPr="00B95FE1" w:rsidRDefault="00F37111" w:rsidP="00581374">
      <w:pPr>
        <w:autoSpaceDE w:val="0"/>
        <w:autoSpaceDN w:val="0"/>
        <w:spacing w:after="0"/>
        <w:rPr>
          <w:sz w:val="24"/>
          <w:szCs w:val="24"/>
        </w:rPr>
      </w:pPr>
      <w:r w:rsidRPr="00B95FE1">
        <w:rPr>
          <w:sz w:val="24"/>
          <w:szCs w:val="24"/>
        </w:rPr>
        <w:t>Zgodnie z brzmieniem kryterium dostępu, Wnioskodawcą może być organ prowadzący szkołę prowadzącą kształcenie zawodowe, natomiast szkoła prowadząca kształcenie zawodowe może stanowić „realizatora projektu”. Obowiązek przeprowadzenia procedury wyboru partnera spoczywa na Wnioskodawcy jako organie prowadzącym szkołę, w tym również ogłoszenie o naborze partnerów do projektu powinno być umieszczone na stronie Wnioskodawcy.</w:t>
      </w:r>
      <w:r w:rsidR="004F0383" w:rsidRPr="00B95FE1">
        <w:rPr>
          <w:sz w:val="24"/>
          <w:szCs w:val="24"/>
        </w:rPr>
        <w:t xml:space="preserve"> Publikowanie zapytania na stronie internetowej nie jest czynnością, którą organ prowadzący realizuje zamiast szkoły, gdyż w tym wypadku jest to wprost zadanie tego organu.</w:t>
      </w:r>
    </w:p>
    <w:p w:rsidR="00F37111" w:rsidRPr="00B95FE1" w:rsidRDefault="00F37111" w:rsidP="00581374">
      <w:pPr>
        <w:pStyle w:val="NormalnyWeb"/>
        <w:spacing w:before="0" w:beforeAutospacing="0" w:after="0" w:afterAutospacing="0" w:line="276" w:lineRule="auto"/>
        <w:ind w:hanging="20"/>
        <w:rPr>
          <w:rFonts w:asciiTheme="minorHAnsi" w:hAnsiTheme="minorHAnsi"/>
        </w:rPr>
      </w:pPr>
    </w:p>
    <w:p w:rsidR="00F37111" w:rsidRPr="00B95FE1" w:rsidRDefault="00F37111"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F37111" w:rsidRPr="00B95FE1" w:rsidRDefault="004F0383"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w konkursie 10.4.1 wnioskodawcą może być organizacja pozarządowa, która jest organem prowadzącym szkołę podstawową, a więc działa w oświacie, ale nie ma powiązań ze szkołą zawodową, w partnerstwie z którą chciałaby złożyć wniosek w charakterze Lidera. Szkoła zawodowa jest prowadzona przez Powiat.</w:t>
      </w:r>
    </w:p>
    <w:p w:rsidR="00F37111" w:rsidRPr="00B95FE1" w:rsidRDefault="00F37111"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zgodnie z </w:t>
      </w:r>
      <w:r w:rsidRPr="00B95FE1">
        <w:rPr>
          <w:rFonts w:asciiTheme="minorHAnsi" w:hAnsiTheme="minorHAnsi" w:cs="Arial"/>
          <w:b/>
          <w:bCs/>
          <w:color w:val="000000"/>
        </w:rPr>
        <w:t>kryterium dostępu nr 4</w:t>
      </w:r>
      <w:r w:rsidRPr="00B95FE1">
        <w:rPr>
          <w:rFonts w:asciiTheme="minorHAnsi" w:hAnsiTheme="minorHAnsi" w:cs="Arial"/>
          <w:color w:val="000000"/>
        </w:rPr>
        <w:t xml:space="preserve">, wnioski w ramach niniejszego naboru mogą składać </w:t>
      </w:r>
      <w:r w:rsidRPr="00B95FE1">
        <w:rPr>
          <w:rFonts w:asciiTheme="minorHAnsi" w:hAnsiTheme="minorHAnsi" w:cs="Arial"/>
          <w:b/>
          <w:bCs/>
          <w:color w:val="000000"/>
        </w:rPr>
        <w:t>jedynie organy prowadzące szkołę lub placówkę oświatową, realizującą kształcenie zawodowe w rozumieniu ustawy Prawo oświatowe lub instytucje rynku pracy</w:t>
      </w:r>
      <w:r w:rsidRPr="00B95FE1">
        <w:rPr>
          <w:rFonts w:asciiTheme="minorHAnsi" w:hAnsiTheme="minorHAnsi" w:cs="Arial"/>
          <w:color w:val="000000"/>
        </w:rPr>
        <w:t xml:space="preserve">, o których mowa w ustawie o promocji zatrudnienia i instytucjach rynku pracy, prowadzące działalność edukacyjno-szkoleniową, pracodawcy, przedsiębiorcy lub organizacje pracodawców. </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Zgodnie z </w:t>
      </w:r>
      <w:r w:rsidRPr="00B95FE1">
        <w:rPr>
          <w:rFonts w:asciiTheme="minorHAnsi" w:hAnsiTheme="minorHAnsi" w:cs="Arial"/>
          <w:b/>
          <w:bCs/>
          <w:color w:val="000000"/>
        </w:rPr>
        <w:t>kryterium dostępu nr 5</w:t>
      </w:r>
      <w:r w:rsidRPr="00B95FE1">
        <w:rPr>
          <w:rFonts w:asciiTheme="minorHAnsi" w:hAnsiTheme="minorHAnsi" w:cs="Arial"/>
          <w:color w:val="000000"/>
        </w:rPr>
        <w:t xml:space="preserve">, w przypadku </w:t>
      </w:r>
      <w:r w:rsidRPr="00B95FE1">
        <w:rPr>
          <w:rFonts w:asciiTheme="minorHAnsi" w:hAnsiTheme="minorHAnsi" w:cs="Arial"/>
          <w:b/>
          <w:bCs/>
          <w:color w:val="000000"/>
        </w:rPr>
        <w:t>gdy Wnioskodawcą jest</w:t>
      </w:r>
      <w:r w:rsidRPr="00B95FE1">
        <w:rPr>
          <w:rFonts w:asciiTheme="minorHAnsi" w:hAnsiTheme="minorHAnsi" w:cs="Arial"/>
          <w:color w:val="000000"/>
        </w:rPr>
        <w:t xml:space="preserve"> </w:t>
      </w:r>
      <w:r w:rsidRPr="00B95FE1">
        <w:rPr>
          <w:rFonts w:asciiTheme="minorHAnsi" w:hAnsiTheme="minorHAnsi" w:cs="Arial"/>
          <w:b/>
          <w:bCs/>
          <w:color w:val="000000"/>
        </w:rPr>
        <w:t>instytucja rynku pracy</w:t>
      </w:r>
      <w:r w:rsidRPr="00B95FE1">
        <w:rPr>
          <w:rFonts w:asciiTheme="minorHAnsi" w:hAnsiTheme="minorHAnsi" w:cs="Arial"/>
          <w:color w:val="000000"/>
        </w:rPr>
        <w:t xml:space="preserve">, o której mowa w ustawie o promocji zatrudnienia i instytucjach rynku pracy, prowadząca działalność edukacyjno-oświatową, pracodawca, przedsiębiorca lub organizacja pracodawców, </w:t>
      </w:r>
      <w:r w:rsidRPr="00B95FE1">
        <w:rPr>
          <w:rFonts w:asciiTheme="minorHAnsi" w:hAnsiTheme="minorHAnsi" w:cs="Arial"/>
          <w:b/>
          <w:bCs/>
          <w:color w:val="000000"/>
        </w:rPr>
        <w:t>projekt powinien być partnerski</w:t>
      </w:r>
      <w:r w:rsidRPr="00B95FE1">
        <w:rPr>
          <w:rFonts w:asciiTheme="minorHAnsi" w:hAnsiTheme="minorHAnsi" w:cs="Arial"/>
          <w:color w:val="000000"/>
        </w:rPr>
        <w:t xml:space="preserve"> - Partnerem musi być organ prowadzący szkołę lub placówkę oświatową realizującą kształcenie zawodowe w rozumieniu ustawy o systemie oświaty.</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 Zatem </w:t>
      </w:r>
      <w:r w:rsidR="001C742F" w:rsidRPr="00B95FE1">
        <w:rPr>
          <w:rFonts w:asciiTheme="minorHAnsi" w:hAnsiTheme="minorHAnsi" w:cs="Arial"/>
          <w:b/>
          <w:bCs/>
          <w:color w:val="000000"/>
        </w:rPr>
        <w:t xml:space="preserve">organizacja pozarządowa prowadząca </w:t>
      </w:r>
      <w:r w:rsidR="002D354B" w:rsidRPr="00B95FE1">
        <w:rPr>
          <w:rFonts w:asciiTheme="minorHAnsi" w:hAnsiTheme="minorHAnsi" w:cs="Arial"/>
          <w:b/>
          <w:bCs/>
          <w:color w:val="000000"/>
        </w:rPr>
        <w:t>szkołę podstawową nie może być</w:t>
      </w:r>
      <w:r w:rsidRPr="00B95FE1">
        <w:rPr>
          <w:rFonts w:asciiTheme="minorHAnsi" w:hAnsiTheme="minorHAnsi" w:cs="Arial"/>
          <w:b/>
          <w:bCs/>
          <w:color w:val="000000"/>
        </w:rPr>
        <w:t xml:space="preserve"> wnioskodawcą w przedmiotowym konkursie jako organ prowadzący szkołę ogólnokształcąca</w:t>
      </w:r>
      <w:r w:rsidRPr="00B95FE1">
        <w:rPr>
          <w:rFonts w:asciiTheme="minorHAnsi" w:hAnsiTheme="minorHAnsi" w:cs="Arial"/>
          <w:color w:val="000000"/>
        </w:rPr>
        <w:t xml:space="preserve">. </w:t>
      </w:r>
    </w:p>
    <w:p w:rsidR="004F0383"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W</w:t>
      </w:r>
      <w:r w:rsidR="004F0383" w:rsidRPr="00B95FE1">
        <w:rPr>
          <w:rFonts w:asciiTheme="minorHAnsi" w:hAnsiTheme="minorHAnsi" w:cs="Arial"/>
          <w:color w:val="000000"/>
        </w:rPr>
        <w:t>nioskodawcą</w:t>
      </w:r>
      <w:r w:rsidRPr="00B95FE1">
        <w:rPr>
          <w:rFonts w:asciiTheme="minorHAnsi" w:hAnsiTheme="minorHAnsi" w:cs="Arial"/>
          <w:color w:val="000000"/>
        </w:rPr>
        <w:t xml:space="preserve"> może być</w:t>
      </w:r>
      <w:r w:rsidR="004F0383" w:rsidRPr="00B95FE1">
        <w:rPr>
          <w:rFonts w:asciiTheme="minorHAnsi" w:hAnsiTheme="minorHAnsi" w:cs="Arial"/>
          <w:color w:val="000000"/>
        </w:rPr>
        <w:t xml:space="preserve">: </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 </w:t>
      </w:r>
      <w:r w:rsidRPr="00B95FE1">
        <w:rPr>
          <w:rFonts w:asciiTheme="minorHAnsi" w:hAnsiTheme="minorHAnsi" w:cs="Arial"/>
          <w:b/>
          <w:bCs/>
          <w:color w:val="000000"/>
        </w:rPr>
        <w:t>instytucj</w:t>
      </w:r>
      <w:r w:rsidR="002D354B" w:rsidRPr="00B95FE1">
        <w:rPr>
          <w:rFonts w:asciiTheme="minorHAnsi" w:hAnsiTheme="minorHAnsi" w:cs="Arial"/>
          <w:b/>
          <w:bCs/>
          <w:color w:val="000000"/>
        </w:rPr>
        <w:t>a</w:t>
      </w:r>
      <w:r w:rsidRPr="00B95FE1">
        <w:rPr>
          <w:rFonts w:asciiTheme="minorHAnsi" w:hAnsiTheme="minorHAnsi" w:cs="Arial"/>
          <w:b/>
          <w:bCs/>
          <w:color w:val="000000"/>
        </w:rPr>
        <w:t xml:space="preserve"> rynku pracy</w:t>
      </w:r>
      <w:r w:rsidRPr="00B95FE1">
        <w:rPr>
          <w:rFonts w:asciiTheme="minorHAnsi" w:hAnsiTheme="minorHAnsi" w:cs="Arial"/>
          <w:color w:val="000000"/>
        </w:rPr>
        <w:t xml:space="preserve">, o których mowa w ustawie o promocji zatrudnienia i instytucjach rynku pracy, prowadzące działalność edukacyjno-szkoleniową, </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lastRenderedPageBreak/>
        <w:t xml:space="preserve">- </w:t>
      </w:r>
      <w:r w:rsidRPr="00B95FE1">
        <w:rPr>
          <w:rFonts w:asciiTheme="minorHAnsi" w:hAnsiTheme="minorHAnsi" w:cs="Arial"/>
          <w:b/>
          <w:bCs/>
          <w:color w:val="000000"/>
        </w:rPr>
        <w:t>pracodawc</w:t>
      </w:r>
      <w:r w:rsidR="002D354B" w:rsidRPr="00B95FE1">
        <w:rPr>
          <w:rFonts w:asciiTheme="minorHAnsi" w:hAnsiTheme="minorHAnsi" w:cs="Arial"/>
          <w:b/>
          <w:bCs/>
          <w:color w:val="000000"/>
        </w:rPr>
        <w:t>a</w:t>
      </w:r>
      <w:r w:rsidRPr="00B95FE1">
        <w:rPr>
          <w:rFonts w:asciiTheme="minorHAnsi" w:hAnsiTheme="minorHAnsi" w:cs="Arial"/>
          <w:color w:val="000000"/>
        </w:rPr>
        <w:t xml:space="preserve">, </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 </w:t>
      </w:r>
      <w:r w:rsidRPr="00B95FE1">
        <w:rPr>
          <w:rFonts w:asciiTheme="minorHAnsi" w:hAnsiTheme="minorHAnsi" w:cs="Arial"/>
          <w:b/>
          <w:bCs/>
          <w:color w:val="000000"/>
        </w:rPr>
        <w:t>przedsiębiorc</w:t>
      </w:r>
      <w:r w:rsidR="002D354B" w:rsidRPr="00B95FE1">
        <w:rPr>
          <w:rFonts w:asciiTheme="minorHAnsi" w:hAnsiTheme="minorHAnsi" w:cs="Arial"/>
          <w:b/>
          <w:bCs/>
          <w:color w:val="000000"/>
        </w:rPr>
        <w:t>a</w:t>
      </w:r>
      <w:r w:rsidRPr="00B95FE1">
        <w:rPr>
          <w:rFonts w:asciiTheme="minorHAnsi" w:hAnsiTheme="minorHAnsi" w:cs="Arial"/>
          <w:color w:val="000000"/>
        </w:rPr>
        <w:t xml:space="preserve"> </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lub organizacj</w:t>
      </w:r>
      <w:r w:rsidR="002D354B" w:rsidRPr="00B95FE1">
        <w:rPr>
          <w:rFonts w:asciiTheme="minorHAnsi" w:hAnsiTheme="minorHAnsi" w:cs="Arial"/>
          <w:color w:val="000000"/>
        </w:rPr>
        <w:t>a</w:t>
      </w:r>
      <w:r w:rsidRPr="00B95FE1">
        <w:rPr>
          <w:rFonts w:asciiTheme="minorHAnsi" w:hAnsiTheme="minorHAnsi" w:cs="Arial"/>
          <w:color w:val="000000"/>
        </w:rPr>
        <w:t xml:space="preserve"> pracodawców </w:t>
      </w:r>
    </w:p>
    <w:p w:rsidR="004F0383" w:rsidRPr="00B95FE1" w:rsidRDefault="004F0383"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i </w:t>
      </w:r>
      <w:r w:rsidRPr="00B95FE1">
        <w:rPr>
          <w:rFonts w:asciiTheme="minorHAnsi" w:hAnsiTheme="minorHAnsi" w:cs="Arial"/>
          <w:b/>
          <w:color w:val="000000"/>
        </w:rPr>
        <w:t>pod warunkiem, że Partnerem projektu będzie wówczas organ prowadzący szkołę lub placówkę oświatową realizującą kształcenie zawodowe</w:t>
      </w:r>
      <w:r w:rsidRPr="00B95FE1">
        <w:rPr>
          <w:rFonts w:asciiTheme="minorHAnsi" w:hAnsiTheme="minorHAnsi" w:cs="Arial"/>
          <w:color w:val="000000"/>
        </w:rPr>
        <w:t xml:space="preserve"> w rozumieniu ustawy o systemie oświaty (czyli np. powiat będący organem prowadzącym szkołę zawodową).</w:t>
      </w:r>
    </w:p>
    <w:p w:rsidR="00F37111" w:rsidRPr="00B95FE1" w:rsidRDefault="00F37111" w:rsidP="00581374">
      <w:pPr>
        <w:pStyle w:val="NormalnyWeb"/>
        <w:spacing w:before="0" w:beforeAutospacing="0" w:after="0" w:afterAutospacing="0" w:line="276" w:lineRule="auto"/>
        <w:ind w:hanging="20"/>
        <w:rPr>
          <w:rFonts w:asciiTheme="minorHAnsi" w:hAnsiTheme="minorHAnsi"/>
        </w:rPr>
      </w:pPr>
    </w:p>
    <w:p w:rsidR="004F0383" w:rsidRPr="00B95FE1" w:rsidRDefault="004F0383"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4F0383" w:rsidRPr="00B95FE1" w:rsidRDefault="002D354B"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w:t>
      </w:r>
      <w:r w:rsidR="00011BBE" w:rsidRPr="00B95FE1">
        <w:rPr>
          <w:rFonts w:asciiTheme="minorHAnsi" w:hAnsiTheme="minorHAnsi" w:cs="Arial"/>
          <w:color w:val="000000"/>
        </w:rPr>
        <w:t xml:space="preserve"> Fundacja </w:t>
      </w:r>
      <w:r w:rsidRPr="00B95FE1">
        <w:rPr>
          <w:rFonts w:asciiTheme="minorHAnsi" w:hAnsiTheme="minorHAnsi" w:cs="Arial"/>
          <w:color w:val="000000"/>
        </w:rPr>
        <w:t xml:space="preserve">będąca organem prowadzącym CIS </w:t>
      </w:r>
      <w:r w:rsidR="00011BBE" w:rsidRPr="00B95FE1">
        <w:rPr>
          <w:rFonts w:asciiTheme="minorHAnsi" w:hAnsiTheme="minorHAnsi" w:cs="Arial"/>
          <w:color w:val="000000"/>
        </w:rPr>
        <w:t>również nie może być wnioskodawcą w konkursie 10.4.1?</w:t>
      </w:r>
    </w:p>
    <w:p w:rsidR="004F0383" w:rsidRPr="00B95FE1" w:rsidRDefault="004F0383"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 xml:space="preserve">Zgodnie z definicją ustawową </w:t>
      </w:r>
      <w:r w:rsidRPr="00B95FE1">
        <w:rPr>
          <w:rFonts w:asciiTheme="minorHAnsi" w:hAnsiTheme="minorHAnsi"/>
          <w:b/>
          <w:bCs/>
        </w:rPr>
        <w:t>instytucje rynku pracy</w:t>
      </w:r>
      <w:r w:rsidRPr="00B95FE1">
        <w:rPr>
          <w:rFonts w:asciiTheme="minorHAnsi" w:hAnsiTheme="minorHAnsi"/>
        </w:rPr>
        <w:t xml:space="preserve">, o których mowa w art. 6 Ustawy o promocji zatrudnienia i instytucjach rynku pracy (Dz. U. z 2018 r. poz. 1265, z </w:t>
      </w:r>
      <w:proofErr w:type="spellStart"/>
      <w:r w:rsidRPr="00B95FE1">
        <w:rPr>
          <w:rFonts w:asciiTheme="minorHAnsi" w:hAnsiTheme="minorHAnsi"/>
        </w:rPr>
        <w:t>późn</w:t>
      </w:r>
      <w:proofErr w:type="spellEnd"/>
      <w:r w:rsidRPr="00B95FE1">
        <w:rPr>
          <w:rFonts w:asciiTheme="minorHAnsi" w:hAnsiTheme="minorHAnsi"/>
        </w:rPr>
        <w:t>. zm.) to instytucje rynku pracy realizujące zadania określone w ustawie są to:</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1)publiczne służby zatrudnienia;</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2)Ochotnicze Hufce Pracy;</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3)agencje zatrudnienia;</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4)instytucje szkoleniowe;</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5)instytucje dialogu społecznego;</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6)instytucje partnerstwa lokalnego.</w:t>
      </w:r>
    </w:p>
    <w:p w:rsidR="004F0383" w:rsidRPr="00B95FE1" w:rsidRDefault="0014773A" w:rsidP="00581374">
      <w:pPr>
        <w:pStyle w:val="Zwykytekst"/>
        <w:spacing w:line="276" w:lineRule="auto"/>
        <w:rPr>
          <w:rFonts w:asciiTheme="minorHAnsi" w:hAnsiTheme="minorHAnsi"/>
        </w:rPr>
      </w:pPr>
      <w:hyperlink r:id="rId5" w:history="1">
        <w:r w:rsidR="004F0383" w:rsidRPr="00B95FE1">
          <w:rPr>
            <w:rStyle w:val="Hipercze"/>
            <w:rFonts w:asciiTheme="minorHAnsi" w:hAnsiTheme="minorHAnsi"/>
            <w:u w:val="none"/>
          </w:rPr>
          <w:t>http://prawo.sejm.gov.pl/isap.nsf/download.xsp/WDU20040991001/U/D20041001Lj.pdf</w:t>
        </w:r>
      </w:hyperlink>
      <w:r w:rsidR="004F0383" w:rsidRPr="00B95FE1">
        <w:rPr>
          <w:rFonts w:asciiTheme="minorHAnsi" w:hAnsiTheme="minorHAnsi"/>
        </w:rPr>
        <w:t xml:space="preserve"> </w:t>
      </w:r>
    </w:p>
    <w:p w:rsidR="004F0383" w:rsidRPr="00B95FE1" w:rsidRDefault="004F0383" w:rsidP="00581374">
      <w:pPr>
        <w:pStyle w:val="Zwykytekst"/>
        <w:spacing w:line="276" w:lineRule="auto"/>
        <w:rPr>
          <w:rFonts w:asciiTheme="minorHAnsi" w:hAnsiTheme="minorHAnsi"/>
        </w:rPr>
      </w:pP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 xml:space="preserve">Natomiast </w:t>
      </w:r>
      <w:r w:rsidRPr="00B95FE1">
        <w:rPr>
          <w:rFonts w:asciiTheme="minorHAnsi" w:hAnsiTheme="minorHAnsi"/>
          <w:b/>
          <w:bCs/>
        </w:rPr>
        <w:t>Centrum Integracji Społecznej</w:t>
      </w:r>
      <w:r w:rsidRPr="00B95FE1">
        <w:rPr>
          <w:rFonts w:asciiTheme="minorHAnsi" w:hAnsiTheme="minorHAnsi"/>
        </w:rPr>
        <w:t xml:space="preserve"> to instytucja (</w:t>
      </w:r>
      <w:r w:rsidRPr="00B95FE1">
        <w:rPr>
          <w:rFonts w:asciiTheme="minorHAnsi" w:hAnsiTheme="minorHAnsi"/>
          <w:b/>
          <w:bCs/>
        </w:rPr>
        <w:t>podmiot ekonomii społecznej</w:t>
      </w:r>
      <w:r w:rsidRPr="00B95FE1">
        <w:rPr>
          <w:rFonts w:asciiTheme="minorHAnsi" w:hAnsiTheme="minorHAnsi"/>
        </w:rPr>
        <w:t xml:space="preserve"> ) realizująca specjalistyczny program pracy z osobami wykluczonymi społecznie lub zagrożonymi wykluczeniem, w określonym czasie.</w:t>
      </w:r>
    </w:p>
    <w:p w:rsidR="004F0383" w:rsidRPr="00B95FE1" w:rsidRDefault="004F0383" w:rsidP="00581374">
      <w:pPr>
        <w:pStyle w:val="Zwykytekst"/>
        <w:spacing w:line="276" w:lineRule="auto"/>
        <w:rPr>
          <w:rFonts w:asciiTheme="minorHAnsi" w:hAnsiTheme="minorHAnsi"/>
        </w:rPr>
      </w:pPr>
      <w:r w:rsidRPr="00B95FE1">
        <w:rPr>
          <w:rFonts w:asciiTheme="minorHAnsi" w:hAnsiTheme="minorHAnsi"/>
        </w:rPr>
        <w:t xml:space="preserve">Działalność CIS została określona w przepisach ustawy z dnia 13 czerwca 2003 r. o zatrudnieniu socjalnym (Dz. U. z 2011 roku Nr 43, poz. 225, </w:t>
      </w:r>
      <w:proofErr w:type="spellStart"/>
      <w:r w:rsidRPr="00B95FE1">
        <w:rPr>
          <w:rFonts w:asciiTheme="minorHAnsi" w:hAnsiTheme="minorHAnsi"/>
        </w:rPr>
        <w:t>późn</w:t>
      </w:r>
      <w:proofErr w:type="spellEnd"/>
      <w:r w:rsidRPr="00B95FE1">
        <w:rPr>
          <w:rFonts w:asciiTheme="minorHAnsi" w:hAnsiTheme="minorHAnsi"/>
        </w:rPr>
        <w:t>. zm.)</w:t>
      </w:r>
    </w:p>
    <w:p w:rsidR="004F0383" w:rsidRPr="00B95FE1" w:rsidRDefault="0014773A" w:rsidP="00581374">
      <w:pPr>
        <w:pStyle w:val="Zwykytekst"/>
        <w:spacing w:line="276" w:lineRule="auto"/>
        <w:rPr>
          <w:rFonts w:asciiTheme="minorHAnsi" w:hAnsiTheme="minorHAnsi"/>
        </w:rPr>
      </w:pPr>
      <w:hyperlink r:id="rId6" w:history="1">
        <w:r w:rsidR="004F0383" w:rsidRPr="00B95FE1">
          <w:rPr>
            <w:rStyle w:val="Hipercze"/>
            <w:rFonts w:asciiTheme="minorHAnsi" w:hAnsiTheme="minorHAnsi"/>
            <w:u w:val="none"/>
          </w:rPr>
          <w:t>http://prawo.sejm.gov.pl/isap.nsf/download.xsp/WDU20110430225/T/D20110225L.pdf</w:t>
        </w:r>
      </w:hyperlink>
      <w:r w:rsidR="004F0383" w:rsidRPr="00B95FE1">
        <w:rPr>
          <w:rFonts w:asciiTheme="minorHAnsi" w:hAnsiTheme="minorHAnsi"/>
        </w:rPr>
        <w:t xml:space="preserve"> </w:t>
      </w:r>
    </w:p>
    <w:p w:rsidR="004F0383" w:rsidRPr="00B95FE1" w:rsidRDefault="004F0383" w:rsidP="00581374">
      <w:pPr>
        <w:pStyle w:val="Zwykytekst"/>
        <w:spacing w:line="276" w:lineRule="auto"/>
        <w:rPr>
          <w:rFonts w:asciiTheme="minorHAnsi" w:hAnsiTheme="minorHAnsi"/>
        </w:rPr>
      </w:pPr>
    </w:p>
    <w:p w:rsidR="004F0383" w:rsidRPr="00B95FE1" w:rsidRDefault="004F0383" w:rsidP="00581374">
      <w:pPr>
        <w:pStyle w:val="Default"/>
        <w:spacing w:line="276" w:lineRule="auto"/>
        <w:rPr>
          <w:rFonts w:asciiTheme="minorHAnsi" w:hAnsiTheme="minorHAnsi"/>
          <w:b/>
          <w:bCs/>
        </w:rPr>
      </w:pPr>
      <w:r w:rsidRPr="00B95FE1">
        <w:rPr>
          <w:rFonts w:asciiTheme="minorHAnsi" w:hAnsiTheme="minorHAnsi"/>
        </w:rPr>
        <w:t xml:space="preserve">Wsparcie dla CIS jest możliwe w działaniu </w:t>
      </w:r>
      <w:r w:rsidRPr="00B95FE1">
        <w:rPr>
          <w:rFonts w:asciiTheme="minorHAnsi" w:hAnsiTheme="minorHAnsi"/>
          <w:b/>
          <w:bCs/>
        </w:rPr>
        <w:t xml:space="preserve">9.4.A. Regionalnego Programu Operacyjnego Województwa Dolnośląskiego 2014-2020 (RPO WD )- </w:t>
      </w:r>
      <w:r w:rsidRPr="00B95FE1">
        <w:rPr>
          <w:rFonts w:asciiTheme="minorHAnsi" w:hAnsiTheme="minorHAnsi"/>
        </w:rPr>
        <w:t>Usługi wsparcia ekonomii społecznej i przedsiębiorstw społecznych</w:t>
      </w:r>
      <w:r w:rsidRPr="00B95FE1">
        <w:rPr>
          <w:rFonts w:asciiTheme="minorHAnsi" w:hAnsiTheme="minorHAnsi"/>
          <w:b/>
          <w:bCs/>
        </w:rPr>
        <w:t xml:space="preserve"> – </w:t>
      </w:r>
      <w:r w:rsidRPr="00B95FE1">
        <w:rPr>
          <w:rFonts w:asciiTheme="minorHAnsi" w:hAnsiTheme="minorHAnsi"/>
        </w:rPr>
        <w:t>natomiast w roku 2020 nie przewiduje się naboru w ramach tego działania</w:t>
      </w:r>
      <w:r w:rsidRPr="00B95FE1">
        <w:rPr>
          <w:rFonts w:asciiTheme="minorHAnsi" w:hAnsiTheme="minorHAnsi"/>
          <w:b/>
          <w:bCs/>
        </w:rPr>
        <w:t>.</w:t>
      </w:r>
    </w:p>
    <w:p w:rsidR="004F0383" w:rsidRPr="00B95FE1" w:rsidRDefault="004F0383" w:rsidP="00581374">
      <w:pPr>
        <w:pStyle w:val="NormalnyWeb"/>
        <w:spacing w:before="0" w:beforeAutospacing="0" w:after="0" w:afterAutospacing="0" w:line="276" w:lineRule="auto"/>
        <w:ind w:hanging="20"/>
        <w:rPr>
          <w:rFonts w:asciiTheme="minorHAnsi" w:hAnsiTheme="minorHAnsi"/>
        </w:rPr>
      </w:pPr>
    </w:p>
    <w:p w:rsidR="002D354B" w:rsidRPr="00B95FE1" w:rsidRDefault="002D354B"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D354B" w:rsidRPr="00B95FE1" w:rsidRDefault="002D354B"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xml:space="preserve">Czy w ramach konkursu 10.4.1 można zorganizować w CKZ </w:t>
      </w:r>
      <w:r w:rsidR="00581374" w:rsidRPr="00B95FE1">
        <w:rPr>
          <w:rFonts w:asciiTheme="minorHAnsi" w:hAnsiTheme="minorHAnsi" w:cs="Arial"/>
          <w:color w:val="000000"/>
        </w:rPr>
        <w:t xml:space="preserve">Kwalifikacyjne Kursy Zawodowe dla słuchaczy CKZ (w tym uczniów innych szkół zawodowych oraz osób z rynku) </w:t>
      </w:r>
      <w:r w:rsidRPr="00B95FE1">
        <w:rPr>
          <w:rFonts w:asciiTheme="minorHAnsi" w:hAnsiTheme="minorHAnsi" w:cs="Arial"/>
          <w:color w:val="000000"/>
        </w:rPr>
        <w:t>?</w:t>
      </w:r>
    </w:p>
    <w:p w:rsidR="002D354B" w:rsidRPr="00B95FE1" w:rsidRDefault="002D354B"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Przede wszystkim należy pamiętać, że formy wsparcia opisane w </w:t>
      </w:r>
      <w:r w:rsidR="00581374" w:rsidRPr="00B95FE1">
        <w:rPr>
          <w:rFonts w:asciiTheme="minorHAnsi" w:hAnsiTheme="minorHAnsi" w:cs="Arial"/>
          <w:color w:val="000000"/>
        </w:rPr>
        <w:t>typach działania 10.4 B-E i 10.4 G-H</w:t>
      </w:r>
      <w:r w:rsidRPr="00B95FE1">
        <w:rPr>
          <w:rFonts w:asciiTheme="minorHAnsi" w:hAnsiTheme="minorHAnsi" w:cs="Arial"/>
          <w:color w:val="000000"/>
        </w:rPr>
        <w:t xml:space="preserve"> mogą stanowić wyłącznie uzupełnienie działań realizowanych w ramach formy wsparcia </w:t>
      </w:r>
      <w:r w:rsidR="00581374" w:rsidRPr="00B95FE1">
        <w:rPr>
          <w:rFonts w:asciiTheme="minorHAnsi" w:hAnsiTheme="minorHAnsi" w:cs="Arial"/>
          <w:color w:val="000000"/>
        </w:rPr>
        <w:t>w ramach typu działania 10.4 A (staże uczniowskie)</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lastRenderedPageBreak/>
        <w:t xml:space="preserve">Natomiast wsparcie w ramach 10.4 kierowane może być do: </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 uczniów i słuchaczy szkół i placówek prowadzących kształcenie zawodowe; </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 szkół i placówek (instytucji i kadry pedagogicznej), prowadzących kształcenie zawodowe; </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xml:space="preserve">- nauczycieli, w tym nauczycieli kształcenia zawodowego; </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instruktorów praktycznej nauki zawodu;</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opiekunów i rodziców młodzieży wspieranych szkół i placówek – z uwagi na działania przyczyniające się do zwiększonego i pełnego udziału młodzieży o specjalnych potrzebach edukacyjnych i rozwojowych (m.in. uczniowie z niepełnosprawnościami, uczniowie uzdolnieni, zagrożeni przedwczesnym kończeniem nauki);</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szkół i placówek systemu oświaty prowadzących kształcenie ustawiczne, i ich organów  prowadzących;</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 instytucji z otoczenia społeczno-gospodarczego.</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Należy również pamiętać o kryterium dostępu nr 3: kryterium formy wsparcia:</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Czy projekt zakłada, że co najmniej 70% wszystkich uczniów i słuchaczy objętych wsparciem w projekcie weźmie udział w stażach uczniowskich u pracodawców?</w:t>
      </w:r>
    </w:p>
    <w:p w:rsidR="002D354B" w:rsidRPr="00B95FE1" w:rsidRDefault="002D354B" w:rsidP="00581374">
      <w:pPr>
        <w:pStyle w:val="NormalnyWeb"/>
        <w:spacing w:before="0" w:beforeAutospacing="0" w:after="0" w:afterAutospacing="0" w:line="276" w:lineRule="auto"/>
        <w:ind w:hanging="20"/>
        <w:rPr>
          <w:rFonts w:asciiTheme="minorHAnsi" w:hAnsiTheme="minorHAnsi" w:cs="Arial"/>
          <w:color w:val="000000"/>
        </w:rPr>
      </w:pPr>
      <w:r w:rsidRPr="00B95FE1">
        <w:rPr>
          <w:rFonts w:asciiTheme="minorHAnsi" w:hAnsiTheme="minorHAnsi" w:cs="Arial"/>
          <w:color w:val="000000"/>
        </w:rPr>
        <w:t>Biorąc pod uwagę powyższe IOK nie widzi możliwości realizacji projektu polegającego na szkoleniach otwartych dla słuchaczy KKZ.</w:t>
      </w:r>
    </w:p>
    <w:p w:rsidR="004F0383" w:rsidRPr="00B95FE1" w:rsidRDefault="004F0383" w:rsidP="00581374">
      <w:pPr>
        <w:pStyle w:val="NormalnyWeb"/>
        <w:spacing w:before="0" w:beforeAutospacing="0" w:after="0" w:afterAutospacing="0" w:line="276" w:lineRule="auto"/>
        <w:ind w:hanging="20"/>
        <w:rPr>
          <w:rFonts w:asciiTheme="minorHAnsi" w:hAnsiTheme="minorHAnsi"/>
        </w:rPr>
      </w:pPr>
    </w:p>
    <w:p w:rsidR="00581374" w:rsidRPr="00B95FE1" w:rsidRDefault="00581374"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581374" w:rsidRPr="00B95FE1" w:rsidRDefault="00581374"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w projekcie w ramach 10.4 Partnerem może być Dolnośląska Izba Rzemieślnicza?</w:t>
      </w:r>
    </w:p>
    <w:p w:rsidR="00581374" w:rsidRPr="00B95FE1" w:rsidRDefault="00581374"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581374" w:rsidRPr="00B95FE1" w:rsidRDefault="00581374" w:rsidP="00581374">
      <w:pPr>
        <w:pStyle w:val="NormalnyWeb"/>
        <w:spacing w:before="0" w:beforeAutospacing="0" w:after="0" w:afterAutospacing="0" w:line="276" w:lineRule="auto"/>
        <w:rPr>
          <w:rFonts w:asciiTheme="minorHAnsi" w:hAnsiTheme="minorHAnsi" w:cs="Arial"/>
          <w:color w:val="000000"/>
        </w:rPr>
      </w:pPr>
      <w:r w:rsidRPr="00B95FE1">
        <w:rPr>
          <w:rFonts w:asciiTheme="minorHAnsi" w:hAnsiTheme="minorHAnsi" w:cs="Arial"/>
          <w:color w:val="000000"/>
        </w:rPr>
        <w:t xml:space="preserve">Wnioskodawcą może być </w:t>
      </w:r>
      <w:r w:rsidRPr="00B95FE1">
        <w:rPr>
          <w:rFonts w:asciiTheme="minorHAnsi" w:hAnsiTheme="minorHAnsi" w:cs="Arial"/>
          <w:b/>
          <w:color w:val="000000"/>
        </w:rPr>
        <w:t>organ prowadzący szkołę lub placówkę oświatową realizującą kształcenie zawodowe</w:t>
      </w:r>
      <w:r w:rsidRPr="00B95FE1">
        <w:rPr>
          <w:rFonts w:asciiTheme="minorHAnsi" w:hAnsiTheme="minorHAnsi" w:cs="Arial"/>
          <w:color w:val="000000"/>
        </w:rPr>
        <w:t xml:space="preserve"> w rozumieniu ustawy Prawo oświatowe, </w:t>
      </w:r>
      <w:r w:rsidRPr="00B95FE1">
        <w:rPr>
          <w:rFonts w:asciiTheme="minorHAnsi" w:hAnsiTheme="minorHAnsi" w:cs="Arial"/>
          <w:b/>
          <w:color w:val="000000"/>
        </w:rPr>
        <w:t>instytucja rynku pracy</w:t>
      </w:r>
      <w:r w:rsidRPr="00B95FE1">
        <w:rPr>
          <w:rFonts w:asciiTheme="minorHAnsi" w:hAnsiTheme="minorHAnsi" w:cs="Arial"/>
          <w:color w:val="000000"/>
        </w:rPr>
        <w:t xml:space="preserve">, o której mowa w ustawie o promocji zatrudnienia i instytucjach rynku pracy, prowadząca działalność edukacyjno-szkoleniową, </w:t>
      </w:r>
      <w:r w:rsidRPr="00B95FE1">
        <w:rPr>
          <w:rFonts w:asciiTheme="minorHAnsi" w:hAnsiTheme="minorHAnsi" w:cs="Arial"/>
          <w:b/>
          <w:color w:val="000000"/>
        </w:rPr>
        <w:t>pracodawca, przedsiębiorca lub organizacja pracodawców</w:t>
      </w:r>
    </w:p>
    <w:p w:rsidR="00581374" w:rsidRPr="00B95FE1" w:rsidRDefault="00581374" w:rsidP="00581374">
      <w:pPr>
        <w:pStyle w:val="NormalnyWeb"/>
        <w:spacing w:before="0" w:beforeAutospacing="0" w:after="0" w:afterAutospacing="0" w:line="276" w:lineRule="auto"/>
        <w:rPr>
          <w:rFonts w:asciiTheme="minorHAnsi" w:hAnsiTheme="minorHAnsi" w:cs="Arial"/>
          <w:color w:val="000000"/>
        </w:rPr>
      </w:pPr>
      <w:r w:rsidRPr="00B95FE1">
        <w:rPr>
          <w:rFonts w:asciiTheme="minorHAnsi" w:hAnsiTheme="minorHAnsi" w:cs="Arial"/>
          <w:color w:val="000000"/>
        </w:rPr>
        <w:t>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p w:rsidR="00581374" w:rsidRPr="00B95FE1" w:rsidRDefault="00581374" w:rsidP="00581374">
      <w:pPr>
        <w:pStyle w:val="NormalnyWeb"/>
        <w:spacing w:before="0" w:beforeAutospacing="0" w:after="0" w:afterAutospacing="0" w:line="276" w:lineRule="auto"/>
        <w:rPr>
          <w:rFonts w:asciiTheme="minorHAnsi" w:hAnsiTheme="minorHAnsi" w:cs="Arial"/>
          <w:color w:val="000000"/>
        </w:rPr>
      </w:pPr>
      <w:r w:rsidRPr="00B95FE1">
        <w:rPr>
          <w:rFonts w:asciiTheme="minorHAnsi" w:hAnsiTheme="minorHAnsi" w:cs="Arial"/>
          <w:color w:val="000000"/>
        </w:rPr>
        <w:t>Partnerem może być każdy podmiot, który posiada osobowość prawną i nie jest wykluczony z możliwości ubiegania się o dofinansowanie ze środków UE.</w:t>
      </w:r>
    </w:p>
    <w:p w:rsidR="00211AA5" w:rsidRPr="00B95FE1" w:rsidRDefault="00211AA5" w:rsidP="00581374">
      <w:pPr>
        <w:pStyle w:val="NormalnyWeb"/>
        <w:spacing w:before="0" w:beforeAutospacing="0" w:after="0" w:afterAutospacing="0" w:line="276" w:lineRule="auto"/>
        <w:rPr>
          <w:rFonts w:asciiTheme="minorHAnsi" w:hAnsiTheme="minorHAnsi"/>
        </w:rPr>
      </w:pPr>
    </w:p>
    <w:p w:rsidR="00581374" w:rsidRPr="00B95FE1" w:rsidRDefault="00581374"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581374" w:rsidRPr="00B95FE1" w:rsidRDefault="00581374"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Na jakich zasadach należy dokonać wyboru takiego Partnera?</w:t>
      </w:r>
    </w:p>
    <w:p w:rsidR="00581374" w:rsidRPr="00B95FE1" w:rsidRDefault="00581374"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581374" w:rsidRPr="00B95FE1" w:rsidRDefault="00581374" w:rsidP="00581374">
      <w:pPr>
        <w:spacing w:after="0"/>
        <w:jc w:val="both"/>
        <w:rPr>
          <w:sz w:val="24"/>
          <w:szCs w:val="24"/>
        </w:rPr>
      </w:pPr>
      <w:r w:rsidRPr="00B95FE1">
        <w:rPr>
          <w:sz w:val="24"/>
          <w:szCs w:val="24"/>
        </w:rPr>
        <w:t>Wybór partnerów musi zostać dokonany przed złożeniem wniosku o dofinansowanie i musi zostać dokonany w sposób prawidłowy, to znaczy:</w:t>
      </w:r>
    </w:p>
    <w:p w:rsidR="00581374" w:rsidRPr="00B95FE1" w:rsidRDefault="00581374" w:rsidP="00581374">
      <w:pPr>
        <w:pStyle w:val="Akapitzlist"/>
        <w:spacing w:line="276" w:lineRule="auto"/>
        <w:ind w:left="328" w:hanging="360"/>
        <w:jc w:val="both"/>
        <w:rPr>
          <w:rFonts w:asciiTheme="minorHAnsi" w:hAnsiTheme="minorHAnsi"/>
          <w:sz w:val="24"/>
          <w:szCs w:val="24"/>
        </w:rPr>
      </w:pPr>
      <w:r w:rsidRPr="00B95FE1">
        <w:rPr>
          <w:rFonts w:asciiTheme="minorHAnsi" w:hAnsiTheme="minorHAnsi"/>
          <w:sz w:val="24"/>
          <w:szCs w:val="24"/>
        </w:rPr>
        <w:t>- wybór partnerów musi zostać dokonany przed złożeniem wniosku o dofinansowanie,</w:t>
      </w:r>
    </w:p>
    <w:p w:rsidR="00581374" w:rsidRPr="00B95FE1" w:rsidRDefault="00581374" w:rsidP="00581374">
      <w:pPr>
        <w:pStyle w:val="Akapitzlist"/>
        <w:spacing w:line="276" w:lineRule="auto"/>
        <w:ind w:left="328" w:hanging="360"/>
        <w:jc w:val="both"/>
        <w:rPr>
          <w:rFonts w:asciiTheme="minorHAnsi" w:hAnsiTheme="minorHAnsi"/>
          <w:sz w:val="24"/>
          <w:szCs w:val="24"/>
        </w:rPr>
      </w:pPr>
      <w:r w:rsidRPr="00B95FE1">
        <w:rPr>
          <w:rFonts w:asciiTheme="minorHAnsi" w:hAnsiTheme="minorHAnsi"/>
          <w:sz w:val="24"/>
          <w:szCs w:val="24"/>
        </w:rPr>
        <w:lastRenderedPageBreak/>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tj. podmioty z sektora finansów publicznych dokonujące wyboru spoza sektora finansów publicznych zobowiązane są do przeprowadzenia procedury wyboru zgodnie z zasadami przejrzystości tj.:</w:t>
      </w:r>
    </w:p>
    <w:p w:rsidR="00581374" w:rsidRPr="00B95FE1" w:rsidRDefault="00581374" w:rsidP="00581374">
      <w:pPr>
        <w:pStyle w:val="Akapitzlist"/>
        <w:numPr>
          <w:ilvl w:val="0"/>
          <w:numId w:val="6"/>
        </w:numPr>
        <w:spacing w:line="276" w:lineRule="auto"/>
        <w:jc w:val="both"/>
        <w:rPr>
          <w:rFonts w:asciiTheme="minorHAnsi" w:eastAsia="Times New Roman" w:hAnsiTheme="minorHAnsi"/>
          <w:sz w:val="24"/>
          <w:szCs w:val="24"/>
        </w:rPr>
      </w:pPr>
      <w:r w:rsidRPr="00B95FE1">
        <w:rPr>
          <w:rFonts w:asciiTheme="minorHAnsi" w:hAnsiTheme="minorHAnsi"/>
          <w:sz w:val="24"/>
          <w:szCs w:val="24"/>
        </w:rPr>
        <w:t>są zobowiązane do ogłoszenia otwartego naboru partnerów na swojej stronie internetowej wraz ze wskazaniem co najmniej 21-dniowego terminu na zgłaszanie się partnerów;</w:t>
      </w:r>
    </w:p>
    <w:p w:rsidR="00581374" w:rsidRPr="00B95FE1" w:rsidRDefault="00581374" w:rsidP="00581374">
      <w:pPr>
        <w:numPr>
          <w:ilvl w:val="0"/>
          <w:numId w:val="6"/>
        </w:numPr>
        <w:spacing w:after="0"/>
        <w:jc w:val="both"/>
        <w:rPr>
          <w:rFonts w:eastAsia="Times New Roman"/>
          <w:color w:val="000000"/>
          <w:sz w:val="24"/>
          <w:szCs w:val="24"/>
        </w:rPr>
      </w:pPr>
      <w:r w:rsidRPr="00B95FE1">
        <w:rPr>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581374" w:rsidRPr="00B95FE1" w:rsidRDefault="00581374" w:rsidP="00581374">
      <w:pPr>
        <w:numPr>
          <w:ilvl w:val="0"/>
          <w:numId w:val="6"/>
        </w:numPr>
        <w:spacing w:after="0"/>
        <w:jc w:val="both"/>
        <w:rPr>
          <w:rFonts w:eastAsia="Times New Roman"/>
          <w:color w:val="000000"/>
          <w:sz w:val="24"/>
          <w:szCs w:val="24"/>
        </w:rPr>
      </w:pPr>
      <w:r w:rsidRPr="00B95FE1">
        <w:rPr>
          <w:rFonts w:eastAsia="Times New Roman"/>
          <w:color w:val="000000"/>
          <w:sz w:val="24"/>
          <w:szCs w:val="24"/>
        </w:rPr>
        <w:t>podania do publicznej wiadomości na swojej stronie internetowej informacji o podmiotach wybranych do pełnienia funkcji partnera.</w:t>
      </w:r>
    </w:p>
    <w:p w:rsidR="00581374" w:rsidRPr="00B95FE1" w:rsidRDefault="00581374" w:rsidP="00581374">
      <w:pPr>
        <w:spacing w:after="0"/>
        <w:jc w:val="both"/>
        <w:rPr>
          <w:sz w:val="24"/>
          <w:szCs w:val="24"/>
        </w:rPr>
      </w:pPr>
      <w:r w:rsidRPr="00B95FE1">
        <w:rPr>
          <w:sz w:val="24"/>
          <w:szCs w:val="24"/>
        </w:rPr>
        <w:t>Do wniosku o dofinansowanie załącza się dokumenty potwierdzające .</w:t>
      </w:r>
    </w:p>
    <w:p w:rsidR="00581374" w:rsidRPr="00B95FE1" w:rsidRDefault="00581374" w:rsidP="00581374">
      <w:pPr>
        <w:pStyle w:val="NormalnyWeb"/>
        <w:spacing w:before="0" w:beforeAutospacing="0" w:after="0" w:afterAutospacing="0" w:line="276" w:lineRule="auto"/>
        <w:rPr>
          <w:rFonts w:asciiTheme="minorHAnsi" w:hAnsiTheme="minorHAnsi"/>
        </w:rPr>
      </w:pP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można zrezygnować z realizacji staży uczniowskich w ramach działania 10.4 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Staże uczniowskie są elementem koniecznym każdego projektu.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Zgodnie z kryterium dostępu obowiązkowo należy zaplanować dla co najmniej 70% wszystkich uczniów i słuchaczy objętych wsparciem w projekcie realizację staży uczniowskich u pracodawców.</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wskaźnik stażowy dotyczy tylko uczniów, czy wszystkich uczestników projektu - dorosłych -słuchaczy i nauczycieli?</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xml:space="preserve">zgodnie z definicją wskaźnika zawartą w załączniku nr 2: „Liczba uczniów szkół i placówek kształcenia zawodowego objętych wsparciem bezpośrednim w ramach programu w postaci staży (…)” do wskaźnika należy wliczać </w:t>
      </w:r>
      <w:r w:rsidRPr="00B95FE1">
        <w:rPr>
          <w:rFonts w:asciiTheme="minorHAnsi" w:hAnsiTheme="minorHAnsi" w:cs="Arial"/>
          <w:b/>
          <w:color w:val="000000"/>
        </w:rPr>
        <w:t>uczniów.</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ramach projektu można organizować staże dla uczniów technikum agroturystyki, które będą odbywać się w gospodarstwach rodziców ucznia bądź innych członków rodziny?</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Tak.</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lastRenderedPageBreak/>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można realizować kursy dla uczniów w formule e-learningowej/ online?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xml:space="preserve">Należy pamiętać, że </w:t>
      </w:r>
      <w:r w:rsidRPr="00B95FE1">
        <w:rPr>
          <w:rFonts w:asciiTheme="minorHAnsi" w:hAnsiTheme="minorHAnsi" w:cs="Arial"/>
          <w:b/>
          <w:color w:val="000000"/>
        </w:rPr>
        <w:t>każdy projekt musi zawierać typ projektu A czyli musi przewidzieć wsparcie w postaci staży uczniowskich dla co najmniej 70% wszystkich uczniów i słuchaczy objętych wsparciem w projekcie.</w:t>
      </w:r>
      <w:r w:rsidRPr="00B95FE1">
        <w:rPr>
          <w:rFonts w:asciiTheme="minorHAnsi" w:hAnsiTheme="minorHAnsi" w:cs="Arial"/>
          <w:color w:val="000000"/>
        </w:rPr>
        <w:t xml:space="preserve"> Dodatkowo można zaplanować w ramach typu projektu B inne formy wsparcia. Jeżeli „kursy dla uczniów w formule e-learningowej/online” wpisują się w formy wsparcia  w ramach typu projektu B to można je zaplanować w projekcie.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można realizować staże/praktyki w formule zdalnej (online)?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ramach doposażenia stanowiska pracy dla ucznia podczas stażu można zaplanować zakup np. walizki z narzędziami, która zostanie po zakończeniu stażu u ucznia, czy musi ona wrócić na wyposażenie szkoły?</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Tym samym nie ma możliwość doposażenia stanowiska pracy w podmiocie przyjmującym na staż.</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Katalog wydatków przewidzianych w ramach projektu może uwzględniać koszty związane z odbywaniem stażu uczniowskiego (np.: koszty dojazdu, koszty zakupu materiałów i narzędzi zużywalnych niezbędnych stażyście do odbycia stażu, szkolenia BHP stażysty, itp.) w wysokości nieprzekraczającej 5 000 zł brutto na 1 osobę odbywającą staż. Powyższa kwota może zostać zwiększona jedynie w sytuacji konieczności ponoszenia dodatkowych kosztów związanych z udziałem uczniów w stażu, wynikających ze zwiększonego wymiaru czasu trwania ww. form wsparcia. Koszty zakupu materiałów i narzędzi zużywalnych niezbędnych stażyście do odbycia stażu należy rozumieć jako koszty zakupu materiałów ulegających zużyciu, wyczerpaniu lub degradacji w wyniku normalnej eksploatacji w czasie realizacji zadań stażowych, w przypadku gdy brak ich finansowania w projekcie skutkowałby zubożeniem praktycznego wymiaru stażu; powinny to być wyłącznie materiały w ilości niezbędnej i ściśle powiązanej z programem kształcenia i programem stażu.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lastRenderedPageBreak/>
        <w:t>Czy doposażenie stanowiska pracy i koszty eksploatacji materiałów/narzędzi będzie pomocą publiczną?</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W projektach realizowanych w ramach systemu oświaty nie występuje pomoc publiczna.</w:t>
      </w:r>
      <w:r w:rsidR="000E20C8" w:rsidRPr="00B95FE1">
        <w:rPr>
          <w:rFonts w:asciiTheme="minorHAnsi" w:hAnsiTheme="minorHAnsi" w:cs="Arial"/>
          <w:color w:val="000000"/>
        </w:rPr>
        <w:t xml:space="preserve"> </w:t>
      </w:r>
      <w:r w:rsidR="000E20C8" w:rsidRPr="00B95FE1">
        <w:rPr>
          <w:rFonts w:asciiTheme="minorHAnsi" w:hAnsiTheme="minorHAnsi" w:cs="Arial"/>
        </w:rPr>
        <w:t>Należy pamiętać, że nie jest możliwe doposażenie stanowiska pracy dla stażystów w ramach projektu.</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Okres realizacji stażu/praktyki ucznia wynosi min 150 h. Czy może być zaplanowana realizacja stażu/praktyki u 2 pracodawców po np. 75 godz., co w sumie da 150 h realizacji?</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xml:space="preserve">W ramach projektów można realizować staże uczniowskie. Realizacja stażu uczniowskiego musi być zgodna z przepisami Prawa Oświatowego. Regulamin konkursu </w:t>
      </w:r>
      <w:r w:rsidRPr="00B95FE1">
        <w:rPr>
          <w:rFonts w:asciiTheme="minorHAnsi" w:hAnsiTheme="minorHAnsi" w:cs="Arial"/>
          <w:b/>
          <w:color w:val="000000"/>
        </w:rPr>
        <w:t xml:space="preserve">nie określa minimalnej liczby godzin </w:t>
      </w:r>
      <w:r w:rsidRPr="00B95FE1">
        <w:rPr>
          <w:rFonts w:asciiTheme="minorHAnsi" w:hAnsiTheme="minorHAnsi" w:cs="Arial"/>
          <w:color w:val="000000"/>
        </w:rPr>
        <w:t>stażu uczniowskiego.</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stażach zawodowych realizowanych w okresie wakacyjnym mogą wziąć udział uczniowie ostatnich klas, którzy zakończą już naukę w szkole, natomiast do września posiadają status ucznia?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Staże uczniowskie powinny być realizowane zgodnie z przepisami Prawa Oświatowego, a więc staż uczniowski może odbywać się również w okresie ferii letnich lub zimowych. Natomiast proszę pamiętać, że umowa o staż uczniowski nie może być zawarta na okres dłuższy niż okres nauki. Tym samym staże uczniowskie dla uczniów ostatnich klas nie mogą być realizowane w miesiącach wakacyjnych.</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świadczenie miesięczne za odbycie stażu uczniowskiego może uwzględnić przewidywany wzrost minimalnego wynagrodzenia za pracę?</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xml:space="preserve">Uczestnikowi stażu uczniowskiego przysługuje świadczenie pieniężne nieprzekraczające wysokości minimalnego wynagrodzenia za pracę </w:t>
      </w:r>
      <w:r w:rsidRPr="00B95FE1">
        <w:rPr>
          <w:rFonts w:asciiTheme="minorHAnsi" w:hAnsiTheme="minorHAnsi" w:cs="Arial"/>
          <w:b/>
          <w:color w:val="000000"/>
        </w:rPr>
        <w:t>obowiązującego w momencie składania wniosku o dofinansowanie</w:t>
      </w:r>
      <w:r w:rsidRPr="00B95FE1">
        <w:rPr>
          <w:rFonts w:asciiTheme="minorHAnsi" w:hAnsiTheme="minorHAnsi" w:cs="Arial"/>
          <w:color w:val="000000"/>
        </w:rPr>
        <w:t xml:space="preserve">. Miesięczne świadczenie pieniężne, zgodnie z art. 21 ust. 1 pkt. 137 ustawy z dnia 26 lipca 1991 r. o podatku dochodowym od osób fizycznych (Dz. U. z 2012 r. poz. 361  z </w:t>
      </w:r>
      <w:proofErr w:type="spellStart"/>
      <w:r w:rsidRPr="00B95FE1">
        <w:rPr>
          <w:rFonts w:asciiTheme="minorHAnsi" w:hAnsiTheme="minorHAnsi" w:cs="Arial"/>
          <w:color w:val="000000"/>
        </w:rPr>
        <w:t>późn</w:t>
      </w:r>
      <w:proofErr w:type="spellEnd"/>
      <w:r w:rsidRPr="00B95FE1">
        <w:rPr>
          <w:rFonts w:asciiTheme="minorHAnsi" w:hAnsiTheme="minorHAnsi" w:cs="Arial"/>
          <w:color w:val="000000"/>
        </w:rPr>
        <w:t xml:space="preserve">. zm.), </w:t>
      </w:r>
      <w:r w:rsidRPr="00B95FE1">
        <w:rPr>
          <w:rFonts w:asciiTheme="minorHAnsi" w:hAnsiTheme="minorHAnsi" w:cs="Arial"/>
          <w:b/>
          <w:color w:val="000000"/>
        </w:rPr>
        <w:t>jest zwolnio</w:t>
      </w:r>
      <w:bookmarkStart w:id="0" w:name="_GoBack"/>
      <w:bookmarkEnd w:id="0"/>
      <w:r w:rsidRPr="00B95FE1">
        <w:rPr>
          <w:rFonts w:asciiTheme="minorHAnsi" w:hAnsiTheme="minorHAnsi" w:cs="Arial"/>
          <w:b/>
          <w:color w:val="000000"/>
        </w:rPr>
        <w:t>ne z podatku dochodowego od osób fizycznych</w:t>
      </w:r>
      <w:r w:rsidRPr="00B95FE1">
        <w:rPr>
          <w:rFonts w:asciiTheme="minorHAnsi" w:hAnsiTheme="minorHAnsi" w:cs="Arial"/>
          <w:color w:val="000000"/>
        </w:rPr>
        <w:t xml:space="preserve">. W takiej sytuacji </w:t>
      </w:r>
      <w:r w:rsidRPr="00B95FE1">
        <w:rPr>
          <w:rFonts w:asciiTheme="minorHAnsi" w:hAnsiTheme="minorHAnsi" w:cs="Arial"/>
          <w:b/>
          <w:color w:val="000000"/>
        </w:rPr>
        <w:t>składkę na ubezpieczenie zdrowotne</w:t>
      </w:r>
      <w:r w:rsidRPr="00B95FE1">
        <w:rPr>
          <w:rFonts w:asciiTheme="minorHAnsi" w:hAnsiTheme="minorHAnsi" w:cs="Arial"/>
          <w:color w:val="000000"/>
        </w:rPr>
        <w:t xml:space="preserve"> zgodnie z art. 83 ust. 2 ustawy z dnia 27 sierpnia 2004 roku o świadczeniach opieki zdrowotnej finansowanych ze środków publicznych </w:t>
      </w:r>
      <w:r w:rsidRPr="00B95FE1">
        <w:rPr>
          <w:rFonts w:asciiTheme="minorHAnsi" w:hAnsiTheme="minorHAnsi" w:cs="Arial"/>
          <w:b/>
          <w:color w:val="000000"/>
        </w:rPr>
        <w:t>obniża się do wysokości 0 PLN</w:t>
      </w:r>
      <w:r w:rsidRPr="00B95FE1">
        <w:rPr>
          <w:rFonts w:asciiTheme="minorHAnsi" w:hAnsiTheme="minorHAnsi" w:cs="Arial"/>
          <w:color w:val="000000"/>
        </w:rPr>
        <w:t xml:space="preserve">. Składki na ubezpieczenia społeczne są kwalifikowalne w ramach projektu, o ile obowiązek ich opłacenia wynika z przepisów prawa. </w:t>
      </w:r>
      <w:r w:rsidRPr="00B95FE1">
        <w:rPr>
          <w:rFonts w:asciiTheme="minorHAnsi" w:hAnsiTheme="minorHAnsi" w:cs="Arial"/>
          <w:b/>
          <w:color w:val="000000"/>
        </w:rPr>
        <w:t xml:space="preserve">W przypadkach konieczności uwzględnienia składek na ubezpieczenia społeczne należy </w:t>
      </w:r>
      <w:r w:rsidRPr="00B95FE1">
        <w:rPr>
          <w:rFonts w:asciiTheme="minorHAnsi" w:hAnsiTheme="minorHAnsi" w:cs="Arial"/>
          <w:b/>
          <w:color w:val="000000"/>
        </w:rPr>
        <w:lastRenderedPageBreak/>
        <w:t>pamiętać, że muszą być one uwzględnione w kwocie miesięcznego świadczenia pieniężnego.</w:t>
      </w: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stawka za szkolenia dla uczestniczących w projekcie uczniów/słuchaczy prowadzone przez zewnętrzną instytucję należy wycenić zgodnie z katalogiem stawek maksymalnych zawartym w standardach realizacji form wsparcia?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xml:space="preserve">Katalog stawek maksymalnych obowiązujący w naborze </w:t>
      </w:r>
      <w:r w:rsidRPr="00B95FE1">
        <w:rPr>
          <w:rFonts w:asciiTheme="minorHAnsi" w:hAnsiTheme="minorHAnsi" w:cs="Arial"/>
          <w:b/>
          <w:color w:val="000000"/>
        </w:rPr>
        <w:t>nie zawiera stawek za szkolenia dla uczestników projektów</w:t>
      </w:r>
      <w:r w:rsidRPr="00B95FE1">
        <w:rPr>
          <w:rFonts w:asciiTheme="minorHAnsi" w:hAnsiTheme="minorHAnsi" w:cs="Arial"/>
          <w:color w:val="000000"/>
        </w:rPr>
        <w:t>. Należy zastosować stawkę rynkową. W celu ustalenia stawki rynkowej zasadnym jest przeprowadzenie rozeznania rynku.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możliwe jest wnoszenie wkładu własnego przez szkoły w postaci wynagrodzeń pracowników biorących udział w szkoleniach, kursach podnoszących kompetencje/kwalifikacje w ramach projektu (odbywających się w godzinach pracy nauczycieli)?</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Jeżeli przepisy prawa dopuszczają wypłatę wynagrodzenia dla nauczyciela kształcenia zawodowego za czas jego doskonalenia zawodowego, to można ująć we wniosku o dofinansowanie owe wynagrodzenie jako wkład własny finansowy.</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ramach doskonalenia zawodowego nauczycieli można objąć wsparciem nauczycieli prowadzących przedmioty ogólne na rzecz nabycia przez nich kompetencji/ kwalifikacji do nauki zawodu uczniów?</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Tak, z uwzględnieniem warunków opisanych w Załączniku nr 4 Standardy realizacji form wsparcia w ramach Działania 10.4 RPO WD 2014-2020.</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realizując staże dla nauczycieli (typ 10.4 G) w przedsiębiorstwach można zabudżetować koszt wynagrodzenia opiekuna stażysty w podmiocie przyjmującym na staż oraz zakupu materiałów i narzędzi zużywalnych niezbędnych stażyście do odbycia stażu na zasadach analogicznych do obowiązujących w przypadku stażu uczniowskiego (typ 10.4 A), bez wynagradzania nauczycieli odbywających staż</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Regulamin konkursu nie precyzuje jakie koszty można ponieść w ramach organizacji i realizacji stażu nauczyciela w przedsiębiorstwie w związku z czym wydatek musi być zgodny z ogólnymi zasadami: niezbędności, racjonalności, efektywności kosztowej.</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lastRenderedPageBreak/>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pracownie zawodowe mogą być doposażone/wyposażone wyłącznie zgodnie z katalogiem wyposażenia pracowni i warsztatów szkolnych opracowanym przez MEN, czy doposażenie może wykraczać poza ten katalog?</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Zgodnie z zapisami zawartymi w Załączniku nr 4 Standardy realizacji form wsparcia w ramach Działania 10.4 RPO WD 2014-2020, wnioskodawca może korzystać z katalogów wyposażenia pracowni lub warsztatów szkolnych dla 190 zawodów, które zostały opracowane przez MEN i są udostępnione za pośrednictwem strony internetowej administrowanej przez MEN (</w:t>
      </w:r>
      <w:hyperlink r:id="rId7" w:history="1">
        <w:r w:rsidRPr="00B95FE1">
          <w:rPr>
            <w:rStyle w:val="Hipercze"/>
            <w:rFonts w:asciiTheme="minorHAnsi" w:hAnsiTheme="minorHAnsi" w:cs="Arial"/>
            <w:color w:val="0070C0"/>
            <w:u w:val="none"/>
          </w:rPr>
          <w:t>https://efs.men.gov.pl/dokumenty/wytyczne-w-zakresie-realizacji-przedsiewziec-z-udzialem-srodkow-europejskiego-funduszu-spolecznego-w-obszarze-edukacji-na-lata-2014-2020/</w:t>
        </w:r>
      </w:hyperlink>
      <w:r w:rsidRPr="00B95FE1">
        <w:rPr>
          <w:rFonts w:asciiTheme="minorHAnsi" w:hAnsiTheme="minorHAnsi" w:cs="Arial"/>
          <w:color w:val="000000"/>
        </w:rPr>
        <w:t>) - katalogi te stanowią katalogi otwarte i mają charakter pomocniczy.</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w Zespole szkół, w którego skład wchodzą zarówno szkoły zawodowe (Technikum, Szkoła Branżowa I Stopnia,) jak i ogólnokształcące (Liceum) można przeprowadzić prace w zakresie dostosowania budynków i pomieszczeń do potrzeb osób z niepełnosprawnościami? Jak wówczas kształtować się będzie wysokość dofinansowania?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Jeżeli konieczna będzie adaptacja budynku, w którym znajdują się szkoły zawodowe oraz szkoły ogólnokształcące to zasadnym jest aby w ramach projektu ukierunkowanego na wspieranie szkół zawodowych zakwalifikować do projektu tylko tę część wydatku, która dotyczy szkół zawodowych. Wartość kwalifikowalnej w ramach projektu części wydatku można określić np. z wykorzystaniem proporcji np. w zakresie stosunku liczby uczniów uczęszczających do szkół zawodowych w stosunku do liczby uczniów szkół ogólnokształcących, którzy korzystają z przewidzianego do adaptacji budynku lub np. z proporcji liczby szkół o danym programie kształcenia np. liczba szkół zawodowych do liczby szkół ogólnokształcących zlokalizowanych w danym budynku.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przypadku konieczności ujęcia we wniosku działań służących adaptacji istniejącej infrastruktury do potrzeb osób z niepełnosprawnościami konieczne jest wykazanie, że do szkoły uczęszczają osoby z niepełnosprawnością ruchową, czy też wystarczającym będzie uzasadnienie, że obiekt wymaga dostosowania dla osób niepełnosprawnych, co w przyszłości pozwoli osobom z niepełnosprawnością ruchową na wybór tej szkoły jako miejsca kształcenia?</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Uzasadnienie potrzeby adaptacji budynku może wynikać z potrzeby zapewnienia dostępności architektonicznej budynku do potrzeb osób z niepełnosprawnościami.</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lastRenderedPageBreak/>
        <w:t>W projekcie zamierzamy ująć zarówno koszty wyposażenia pracowni zawodowych, jak i koszty remontu pracowni zawodowej. Jak w takim przypadku kształtować się będzie maksymalna wartość procentowa dla takiego zadania?</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xml:space="preserve">W przypadku szkół i placówek kształcenia zawodowego </w:t>
      </w:r>
      <w:proofErr w:type="spellStart"/>
      <w:r w:rsidRPr="00B95FE1">
        <w:rPr>
          <w:rFonts w:asciiTheme="minorHAnsi" w:hAnsiTheme="minorHAnsi" w:cs="Arial"/>
          <w:color w:val="000000"/>
        </w:rPr>
        <w:t>doposażających</w:t>
      </w:r>
      <w:proofErr w:type="spellEnd"/>
      <w:r w:rsidRPr="00B95FE1">
        <w:rPr>
          <w:rFonts w:asciiTheme="minorHAnsi" w:hAnsiTheme="minorHAnsi" w:cs="Arial"/>
          <w:color w:val="000000"/>
        </w:rPr>
        <w:t xml:space="preserve"> się w niezbędny sprzęt, konieczny do realizacji kształcenia zawodowego wartość wydatków na środki trwałe wynosi maksymalnie 20% wartości projektu (włączając </w:t>
      </w:r>
      <w:proofErr w:type="spellStart"/>
      <w:r w:rsidRPr="00B95FE1">
        <w:rPr>
          <w:rFonts w:asciiTheme="minorHAnsi" w:hAnsiTheme="minorHAnsi" w:cs="Arial"/>
          <w:color w:val="000000"/>
        </w:rPr>
        <w:t>cross-financing</w:t>
      </w:r>
      <w:proofErr w:type="spellEnd"/>
      <w:r w:rsidRPr="00B95FE1">
        <w:rPr>
          <w:rFonts w:asciiTheme="minorHAnsi" w:hAnsiTheme="minorHAnsi" w:cs="Arial"/>
          <w:color w:val="000000"/>
        </w:rPr>
        <w:t>, którego maksymalny poziom wynosi 20% finansowania unijnego na poziomie projektu).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xml:space="preserve">W przypadku projektów współfinansowanych z EFS </w:t>
      </w:r>
      <w:proofErr w:type="spellStart"/>
      <w:r w:rsidRPr="00B95FE1">
        <w:rPr>
          <w:rFonts w:asciiTheme="minorHAnsi" w:hAnsiTheme="minorHAnsi" w:cs="Arial"/>
          <w:color w:val="000000"/>
        </w:rPr>
        <w:t>cross-financing</w:t>
      </w:r>
      <w:proofErr w:type="spellEnd"/>
      <w:r w:rsidRPr="00B95FE1">
        <w:rPr>
          <w:rFonts w:asciiTheme="minorHAnsi" w:hAnsiTheme="minorHAnsi" w:cs="Arial"/>
          <w:color w:val="000000"/>
        </w:rPr>
        <w:t xml:space="preserve"> może dotyczyć wyłącznie:</w:t>
      </w:r>
    </w:p>
    <w:p w:rsidR="00211AA5" w:rsidRPr="00B95FE1" w:rsidRDefault="00211AA5" w:rsidP="00581374">
      <w:pPr>
        <w:pStyle w:val="NormalnyWeb"/>
        <w:spacing w:before="0" w:beforeAutospacing="0" w:after="0" w:afterAutospacing="0" w:line="276" w:lineRule="auto"/>
        <w:ind w:firstLine="700"/>
        <w:rPr>
          <w:rFonts w:asciiTheme="minorHAnsi" w:hAnsiTheme="minorHAnsi"/>
        </w:rPr>
      </w:pPr>
      <w:r w:rsidRPr="00B95FE1">
        <w:rPr>
          <w:rFonts w:asciiTheme="minorHAnsi" w:hAnsiTheme="minorHAnsi" w:cs="Arial"/>
          <w:color w:val="000000"/>
        </w:rPr>
        <w:t>a) zakupu nieruchomości;</w:t>
      </w:r>
    </w:p>
    <w:p w:rsidR="00211AA5" w:rsidRPr="00B95FE1" w:rsidRDefault="00211AA5" w:rsidP="00581374">
      <w:pPr>
        <w:pStyle w:val="NormalnyWeb"/>
        <w:spacing w:before="0" w:beforeAutospacing="0" w:after="0" w:afterAutospacing="0" w:line="276" w:lineRule="auto"/>
        <w:ind w:left="1000" w:hanging="280"/>
        <w:rPr>
          <w:rFonts w:asciiTheme="minorHAnsi" w:hAnsiTheme="minorHAnsi"/>
        </w:rPr>
      </w:pPr>
      <w:r w:rsidRPr="00B95FE1">
        <w:rPr>
          <w:rFonts w:asciiTheme="minorHAnsi" w:hAnsiTheme="minorHAnsi" w:cs="Arial"/>
          <w:color w:val="000000"/>
        </w:rPr>
        <w:t>b) zakupu infrastruktury, przy czym poprzez infrastrukturę rozumie się elementy nieprzenośne, na stałe przytwierdzone do nieruchomości, np. wykonanie podjazdu do budynku, zainstalowanie windy w budynku;</w:t>
      </w:r>
    </w:p>
    <w:p w:rsidR="00211AA5" w:rsidRPr="00B95FE1" w:rsidRDefault="00211AA5" w:rsidP="00581374">
      <w:pPr>
        <w:pStyle w:val="NormalnyWeb"/>
        <w:spacing w:before="0" w:beforeAutospacing="0" w:after="0" w:afterAutospacing="0" w:line="276" w:lineRule="auto"/>
        <w:ind w:firstLine="700"/>
        <w:rPr>
          <w:rFonts w:asciiTheme="minorHAnsi" w:hAnsiTheme="minorHAnsi"/>
        </w:rPr>
      </w:pPr>
      <w:r w:rsidRPr="00B95FE1">
        <w:rPr>
          <w:rFonts w:asciiTheme="minorHAnsi" w:hAnsiTheme="minorHAnsi" w:cs="Arial"/>
          <w:color w:val="000000"/>
        </w:rPr>
        <w:t>c) dostosowania lub adaptacji (prace remontowo-wykończeniowe) budynków i pomieszczeń.</w:t>
      </w:r>
    </w:p>
    <w:p w:rsidR="00211AA5" w:rsidRPr="00B95FE1" w:rsidRDefault="00211AA5" w:rsidP="00581374">
      <w:pPr>
        <w:pStyle w:val="NormalnyWeb"/>
        <w:spacing w:before="0" w:beforeAutospacing="0" w:after="0" w:afterAutospacing="0" w:line="276" w:lineRule="auto"/>
        <w:rPr>
          <w:rFonts w:asciiTheme="minorHAnsi" w:hAnsiTheme="minorHAnsi"/>
        </w:rPr>
      </w:pPr>
      <w:proofErr w:type="spellStart"/>
      <w:r w:rsidRPr="00B95FE1">
        <w:rPr>
          <w:rFonts w:asciiTheme="minorHAnsi" w:hAnsiTheme="minorHAnsi" w:cs="Arial"/>
          <w:color w:val="000000"/>
        </w:rPr>
        <w:t>Cross-financing</w:t>
      </w:r>
      <w:proofErr w:type="spellEnd"/>
      <w:r w:rsidRPr="00B95FE1">
        <w:rPr>
          <w:rFonts w:asciiTheme="minorHAnsi" w:hAnsiTheme="minorHAnsi" w:cs="Arial"/>
          <w:color w:val="000000"/>
        </w:rPr>
        <w:t xml:space="preserve"> nie może dotyczyć kosztów pośrednich.</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 xml:space="preserve">Zakup środków trwałych, za wyjątkiem zakupu nieruchomości, infrastruktury i środków trwałych przeznaczonych na dostosowanie lub adaptację budynków i pomieszczeń, nie stanowi wydatku w ramach </w:t>
      </w:r>
      <w:proofErr w:type="spellStart"/>
      <w:r w:rsidRPr="00B95FE1">
        <w:rPr>
          <w:rFonts w:asciiTheme="minorHAnsi" w:hAnsiTheme="minorHAnsi" w:cs="Arial"/>
          <w:color w:val="000000"/>
        </w:rPr>
        <w:t>cross-financingu</w:t>
      </w:r>
      <w:proofErr w:type="spellEnd"/>
      <w:r w:rsidRPr="00B95FE1">
        <w:rPr>
          <w:rFonts w:asciiTheme="minorHAnsi" w:hAnsiTheme="minorHAnsi" w:cs="Arial"/>
          <w:color w:val="000000"/>
        </w:rPr>
        <w:t>.</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ramach przygotowań do otwarcia nowego kierunku, możliwe jest, poza sfinansowaniem doposażenia, finansowanie opracowania programu nauczania we współpracy z przedsiębiorcami oraz koszty związane z promocją nowego kierunku, co może mieć bezpośredni wpływ na wzrost zainteresowania uczniów tym kierunkiem nauczania?</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Tak, w ramach Schematu 10.4 B Uruchamianie i dostosowywanie kształcenia i szkolenia w zawodach, na które występuje potwierdzone zapotrzebowanie rynku, zgodnie z zapisami zawartymi w Załączniku nr 4 Standardy realizacji form wsparcia w ramach Działania 10.4 RPO WD 2014-2020.</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wsparcie może być skierowane do Szkoły Specjalnej Przysposabiającej do Pracy?</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Tak, w zakresie kształcenia zawodowego.</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w związku z tym, że Kwalifikacyjne Kursy Zawodowe są formą pozaszkolną, możliwe jest kierowanie wsparcia do ich uczniów?</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lastRenderedPageBreak/>
        <w:t>Projekt musi być skierowany do uczniów lub słuchaczy szkół i placówek prowadzących kształcenie zawodowe. Jeżeli dana szkoła bądź placówka prowadząca kształcenie zawodowe, prowadzi również KKZ to można - jako element projektu - zaplanować dla uczniów wspieranej szkoły lub placówki np. nowy KKZ. Można także dla uczniów danej szkoły bądź placówki prowadzącej kształcenie zawodowe objętej projektem zaplanować – jako element projektu – wsparcie dla uczniów w postaci KKZ, realizowanego przez podmiot zewnętrzny w stosunku do danej szkoły bądź placówki prowadzącej kształcenie zawodowe.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ind w:hanging="20"/>
        <w:rPr>
          <w:rFonts w:asciiTheme="minorHAnsi" w:hAnsiTheme="minorHAnsi"/>
        </w:rPr>
      </w:pPr>
      <w:r w:rsidRPr="00B95FE1">
        <w:rPr>
          <w:rFonts w:asciiTheme="minorHAnsi" w:hAnsiTheme="minorHAnsi" w:cs="Arial"/>
          <w:color w:val="000000"/>
        </w:rPr>
        <w:t>Czy na etapie realizacji projektu będzie można zmienić wartości wskaźników w zakresie podziału na płeć uczestników projektu?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Wskazanie konkretnych wartości wskaźników w podziale na płeć co do zasady zobowiązuje beneficjenta do ich osiągnięcia – adekwatnie jak w przypadku innych wskaźników w projekcie. W związku z powyższym propozycje konkretnych wartości docelowych wskaźników powinny być przemyślane. Natomiast w trakcie realizacji projektu jest możliwość wprowadzania zmian do projektu, które po odpowiednim uzasadnieniu mogą zostać zaakceptowane przez IZ.</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Pytanie:</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Czy jeżeli zachowany zostanie 24 miesięczny maksymalny czas trwania projektu oraz maksymalny termin kwalifikowalności wydatków wynikający z Wytycznych kwalifikowalności to dopuszczają Państwo zakończenie realizacji projektu po rekomendowanej dacie i nie będzie to podstawą do odrzucenia wniosku bądź obniżenia punktacji przy ocenie?  </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b/>
          <w:bCs/>
          <w:color w:val="000000"/>
        </w:rPr>
        <w:t>Odpowiedź:</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Zapisy w Regulaminie konkursu stanowią rekomendację czyli zalecenie IOK.</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Nie ma kryterium formalnego dotyczącego okresu realizacji, za pomocą którego oceniający mogliby odrzucić projekt, w którym okres realizacji nie będzie zgodny z rekomendacjami jednakże jest kryterium harmonogramu projektu, podczas oceny którego oceniający mogą obniżyć punktację podczas oceny harmonogramu.</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Rekomendacja IOK wynika z faktu, że termin wskazany w regulaminie pozwoli bezpiecznie rozliczyć projekt do końca okresu kwalifikowalności wydatków tj. do 31.12.2023.</w:t>
      </w:r>
    </w:p>
    <w:p w:rsidR="00211AA5" w:rsidRPr="00B95FE1" w:rsidRDefault="00211AA5" w:rsidP="00581374">
      <w:pPr>
        <w:pStyle w:val="NormalnyWeb"/>
        <w:spacing w:before="0" w:beforeAutospacing="0" w:after="0" w:afterAutospacing="0" w:line="276" w:lineRule="auto"/>
        <w:rPr>
          <w:rFonts w:asciiTheme="minorHAnsi" w:hAnsiTheme="minorHAnsi"/>
        </w:rPr>
      </w:pPr>
      <w:r w:rsidRPr="00B95FE1">
        <w:rPr>
          <w:rFonts w:asciiTheme="minorHAnsi" w:hAnsiTheme="minorHAnsi" w:cs="Arial"/>
          <w:color w:val="000000"/>
        </w:rPr>
        <w:t> </w:t>
      </w:r>
    </w:p>
    <w:p w:rsidR="00C7297B" w:rsidRPr="00B95FE1" w:rsidRDefault="00C7297B" w:rsidP="00581374">
      <w:pPr>
        <w:spacing w:after="0"/>
        <w:rPr>
          <w:sz w:val="24"/>
          <w:szCs w:val="24"/>
        </w:rPr>
      </w:pPr>
    </w:p>
    <w:sectPr w:rsidR="00C7297B" w:rsidRPr="00B95FE1" w:rsidSect="00114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8D7"/>
    <w:multiLevelType w:val="multilevel"/>
    <w:tmpl w:val="3FBEE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72FA4"/>
    <w:multiLevelType w:val="multilevel"/>
    <w:tmpl w:val="C6DA1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532456"/>
    <w:multiLevelType w:val="multilevel"/>
    <w:tmpl w:val="6BCA9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367232"/>
    <w:multiLevelType w:val="multilevel"/>
    <w:tmpl w:val="558C4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D2265A"/>
    <w:multiLevelType w:val="multilevel"/>
    <w:tmpl w:val="F7E0D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330171"/>
    <w:multiLevelType w:val="multilevel"/>
    <w:tmpl w:val="DA048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64F2F"/>
    <w:rsid w:val="00011BBE"/>
    <w:rsid w:val="00021A95"/>
    <w:rsid w:val="000C6D61"/>
    <w:rsid w:val="000E20C8"/>
    <w:rsid w:val="000F5A46"/>
    <w:rsid w:val="00114586"/>
    <w:rsid w:val="0014773A"/>
    <w:rsid w:val="001C742F"/>
    <w:rsid w:val="00211AA5"/>
    <w:rsid w:val="0029196D"/>
    <w:rsid w:val="002D354B"/>
    <w:rsid w:val="002E03C6"/>
    <w:rsid w:val="004142D0"/>
    <w:rsid w:val="004F0383"/>
    <w:rsid w:val="00581374"/>
    <w:rsid w:val="0058456F"/>
    <w:rsid w:val="0064304B"/>
    <w:rsid w:val="007E15F0"/>
    <w:rsid w:val="008165A4"/>
    <w:rsid w:val="008A008A"/>
    <w:rsid w:val="00900A21"/>
    <w:rsid w:val="00A071F4"/>
    <w:rsid w:val="00A156F9"/>
    <w:rsid w:val="00B141B4"/>
    <w:rsid w:val="00B95FE1"/>
    <w:rsid w:val="00C3267F"/>
    <w:rsid w:val="00C7297B"/>
    <w:rsid w:val="00CE3EAD"/>
    <w:rsid w:val="00E64F2F"/>
    <w:rsid w:val="00EA65A2"/>
    <w:rsid w:val="00F37111"/>
    <w:rsid w:val="00F426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45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297B"/>
    <w:rPr>
      <w:color w:val="0563C1"/>
      <w:u w:val="single"/>
    </w:rPr>
  </w:style>
  <w:style w:type="paragraph" w:customStyle="1" w:styleId="Default">
    <w:name w:val="Default"/>
    <w:basedOn w:val="Normalny"/>
    <w:rsid w:val="00A156F9"/>
    <w:pPr>
      <w:autoSpaceDE w:val="0"/>
      <w:autoSpaceDN w:val="0"/>
      <w:spacing w:after="0" w:line="240" w:lineRule="auto"/>
    </w:pPr>
    <w:rPr>
      <w:rFonts w:ascii="Calibri" w:hAnsi="Calibri" w:cs="Times New Roman"/>
      <w:color w:val="000000"/>
      <w:sz w:val="24"/>
      <w:szCs w:val="24"/>
      <w:lang w:eastAsia="pl-PL"/>
    </w:rPr>
  </w:style>
  <w:style w:type="paragraph" w:styleId="NormalnyWeb">
    <w:name w:val="Normal (Web)"/>
    <w:basedOn w:val="Normalny"/>
    <w:uiPriority w:val="99"/>
    <w:semiHidden/>
    <w:unhideWhenUsed/>
    <w:rsid w:val="00211A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4F0383"/>
    <w:pPr>
      <w:spacing w:after="0" w:line="240" w:lineRule="auto"/>
    </w:pPr>
    <w:rPr>
      <w:rFonts w:ascii="Calibri" w:hAnsi="Calibri" w:cs="Times New Roman"/>
      <w:sz w:val="24"/>
      <w:szCs w:val="24"/>
    </w:rPr>
  </w:style>
  <w:style w:type="character" w:customStyle="1" w:styleId="ZwykytekstZnak">
    <w:name w:val="Zwykły tekst Znak"/>
    <w:basedOn w:val="Domylnaczcionkaakapitu"/>
    <w:link w:val="Zwykytekst"/>
    <w:uiPriority w:val="99"/>
    <w:semiHidden/>
    <w:rsid w:val="004F0383"/>
    <w:rPr>
      <w:rFonts w:ascii="Calibri" w:hAnsi="Calibri" w:cs="Times New Roman"/>
      <w:sz w:val="24"/>
      <w:szCs w:val="24"/>
    </w:rPr>
  </w:style>
  <w:style w:type="character" w:customStyle="1" w:styleId="AkapitzlistZnak">
    <w:name w:val="Akapit z listą Znak"/>
    <w:aliases w:val="Numerowanie Znak,List Paragraph Znak,Akapit z listą BS Znak,Punkt 1.1 Znak,Kolorowa lista — akcent 11 Znak"/>
    <w:basedOn w:val="Domylnaczcionkaakapitu"/>
    <w:link w:val="Akapitzlist"/>
    <w:uiPriority w:val="34"/>
    <w:locked/>
    <w:rsid w:val="00581374"/>
    <w:rPr>
      <w:rFonts w:ascii="Calibri" w:hAnsi="Calibri"/>
    </w:rPr>
  </w:style>
  <w:style w:type="paragraph" w:styleId="Akapitzlist">
    <w:name w:val="List Paragraph"/>
    <w:aliases w:val="Numerowanie,List Paragraph,Akapit z listą BS,Punkt 1.1,Kolorowa lista — akcent 11"/>
    <w:basedOn w:val="Normalny"/>
    <w:link w:val="AkapitzlistZnak"/>
    <w:uiPriority w:val="34"/>
    <w:qFormat/>
    <w:rsid w:val="00581374"/>
    <w:pPr>
      <w:autoSpaceDE w:val="0"/>
      <w:autoSpaceDN w:val="0"/>
      <w:spacing w:after="0" w:line="240" w:lineRule="auto"/>
      <w:ind w:left="708"/>
    </w:pPr>
    <w:rPr>
      <w:rFonts w:ascii="Calibri" w:hAnsi="Calibri"/>
    </w:rPr>
  </w:style>
</w:styles>
</file>

<file path=word/webSettings.xml><?xml version="1.0" encoding="utf-8"?>
<w:webSettings xmlns:r="http://schemas.openxmlformats.org/officeDocument/2006/relationships" xmlns:w="http://schemas.openxmlformats.org/wordprocessingml/2006/main">
  <w:divs>
    <w:div w:id="9769812">
      <w:bodyDiv w:val="1"/>
      <w:marLeft w:val="0"/>
      <w:marRight w:val="0"/>
      <w:marTop w:val="0"/>
      <w:marBottom w:val="0"/>
      <w:divBdr>
        <w:top w:val="none" w:sz="0" w:space="0" w:color="auto"/>
        <w:left w:val="none" w:sz="0" w:space="0" w:color="auto"/>
        <w:bottom w:val="none" w:sz="0" w:space="0" w:color="auto"/>
        <w:right w:val="none" w:sz="0" w:space="0" w:color="auto"/>
      </w:divBdr>
    </w:div>
    <w:div w:id="30351480">
      <w:bodyDiv w:val="1"/>
      <w:marLeft w:val="0"/>
      <w:marRight w:val="0"/>
      <w:marTop w:val="0"/>
      <w:marBottom w:val="0"/>
      <w:divBdr>
        <w:top w:val="none" w:sz="0" w:space="0" w:color="auto"/>
        <w:left w:val="none" w:sz="0" w:space="0" w:color="auto"/>
        <w:bottom w:val="none" w:sz="0" w:space="0" w:color="auto"/>
        <w:right w:val="none" w:sz="0" w:space="0" w:color="auto"/>
      </w:divBdr>
    </w:div>
    <w:div w:id="47461467">
      <w:bodyDiv w:val="1"/>
      <w:marLeft w:val="0"/>
      <w:marRight w:val="0"/>
      <w:marTop w:val="0"/>
      <w:marBottom w:val="0"/>
      <w:divBdr>
        <w:top w:val="none" w:sz="0" w:space="0" w:color="auto"/>
        <w:left w:val="none" w:sz="0" w:space="0" w:color="auto"/>
        <w:bottom w:val="none" w:sz="0" w:space="0" w:color="auto"/>
        <w:right w:val="none" w:sz="0" w:space="0" w:color="auto"/>
      </w:divBdr>
    </w:div>
    <w:div w:id="183134894">
      <w:bodyDiv w:val="1"/>
      <w:marLeft w:val="0"/>
      <w:marRight w:val="0"/>
      <w:marTop w:val="0"/>
      <w:marBottom w:val="0"/>
      <w:divBdr>
        <w:top w:val="none" w:sz="0" w:space="0" w:color="auto"/>
        <w:left w:val="none" w:sz="0" w:space="0" w:color="auto"/>
        <w:bottom w:val="none" w:sz="0" w:space="0" w:color="auto"/>
        <w:right w:val="none" w:sz="0" w:space="0" w:color="auto"/>
      </w:divBdr>
    </w:div>
    <w:div w:id="288824740">
      <w:bodyDiv w:val="1"/>
      <w:marLeft w:val="0"/>
      <w:marRight w:val="0"/>
      <w:marTop w:val="0"/>
      <w:marBottom w:val="0"/>
      <w:divBdr>
        <w:top w:val="none" w:sz="0" w:space="0" w:color="auto"/>
        <w:left w:val="none" w:sz="0" w:space="0" w:color="auto"/>
        <w:bottom w:val="none" w:sz="0" w:space="0" w:color="auto"/>
        <w:right w:val="none" w:sz="0" w:space="0" w:color="auto"/>
      </w:divBdr>
    </w:div>
    <w:div w:id="294680533">
      <w:bodyDiv w:val="1"/>
      <w:marLeft w:val="0"/>
      <w:marRight w:val="0"/>
      <w:marTop w:val="0"/>
      <w:marBottom w:val="0"/>
      <w:divBdr>
        <w:top w:val="none" w:sz="0" w:space="0" w:color="auto"/>
        <w:left w:val="none" w:sz="0" w:space="0" w:color="auto"/>
        <w:bottom w:val="none" w:sz="0" w:space="0" w:color="auto"/>
        <w:right w:val="none" w:sz="0" w:space="0" w:color="auto"/>
      </w:divBdr>
    </w:div>
    <w:div w:id="442461308">
      <w:bodyDiv w:val="1"/>
      <w:marLeft w:val="0"/>
      <w:marRight w:val="0"/>
      <w:marTop w:val="0"/>
      <w:marBottom w:val="0"/>
      <w:divBdr>
        <w:top w:val="none" w:sz="0" w:space="0" w:color="auto"/>
        <w:left w:val="none" w:sz="0" w:space="0" w:color="auto"/>
        <w:bottom w:val="none" w:sz="0" w:space="0" w:color="auto"/>
        <w:right w:val="none" w:sz="0" w:space="0" w:color="auto"/>
      </w:divBdr>
    </w:div>
    <w:div w:id="458695015">
      <w:bodyDiv w:val="1"/>
      <w:marLeft w:val="0"/>
      <w:marRight w:val="0"/>
      <w:marTop w:val="0"/>
      <w:marBottom w:val="0"/>
      <w:divBdr>
        <w:top w:val="none" w:sz="0" w:space="0" w:color="auto"/>
        <w:left w:val="none" w:sz="0" w:space="0" w:color="auto"/>
        <w:bottom w:val="none" w:sz="0" w:space="0" w:color="auto"/>
        <w:right w:val="none" w:sz="0" w:space="0" w:color="auto"/>
      </w:divBdr>
    </w:div>
    <w:div w:id="565381783">
      <w:bodyDiv w:val="1"/>
      <w:marLeft w:val="0"/>
      <w:marRight w:val="0"/>
      <w:marTop w:val="0"/>
      <w:marBottom w:val="0"/>
      <w:divBdr>
        <w:top w:val="none" w:sz="0" w:space="0" w:color="auto"/>
        <w:left w:val="none" w:sz="0" w:space="0" w:color="auto"/>
        <w:bottom w:val="none" w:sz="0" w:space="0" w:color="auto"/>
        <w:right w:val="none" w:sz="0" w:space="0" w:color="auto"/>
      </w:divBdr>
    </w:div>
    <w:div w:id="607196698">
      <w:bodyDiv w:val="1"/>
      <w:marLeft w:val="0"/>
      <w:marRight w:val="0"/>
      <w:marTop w:val="0"/>
      <w:marBottom w:val="0"/>
      <w:divBdr>
        <w:top w:val="none" w:sz="0" w:space="0" w:color="auto"/>
        <w:left w:val="none" w:sz="0" w:space="0" w:color="auto"/>
        <w:bottom w:val="none" w:sz="0" w:space="0" w:color="auto"/>
        <w:right w:val="none" w:sz="0" w:space="0" w:color="auto"/>
      </w:divBdr>
    </w:div>
    <w:div w:id="761951656">
      <w:bodyDiv w:val="1"/>
      <w:marLeft w:val="0"/>
      <w:marRight w:val="0"/>
      <w:marTop w:val="0"/>
      <w:marBottom w:val="0"/>
      <w:divBdr>
        <w:top w:val="none" w:sz="0" w:space="0" w:color="auto"/>
        <w:left w:val="none" w:sz="0" w:space="0" w:color="auto"/>
        <w:bottom w:val="none" w:sz="0" w:space="0" w:color="auto"/>
        <w:right w:val="none" w:sz="0" w:space="0" w:color="auto"/>
      </w:divBdr>
    </w:div>
    <w:div w:id="885263126">
      <w:bodyDiv w:val="1"/>
      <w:marLeft w:val="0"/>
      <w:marRight w:val="0"/>
      <w:marTop w:val="0"/>
      <w:marBottom w:val="0"/>
      <w:divBdr>
        <w:top w:val="none" w:sz="0" w:space="0" w:color="auto"/>
        <w:left w:val="none" w:sz="0" w:space="0" w:color="auto"/>
        <w:bottom w:val="none" w:sz="0" w:space="0" w:color="auto"/>
        <w:right w:val="none" w:sz="0" w:space="0" w:color="auto"/>
      </w:divBdr>
    </w:div>
    <w:div w:id="920528469">
      <w:bodyDiv w:val="1"/>
      <w:marLeft w:val="0"/>
      <w:marRight w:val="0"/>
      <w:marTop w:val="0"/>
      <w:marBottom w:val="0"/>
      <w:divBdr>
        <w:top w:val="none" w:sz="0" w:space="0" w:color="auto"/>
        <w:left w:val="none" w:sz="0" w:space="0" w:color="auto"/>
        <w:bottom w:val="none" w:sz="0" w:space="0" w:color="auto"/>
        <w:right w:val="none" w:sz="0" w:space="0" w:color="auto"/>
      </w:divBdr>
    </w:div>
    <w:div w:id="1036656552">
      <w:bodyDiv w:val="1"/>
      <w:marLeft w:val="0"/>
      <w:marRight w:val="0"/>
      <w:marTop w:val="0"/>
      <w:marBottom w:val="0"/>
      <w:divBdr>
        <w:top w:val="none" w:sz="0" w:space="0" w:color="auto"/>
        <w:left w:val="none" w:sz="0" w:space="0" w:color="auto"/>
        <w:bottom w:val="none" w:sz="0" w:space="0" w:color="auto"/>
        <w:right w:val="none" w:sz="0" w:space="0" w:color="auto"/>
      </w:divBdr>
    </w:div>
    <w:div w:id="1123229134">
      <w:bodyDiv w:val="1"/>
      <w:marLeft w:val="0"/>
      <w:marRight w:val="0"/>
      <w:marTop w:val="0"/>
      <w:marBottom w:val="0"/>
      <w:divBdr>
        <w:top w:val="none" w:sz="0" w:space="0" w:color="auto"/>
        <w:left w:val="none" w:sz="0" w:space="0" w:color="auto"/>
        <w:bottom w:val="none" w:sz="0" w:space="0" w:color="auto"/>
        <w:right w:val="none" w:sz="0" w:space="0" w:color="auto"/>
      </w:divBdr>
    </w:div>
    <w:div w:id="1188719372">
      <w:bodyDiv w:val="1"/>
      <w:marLeft w:val="0"/>
      <w:marRight w:val="0"/>
      <w:marTop w:val="0"/>
      <w:marBottom w:val="0"/>
      <w:divBdr>
        <w:top w:val="none" w:sz="0" w:space="0" w:color="auto"/>
        <w:left w:val="none" w:sz="0" w:space="0" w:color="auto"/>
        <w:bottom w:val="none" w:sz="0" w:space="0" w:color="auto"/>
        <w:right w:val="none" w:sz="0" w:space="0" w:color="auto"/>
      </w:divBdr>
    </w:div>
    <w:div w:id="1391613658">
      <w:bodyDiv w:val="1"/>
      <w:marLeft w:val="0"/>
      <w:marRight w:val="0"/>
      <w:marTop w:val="0"/>
      <w:marBottom w:val="0"/>
      <w:divBdr>
        <w:top w:val="none" w:sz="0" w:space="0" w:color="auto"/>
        <w:left w:val="none" w:sz="0" w:space="0" w:color="auto"/>
        <w:bottom w:val="none" w:sz="0" w:space="0" w:color="auto"/>
        <w:right w:val="none" w:sz="0" w:space="0" w:color="auto"/>
      </w:divBdr>
    </w:div>
    <w:div w:id="1409159179">
      <w:bodyDiv w:val="1"/>
      <w:marLeft w:val="0"/>
      <w:marRight w:val="0"/>
      <w:marTop w:val="0"/>
      <w:marBottom w:val="0"/>
      <w:divBdr>
        <w:top w:val="none" w:sz="0" w:space="0" w:color="auto"/>
        <w:left w:val="none" w:sz="0" w:space="0" w:color="auto"/>
        <w:bottom w:val="none" w:sz="0" w:space="0" w:color="auto"/>
        <w:right w:val="none" w:sz="0" w:space="0" w:color="auto"/>
      </w:divBdr>
    </w:div>
    <w:div w:id="1409503188">
      <w:bodyDiv w:val="1"/>
      <w:marLeft w:val="0"/>
      <w:marRight w:val="0"/>
      <w:marTop w:val="0"/>
      <w:marBottom w:val="0"/>
      <w:divBdr>
        <w:top w:val="none" w:sz="0" w:space="0" w:color="auto"/>
        <w:left w:val="none" w:sz="0" w:space="0" w:color="auto"/>
        <w:bottom w:val="none" w:sz="0" w:space="0" w:color="auto"/>
        <w:right w:val="none" w:sz="0" w:space="0" w:color="auto"/>
      </w:divBdr>
    </w:div>
    <w:div w:id="1518275140">
      <w:bodyDiv w:val="1"/>
      <w:marLeft w:val="0"/>
      <w:marRight w:val="0"/>
      <w:marTop w:val="0"/>
      <w:marBottom w:val="0"/>
      <w:divBdr>
        <w:top w:val="none" w:sz="0" w:space="0" w:color="auto"/>
        <w:left w:val="none" w:sz="0" w:space="0" w:color="auto"/>
        <w:bottom w:val="none" w:sz="0" w:space="0" w:color="auto"/>
        <w:right w:val="none" w:sz="0" w:space="0" w:color="auto"/>
      </w:divBdr>
    </w:div>
    <w:div w:id="1665668013">
      <w:bodyDiv w:val="1"/>
      <w:marLeft w:val="0"/>
      <w:marRight w:val="0"/>
      <w:marTop w:val="0"/>
      <w:marBottom w:val="0"/>
      <w:divBdr>
        <w:top w:val="none" w:sz="0" w:space="0" w:color="auto"/>
        <w:left w:val="none" w:sz="0" w:space="0" w:color="auto"/>
        <w:bottom w:val="none" w:sz="0" w:space="0" w:color="auto"/>
        <w:right w:val="none" w:sz="0" w:space="0" w:color="auto"/>
      </w:divBdr>
    </w:div>
    <w:div w:id="1913807536">
      <w:bodyDiv w:val="1"/>
      <w:marLeft w:val="0"/>
      <w:marRight w:val="0"/>
      <w:marTop w:val="0"/>
      <w:marBottom w:val="0"/>
      <w:divBdr>
        <w:top w:val="none" w:sz="0" w:space="0" w:color="auto"/>
        <w:left w:val="none" w:sz="0" w:space="0" w:color="auto"/>
        <w:bottom w:val="none" w:sz="0" w:space="0" w:color="auto"/>
        <w:right w:val="none" w:sz="0" w:space="0" w:color="auto"/>
      </w:divBdr>
    </w:div>
    <w:div w:id="2010211438">
      <w:bodyDiv w:val="1"/>
      <w:marLeft w:val="0"/>
      <w:marRight w:val="0"/>
      <w:marTop w:val="0"/>
      <w:marBottom w:val="0"/>
      <w:divBdr>
        <w:top w:val="none" w:sz="0" w:space="0" w:color="auto"/>
        <w:left w:val="none" w:sz="0" w:space="0" w:color="auto"/>
        <w:bottom w:val="none" w:sz="0" w:space="0" w:color="auto"/>
        <w:right w:val="none" w:sz="0" w:space="0" w:color="auto"/>
      </w:divBdr>
    </w:div>
    <w:div w:id="2039430293">
      <w:bodyDiv w:val="1"/>
      <w:marLeft w:val="0"/>
      <w:marRight w:val="0"/>
      <w:marTop w:val="0"/>
      <w:marBottom w:val="0"/>
      <w:divBdr>
        <w:top w:val="none" w:sz="0" w:space="0" w:color="auto"/>
        <w:left w:val="none" w:sz="0" w:space="0" w:color="auto"/>
        <w:bottom w:val="none" w:sz="0" w:space="0" w:color="auto"/>
        <w:right w:val="none" w:sz="0" w:space="0" w:color="auto"/>
      </w:divBdr>
    </w:div>
    <w:div w:id="2085762371">
      <w:bodyDiv w:val="1"/>
      <w:marLeft w:val="0"/>
      <w:marRight w:val="0"/>
      <w:marTop w:val="0"/>
      <w:marBottom w:val="0"/>
      <w:divBdr>
        <w:top w:val="none" w:sz="0" w:space="0" w:color="auto"/>
        <w:left w:val="none" w:sz="0" w:space="0" w:color="auto"/>
        <w:bottom w:val="none" w:sz="0" w:space="0" w:color="auto"/>
        <w:right w:val="none" w:sz="0" w:space="0" w:color="auto"/>
      </w:divBdr>
    </w:div>
    <w:div w:id="20928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s.men.gov.pl/dokumenty/wytyczne-w-zakresie-realizacji-przedsiewziec-z-udzialem-srodkow-europejskiego-funduszu-spolecznego-w-obszarze-edukacji-na-lata-2014-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wo.sejm.gov.pl/isap.nsf/download.xsp/WDU20110430225/T/D20110225L.pdf" TargetMode="External"/><Relationship Id="rId5" Type="http://schemas.openxmlformats.org/officeDocument/2006/relationships/hyperlink" Target="http://prawo.sejm.gov.pl/isap.nsf/download.xsp/WDU20040991001/U/D20041001Lj.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12</Pages>
  <Words>3957</Words>
  <Characters>23747</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akwiecinska</dc:creator>
  <cp:lastModifiedBy>akwiecinska</cp:lastModifiedBy>
  <cp:revision>11</cp:revision>
  <dcterms:created xsi:type="dcterms:W3CDTF">2020-01-31T08:34:00Z</dcterms:created>
  <dcterms:modified xsi:type="dcterms:W3CDTF">2020-02-03T10:56:00Z</dcterms:modified>
</cp:coreProperties>
</file>