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526D2D94"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 dnia </w:t>
      </w:r>
      <w:r>
        <w:rPr>
          <w:rFonts w:asciiTheme="minorHAnsi" w:hAnsiTheme="minorHAnsi"/>
          <w:sz w:val="24"/>
          <w:szCs w:val="24"/>
        </w:rPr>
        <w:t xml:space="preserve">    </w:t>
      </w:r>
      <w:r w:rsidRPr="004D35EE">
        <w:rPr>
          <w:rFonts w:asciiTheme="minorHAnsi" w:hAnsiTheme="minorHAnsi"/>
          <w:sz w:val="24"/>
          <w:szCs w:val="24"/>
        </w:rPr>
        <w:t xml:space="preserve"> </w:t>
      </w:r>
      <w:r w:rsidR="004014B5">
        <w:rPr>
          <w:rFonts w:asciiTheme="minorHAnsi" w:hAnsiTheme="minorHAnsi"/>
          <w:sz w:val="24"/>
          <w:szCs w:val="24"/>
        </w:rPr>
        <w:t>września</w:t>
      </w:r>
      <w:r w:rsidR="00EE3931">
        <w:rPr>
          <w:rFonts w:asciiTheme="minorHAnsi" w:hAnsiTheme="minorHAnsi"/>
          <w:sz w:val="24"/>
          <w:szCs w:val="24"/>
        </w:rPr>
        <w:t xml:space="preserve"> </w:t>
      </w:r>
      <w:r w:rsidRPr="004D35EE">
        <w:rPr>
          <w:rFonts w:asciiTheme="minorHAnsi" w:hAnsiTheme="minorHAnsi"/>
          <w:sz w:val="24"/>
          <w:szCs w:val="24"/>
        </w:rPr>
        <w:t>2019 r.</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675FFB71" w:rsidR="00E169DA" w:rsidRPr="004014B5" w:rsidRDefault="00E169DA" w:rsidP="00E169DA">
      <w:pPr>
        <w:pStyle w:val="Nagwek"/>
        <w:spacing w:line="360" w:lineRule="auto"/>
        <w:jc w:val="center"/>
        <w:rPr>
          <w:rFonts w:cs="Arial"/>
          <w:b/>
          <w:sz w:val="28"/>
          <w:szCs w:val="24"/>
          <w:u w:val="single"/>
        </w:rPr>
      </w:pPr>
      <w:r w:rsidRPr="004014B5">
        <w:rPr>
          <w:rFonts w:cs="Arial"/>
          <w:b/>
          <w:sz w:val="28"/>
          <w:szCs w:val="24"/>
          <w:u w:val="single"/>
        </w:rPr>
        <w:t>Poddziałanie 4.2.</w:t>
      </w:r>
      <w:r w:rsidR="004014B5" w:rsidRPr="004014B5">
        <w:rPr>
          <w:rFonts w:cs="Arial"/>
          <w:b/>
          <w:sz w:val="28"/>
          <w:szCs w:val="24"/>
          <w:u w:val="single"/>
        </w:rPr>
        <w:t>2</w:t>
      </w:r>
      <w:r w:rsidRPr="004014B5">
        <w:rPr>
          <w:rFonts w:cs="Arial"/>
          <w:b/>
          <w:sz w:val="28"/>
          <w:szCs w:val="24"/>
          <w:u w:val="single"/>
        </w:rPr>
        <w:t xml:space="preserve">. Gospodarka wodno-ściekowa – </w:t>
      </w:r>
      <w:r w:rsidR="004014B5" w:rsidRPr="004014B5">
        <w:rPr>
          <w:rFonts w:cs="Arial"/>
          <w:b/>
          <w:sz w:val="28"/>
          <w:szCs w:val="24"/>
          <w:u w:val="single"/>
        </w:rPr>
        <w:t xml:space="preserve">ZIT </w:t>
      </w:r>
      <w:proofErr w:type="spellStart"/>
      <w:r w:rsidR="004014B5" w:rsidRPr="004014B5">
        <w:rPr>
          <w:rFonts w:cs="Arial"/>
          <w:b/>
          <w:sz w:val="28"/>
          <w:szCs w:val="24"/>
          <w:u w:val="single"/>
        </w:rPr>
        <w:t>WrOF</w:t>
      </w:r>
      <w:proofErr w:type="spellEnd"/>
    </w:p>
    <w:p w14:paraId="25D74605" w14:textId="70BD9331" w:rsidR="004014B5" w:rsidRDefault="004014B5" w:rsidP="004014B5">
      <w:pPr>
        <w:pStyle w:val="Nagwek"/>
        <w:spacing w:line="360" w:lineRule="auto"/>
        <w:jc w:val="center"/>
        <w:rPr>
          <w:b/>
          <w:sz w:val="24"/>
          <w:szCs w:val="24"/>
        </w:rPr>
      </w:pPr>
      <w:r w:rsidRPr="00D04AC4">
        <w:rPr>
          <w:b/>
          <w:sz w:val="24"/>
          <w:szCs w:val="24"/>
        </w:rPr>
        <w:t>RPDS.04.02.0</w:t>
      </w:r>
      <w:r>
        <w:rPr>
          <w:b/>
          <w:sz w:val="24"/>
          <w:szCs w:val="24"/>
        </w:rPr>
        <w:t>2</w:t>
      </w:r>
      <w:r w:rsidRPr="00D04AC4">
        <w:rPr>
          <w:b/>
          <w:sz w:val="24"/>
          <w:szCs w:val="24"/>
        </w:rPr>
        <w:t>-IZ.00-02-35</w:t>
      </w:r>
      <w:r>
        <w:rPr>
          <w:b/>
          <w:sz w:val="24"/>
          <w:szCs w:val="24"/>
        </w:rPr>
        <w:t>9</w:t>
      </w:r>
      <w:r w:rsidRPr="00D04AC4">
        <w:rPr>
          <w:b/>
          <w:sz w:val="24"/>
          <w:szCs w:val="24"/>
        </w:rPr>
        <w:t>/19</w:t>
      </w:r>
    </w:p>
    <w:p w14:paraId="113DC9E9" w14:textId="77777777" w:rsidR="004014B5" w:rsidRDefault="004014B5" w:rsidP="004014B5">
      <w:pPr>
        <w:pStyle w:val="Nagwek"/>
        <w:spacing w:line="360" w:lineRule="auto"/>
        <w:jc w:val="center"/>
        <w:rPr>
          <w:rFonts w:cs="Arial"/>
          <w:b/>
          <w:sz w:val="32"/>
          <w:szCs w:val="24"/>
          <w:u w:val="single"/>
        </w:rPr>
      </w:pPr>
    </w:p>
    <w:p w14:paraId="437161CF" w14:textId="21466D2E" w:rsidR="004014B5" w:rsidRPr="004014B5" w:rsidRDefault="004014B5" w:rsidP="004014B5">
      <w:pPr>
        <w:pStyle w:val="Nagwek"/>
        <w:spacing w:line="360" w:lineRule="auto"/>
        <w:jc w:val="center"/>
        <w:rPr>
          <w:rFonts w:cs="Arial"/>
          <w:b/>
          <w:sz w:val="28"/>
          <w:szCs w:val="24"/>
          <w:u w:val="single"/>
        </w:rPr>
      </w:pPr>
      <w:r w:rsidRPr="004014B5">
        <w:rPr>
          <w:rFonts w:cs="Arial"/>
          <w:b/>
          <w:sz w:val="28"/>
          <w:szCs w:val="24"/>
          <w:u w:val="single"/>
        </w:rPr>
        <w:t>Poddziałanie 4.2.3. Gospodarka wodno-ściekowa – ZIT AJ</w:t>
      </w:r>
    </w:p>
    <w:p w14:paraId="4DBCC157" w14:textId="1C95C9E9" w:rsidR="00E169DA" w:rsidRPr="004D35EE" w:rsidRDefault="004014B5" w:rsidP="00E169DA">
      <w:pPr>
        <w:spacing w:line="360" w:lineRule="auto"/>
        <w:jc w:val="center"/>
        <w:rPr>
          <w:b/>
          <w:sz w:val="24"/>
          <w:szCs w:val="24"/>
        </w:rPr>
      </w:pPr>
      <w:r>
        <w:rPr>
          <w:b/>
          <w:sz w:val="24"/>
          <w:szCs w:val="24"/>
        </w:rPr>
        <w:t>RPDS.04.02.03-IZ.00-02-360</w:t>
      </w:r>
      <w:r w:rsidR="00E169DA" w:rsidRPr="00D04AC4">
        <w:rPr>
          <w:b/>
          <w:sz w:val="24"/>
          <w:szCs w:val="24"/>
        </w:rPr>
        <w:t>/19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32C577A1" w:rsidR="00E169DA" w:rsidRPr="004D35EE" w:rsidRDefault="00E169DA" w:rsidP="00E169DA">
      <w:pPr>
        <w:spacing w:line="360" w:lineRule="auto"/>
        <w:jc w:val="center"/>
        <w:rPr>
          <w:sz w:val="24"/>
          <w:szCs w:val="24"/>
        </w:rPr>
      </w:pPr>
      <w:r w:rsidRPr="004D35EE">
        <w:rPr>
          <w:sz w:val="24"/>
          <w:szCs w:val="24"/>
        </w:rPr>
        <w:t xml:space="preserve">Wrocław, </w:t>
      </w:r>
      <w:r w:rsidR="00A55D29">
        <w:rPr>
          <w:sz w:val="24"/>
          <w:szCs w:val="24"/>
        </w:rPr>
        <w:t xml:space="preserve">wrzesień </w:t>
      </w:r>
      <w:r w:rsidRPr="004D35EE">
        <w:rPr>
          <w:sz w:val="24"/>
          <w:szCs w:val="24"/>
        </w:rPr>
        <w:t>2019</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8</w:t>
            </w:r>
            <w:r w:rsidR="00102057" w:rsidRPr="003E735C">
              <w:rPr>
                <w:b w:val="0"/>
                <w:noProof/>
                <w:webHidden/>
                <w:sz w:val="24"/>
                <w:szCs w:val="24"/>
              </w:rPr>
              <w:fldChar w:fldCharType="end"/>
            </w:r>
          </w:hyperlink>
        </w:p>
        <w:p w14:paraId="63EE0FC3" w14:textId="77777777"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8</w:t>
            </w:r>
            <w:r w:rsidR="00102057" w:rsidRPr="003E735C">
              <w:rPr>
                <w:b w:val="0"/>
                <w:noProof/>
                <w:webHidden/>
                <w:sz w:val="24"/>
                <w:szCs w:val="24"/>
              </w:rPr>
              <w:fldChar w:fldCharType="end"/>
            </w:r>
          </w:hyperlink>
        </w:p>
        <w:p w14:paraId="3EDFA0CE" w14:textId="77777777"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13</w:t>
            </w:r>
            <w:r w:rsidR="00102057" w:rsidRPr="003E735C">
              <w:rPr>
                <w:b w:val="0"/>
                <w:noProof/>
                <w:webHidden/>
                <w:sz w:val="24"/>
                <w:szCs w:val="24"/>
              </w:rPr>
              <w:fldChar w:fldCharType="end"/>
            </w:r>
          </w:hyperlink>
        </w:p>
        <w:p w14:paraId="2428C712" w14:textId="0CA705A8"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19</w:t>
            </w:r>
            <w:r w:rsidR="00102057" w:rsidRPr="003E735C">
              <w:rPr>
                <w:b w:val="0"/>
                <w:noProof/>
                <w:webHidden/>
                <w:sz w:val="24"/>
                <w:szCs w:val="24"/>
              </w:rPr>
              <w:fldChar w:fldCharType="end"/>
            </w:r>
          </w:hyperlink>
        </w:p>
        <w:p w14:paraId="4B69B4E9" w14:textId="0DA536F8"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19</w:t>
            </w:r>
            <w:r w:rsidR="00102057" w:rsidRPr="003E735C">
              <w:rPr>
                <w:b w:val="0"/>
                <w:noProof/>
                <w:webHidden/>
                <w:sz w:val="24"/>
                <w:szCs w:val="24"/>
              </w:rPr>
              <w:fldChar w:fldCharType="end"/>
            </w:r>
          </w:hyperlink>
        </w:p>
        <w:p w14:paraId="314E3167" w14:textId="163A7B1F"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20</w:t>
            </w:r>
            <w:r w:rsidR="00102057" w:rsidRPr="003E735C">
              <w:rPr>
                <w:b w:val="0"/>
                <w:noProof/>
                <w:webHidden/>
                <w:sz w:val="24"/>
                <w:szCs w:val="24"/>
              </w:rPr>
              <w:fldChar w:fldCharType="end"/>
            </w:r>
          </w:hyperlink>
        </w:p>
        <w:p w14:paraId="1FC9FF55" w14:textId="5C92227C" w:rsidR="00102057" w:rsidRPr="003E735C" w:rsidRDefault="00D45FCB"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20</w:t>
            </w:r>
            <w:r w:rsidR="00102057" w:rsidRPr="003E735C">
              <w:rPr>
                <w:b w:val="0"/>
                <w:noProof/>
                <w:webHidden/>
                <w:sz w:val="24"/>
                <w:szCs w:val="24"/>
              </w:rPr>
              <w:fldChar w:fldCharType="end"/>
            </w:r>
          </w:hyperlink>
        </w:p>
        <w:p w14:paraId="23551B39" w14:textId="77777777"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21</w:t>
            </w:r>
            <w:r w:rsidR="00102057" w:rsidRPr="003E735C">
              <w:rPr>
                <w:b w:val="0"/>
                <w:noProof/>
                <w:webHidden/>
                <w:sz w:val="24"/>
                <w:szCs w:val="24"/>
              </w:rPr>
              <w:fldChar w:fldCharType="end"/>
            </w:r>
          </w:hyperlink>
        </w:p>
        <w:p w14:paraId="13022E27" w14:textId="6D41E129"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22</w:t>
            </w:r>
            <w:r w:rsidR="00102057" w:rsidRPr="003E735C">
              <w:rPr>
                <w:b w:val="0"/>
                <w:noProof/>
                <w:webHidden/>
                <w:sz w:val="24"/>
                <w:szCs w:val="24"/>
              </w:rPr>
              <w:fldChar w:fldCharType="end"/>
            </w:r>
          </w:hyperlink>
        </w:p>
        <w:p w14:paraId="104399AC" w14:textId="0B21DE52"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28</w:t>
            </w:r>
            <w:r w:rsidR="00102057" w:rsidRPr="003E735C">
              <w:rPr>
                <w:b w:val="0"/>
                <w:noProof/>
                <w:webHidden/>
                <w:sz w:val="24"/>
                <w:szCs w:val="24"/>
              </w:rPr>
              <w:fldChar w:fldCharType="end"/>
            </w:r>
          </w:hyperlink>
        </w:p>
        <w:p w14:paraId="0C6B0EBD" w14:textId="7E90B83F"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29</w:t>
            </w:r>
            <w:r w:rsidR="00102057" w:rsidRPr="003E735C">
              <w:rPr>
                <w:b w:val="0"/>
                <w:noProof/>
                <w:webHidden/>
                <w:sz w:val="24"/>
                <w:szCs w:val="24"/>
              </w:rPr>
              <w:fldChar w:fldCharType="end"/>
            </w:r>
          </w:hyperlink>
        </w:p>
        <w:p w14:paraId="0221256E" w14:textId="2D5AA969"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29</w:t>
            </w:r>
            <w:r w:rsidR="00102057" w:rsidRPr="003E735C">
              <w:rPr>
                <w:b w:val="0"/>
                <w:noProof/>
                <w:webHidden/>
                <w:sz w:val="24"/>
                <w:szCs w:val="24"/>
              </w:rPr>
              <w:fldChar w:fldCharType="end"/>
            </w:r>
          </w:hyperlink>
        </w:p>
        <w:p w14:paraId="4CA5AC5A" w14:textId="10F94E43"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30</w:t>
            </w:r>
            <w:r w:rsidR="00102057" w:rsidRPr="003E735C">
              <w:rPr>
                <w:b w:val="0"/>
                <w:noProof/>
                <w:webHidden/>
                <w:sz w:val="24"/>
                <w:szCs w:val="24"/>
              </w:rPr>
              <w:fldChar w:fldCharType="end"/>
            </w:r>
          </w:hyperlink>
        </w:p>
        <w:p w14:paraId="0AD1C5CD" w14:textId="473C201B"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33</w:t>
            </w:r>
            <w:r w:rsidR="00102057" w:rsidRPr="003E735C">
              <w:rPr>
                <w:b w:val="0"/>
                <w:noProof/>
                <w:webHidden/>
                <w:sz w:val="24"/>
                <w:szCs w:val="24"/>
              </w:rPr>
              <w:fldChar w:fldCharType="end"/>
            </w:r>
          </w:hyperlink>
        </w:p>
        <w:p w14:paraId="2C9E106E" w14:textId="68A87563"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33</w:t>
            </w:r>
            <w:r w:rsidR="00102057" w:rsidRPr="003E735C">
              <w:rPr>
                <w:b w:val="0"/>
                <w:noProof/>
                <w:webHidden/>
                <w:sz w:val="24"/>
                <w:szCs w:val="24"/>
              </w:rPr>
              <w:fldChar w:fldCharType="end"/>
            </w:r>
          </w:hyperlink>
        </w:p>
        <w:p w14:paraId="46E92653" w14:textId="1367D43D"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39</w:t>
            </w:r>
            <w:r w:rsidR="00102057" w:rsidRPr="003E735C">
              <w:rPr>
                <w:b w:val="0"/>
                <w:noProof/>
                <w:webHidden/>
                <w:sz w:val="24"/>
                <w:szCs w:val="24"/>
              </w:rPr>
              <w:fldChar w:fldCharType="end"/>
            </w:r>
          </w:hyperlink>
        </w:p>
        <w:p w14:paraId="79701A3C" w14:textId="1145E2D5"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41</w:t>
            </w:r>
            <w:r w:rsidR="00102057" w:rsidRPr="003E735C">
              <w:rPr>
                <w:b w:val="0"/>
                <w:noProof/>
                <w:webHidden/>
                <w:sz w:val="24"/>
                <w:szCs w:val="24"/>
              </w:rPr>
              <w:fldChar w:fldCharType="end"/>
            </w:r>
          </w:hyperlink>
        </w:p>
        <w:p w14:paraId="5CAB7910" w14:textId="21AC3F0B"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42</w:t>
            </w:r>
            <w:r w:rsidR="00102057" w:rsidRPr="003E735C">
              <w:rPr>
                <w:b w:val="0"/>
                <w:noProof/>
                <w:webHidden/>
                <w:sz w:val="24"/>
                <w:szCs w:val="24"/>
              </w:rPr>
              <w:fldChar w:fldCharType="end"/>
            </w:r>
          </w:hyperlink>
        </w:p>
        <w:p w14:paraId="39505206" w14:textId="411BC179"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46</w:t>
            </w:r>
            <w:r w:rsidR="00102057" w:rsidRPr="003E735C">
              <w:rPr>
                <w:b w:val="0"/>
                <w:noProof/>
                <w:webHidden/>
                <w:sz w:val="24"/>
                <w:szCs w:val="24"/>
              </w:rPr>
              <w:fldChar w:fldCharType="end"/>
            </w:r>
          </w:hyperlink>
        </w:p>
        <w:p w14:paraId="596789A5" w14:textId="67FB47EF"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52</w:t>
            </w:r>
            <w:r w:rsidR="00102057" w:rsidRPr="003E735C">
              <w:rPr>
                <w:b w:val="0"/>
                <w:noProof/>
                <w:webHidden/>
                <w:sz w:val="24"/>
                <w:szCs w:val="24"/>
              </w:rPr>
              <w:fldChar w:fldCharType="end"/>
            </w:r>
          </w:hyperlink>
        </w:p>
        <w:p w14:paraId="74185422" w14:textId="2818F140"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53</w:t>
            </w:r>
            <w:r w:rsidR="00102057" w:rsidRPr="003E735C">
              <w:rPr>
                <w:b w:val="0"/>
                <w:noProof/>
                <w:webHidden/>
                <w:sz w:val="24"/>
                <w:szCs w:val="24"/>
              </w:rPr>
              <w:fldChar w:fldCharType="end"/>
            </w:r>
          </w:hyperlink>
        </w:p>
        <w:p w14:paraId="64608A58" w14:textId="0A21EEC6"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54</w:t>
            </w:r>
            <w:r w:rsidR="00102057" w:rsidRPr="003E735C">
              <w:rPr>
                <w:b w:val="0"/>
                <w:noProof/>
                <w:webHidden/>
                <w:sz w:val="24"/>
                <w:szCs w:val="24"/>
              </w:rPr>
              <w:fldChar w:fldCharType="end"/>
            </w:r>
          </w:hyperlink>
        </w:p>
        <w:p w14:paraId="66A844AF" w14:textId="52D1DC4C"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54</w:t>
            </w:r>
            <w:r w:rsidR="00102057" w:rsidRPr="003E735C">
              <w:rPr>
                <w:b w:val="0"/>
                <w:noProof/>
                <w:webHidden/>
                <w:sz w:val="24"/>
                <w:szCs w:val="24"/>
              </w:rPr>
              <w:fldChar w:fldCharType="end"/>
            </w:r>
          </w:hyperlink>
        </w:p>
        <w:p w14:paraId="605FCAEF" w14:textId="57FD3C8E"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59</w:t>
            </w:r>
            <w:r w:rsidR="00102057" w:rsidRPr="003E735C">
              <w:rPr>
                <w:b w:val="0"/>
                <w:noProof/>
                <w:webHidden/>
                <w:sz w:val="24"/>
                <w:szCs w:val="24"/>
              </w:rPr>
              <w:fldChar w:fldCharType="end"/>
            </w:r>
          </w:hyperlink>
        </w:p>
        <w:p w14:paraId="55F9191A" w14:textId="2E038BD8"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60</w:t>
            </w:r>
            <w:r w:rsidR="00102057" w:rsidRPr="003E735C">
              <w:rPr>
                <w:b w:val="0"/>
                <w:noProof/>
                <w:webHidden/>
                <w:sz w:val="24"/>
                <w:szCs w:val="24"/>
              </w:rPr>
              <w:fldChar w:fldCharType="end"/>
            </w:r>
          </w:hyperlink>
        </w:p>
        <w:p w14:paraId="5044D1F6" w14:textId="7A7715EC"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61</w:t>
            </w:r>
            <w:r w:rsidR="00102057" w:rsidRPr="003E735C">
              <w:rPr>
                <w:b w:val="0"/>
                <w:noProof/>
                <w:webHidden/>
                <w:sz w:val="24"/>
                <w:szCs w:val="24"/>
              </w:rPr>
              <w:fldChar w:fldCharType="end"/>
            </w:r>
          </w:hyperlink>
        </w:p>
        <w:p w14:paraId="7B37AA32" w14:textId="2908F179"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61</w:t>
            </w:r>
            <w:r w:rsidR="00102057" w:rsidRPr="003E735C">
              <w:rPr>
                <w:b w:val="0"/>
                <w:noProof/>
                <w:webHidden/>
                <w:sz w:val="24"/>
                <w:szCs w:val="24"/>
              </w:rPr>
              <w:fldChar w:fldCharType="end"/>
            </w:r>
          </w:hyperlink>
        </w:p>
        <w:p w14:paraId="21894C95" w14:textId="65D35778"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62</w:t>
            </w:r>
            <w:r w:rsidR="00102057" w:rsidRPr="003E735C">
              <w:rPr>
                <w:b w:val="0"/>
                <w:noProof/>
                <w:webHidden/>
                <w:sz w:val="24"/>
                <w:szCs w:val="24"/>
              </w:rPr>
              <w:fldChar w:fldCharType="end"/>
            </w:r>
          </w:hyperlink>
        </w:p>
        <w:p w14:paraId="2B4BB2E4" w14:textId="5918A626"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64</w:t>
            </w:r>
            <w:r w:rsidR="00102057" w:rsidRPr="003E735C">
              <w:rPr>
                <w:b w:val="0"/>
                <w:noProof/>
                <w:webHidden/>
                <w:sz w:val="24"/>
                <w:szCs w:val="24"/>
              </w:rPr>
              <w:fldChar w:fldCharType="end"/>
            </w:r>
          </w:hyperlink>
        </w:p>
        <w:p w14:paraId="121AA89A" w14:textId="6D9772CB"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66</w:t>
            </w:r>
            <w:r w:rsidR="00102057" w:rsidRPr="003E735C">
              <w:rPr>
                <w:b w:val="0"/>
                <w:noProof/>
                <w:webHidden/>
                <w:sz w:val="24"/>
                <w:szCs w:val="24"/>
              </w:rPr>
              <w:fldChar w:fldCharType="end"/>
            </w:r>
          </w:hyperlink>
        </w:p>
        <w:p w14:paraId="23C2D245" w14:textId="661BCA8F"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66</w:t>
            </w:r>
            <w:r w:rsidR="00102057" w:rsidRPr="003E735C">
              <w:rPr>
                <w:b w:val="0"/>
                <w:noProof/>
                <w:webHidden/>
                <w:sz w:val="24"/>
                <w:szCs w:val="24"/>
              </w:rPr>
              <w:fldChar w:fldCharType="end"/>
            </w:r>
          </w:hyperlink>
        </w:p>
        <w:p w14:paraId="04096EFF" w14:textId="57247949"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71</w:t>
            </w:r>
            <w:r w:rsidR="00102057" w:rsidRPr="003E735C">
              <w:rPr>
                <w:b w:val="0"/>
                <w:noProof/>
                <w:webHidden/>
                <w:sz w:val="24"/>
                <w:szCs w:val="24"/>
              </w:rPr>
              <w:fldChar w:fldCharType="end"/>
            </w:r>
          </w:hyperlink>
        </w:p>
        <w:p w14:paraId="78F3DC83" w14:textId="21AAE0FD" w:rsidR="00102057" w:rsidRPr="003E735C" w:rsidRDefault="00D45FCB"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74</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0" w:name="_Toc11144819"/>
      <w:r w:rsidRPr="004D35EE">
        <w:rPr>
          <w:rFonts w:asciiTheme="minorHAnsi" w:hAnsiTheme="minorHAnsi"/>
        </w:rPr>
        <w:lastRenderedPageBreak/>
        <w:t>Słownik skrótów i pojęć</w:t>
      </w:r>
      <w:bookmarkEnd w:id="0"/>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 xml:space="preserve">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6453942A"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w:t>
      </w:r>
      <w:r w:rsidR="00272779">
        <w:rPr>
          <w:rFonts w:cs="Calibri"/>
          <w:color w:val="000000"/>
          <w:sz w:val="24"/>
          <w:szCs w:val="24"/>
        </w:rPr>
        <w:t>8</w:t>
      </w:r>
      <w:r w:rsidRPr="004D35EE">
        <w:rPr>
          <w:rFonts w:cs="Calibri"/>
          <w:color w:val="000000"/>
          <w:sz w:val="24"/>
          <w:szCs w:val="24"/>
        </w:rPr>
        <w:t xml:space="preserve"> r. poz. </w:t>
      </w:r>
      <w:r w:rsidR="00272779">
        <w:rPr>
          <w:rFonts w:cs="Calibri"/>
          <w:color w:val="000000"/>
          <w:sz w:val="24"/>
          <w:szCs w:val="24"/>
        </w:rPr>
        <w:t xml:space="preserve">2081, z </w:t>
      </w:r>
      <w:proofErr w:type="spellStart"/>
      <w:r w:rsidR="00272779">
        <w:rPr>
          <w:rFonts w:cs="Calibri"/>
          <w:color w:val="000000"/>
          <w:sz w:val="24"/>
          <w:szCs w:val="24"/>
        </w:rPr>
        <w:t>późn</w:t>
      </w:r>
      <w:proofErr w:type="spellEnd"/>
      <w:r w:rsidR="00272779">
        <w:rPr>
          <w:rFonts w:cs="Calibri"/>
          <w:color w:val="000000"/>
          <w:sz w:val="24"/>
          <w:szCs w:val="24"/>
        </w:rPr>
        <w:t>. zm.</w:t>
      </w:r>
      <w:r w:rsidRPr="004D35EE">
        <w:rPr>
          <w:rFonts w:cs="Calibri"/>
          <w:color w:val="000000"/>
          <w:sz w:val="24"/>
          <w:szCs w:val="24"/>
        </w:rPr>
        <w:t>)</w:t>
      </w:r>
    </w:p>
    <w:p w14:paraId="31C16355" w14:textId="484F233A"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w:t>
      </w:r>
      <w:r w:rsidR="00272779" w:rsidRPr="004D35EE">
        <w:rPr>
          <w:rFonts w:cs="Calibri"/>
          <w:color w:val="000000"/>
          <w:sz w:val="24"/>
          <w:szCs w:val="24"/>
        </w:rPr>
        <w:t xml:space="preserve">tekst jedn.: </w:t>
      </w:r>
      <w:r w:rsidRPr="004D35EE">
        <w:rPr>
          <w:rFonts w:cs="Calibri"/>
          <w:color w:val="000000"/>
          <w:sz w:val="24"/>
          <w:szCs w:val="24"/>
        </w:rPr>
        <w:t xml:space="preserve"> Dz. U. z 2018 r. poz. 1431</w:t>
      </w:r>
      <w:r w:rsidR="00272779">
        <w:rPr>
          <w:rFonts w:cs="Calibri"/>
          <w:color w:val="000000"/>
          <w:sz w:val="24"/>
          <w:szCs w:val="24"/>
        </w:rPr>
        <w:t>,</w:t>
      </w:r>
      <w:r w:rsidRPr="004D35EE">
        <w:rPr>
          <w:rFonts w:cs="Calibri"/>
          <w:color w:val="000000"/>
          <w:sz w:val="24"/>
          <w:szCs w:val="24"/>
        </w:rPr>
        <w:t xml:space="preserve"> 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B72BB0" w:rsidRDefault="00E169DA" w:rsidP="00B72BB0">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w:t>
      </w:r>
      <w:r w:rsidRPr="00B72BB0">
        <w:rPr>
          <w:rFonts w:cs="Calibri"/>
          <w:color w:val="000000"/>
          <w:sz w:val="24"/>
          <w:szCs w:val="24"/>
        </w:rPr>
        <w:t xml:space="preserve">który złożył wniosek o dofinansowanie </w:t>
      </w:r>
    </w:p>
    <w:p w14:paraId="3D864140" w14:textId="3A98855D" w:rsidR="003A763C" w:rsidRPr="00B72BB0" w:rsidRDefault="003A763C" w:rsidP="00B72BB0">
      <w:pPr>
        <w:autoSpaceDE w:val="0"/>
        <w:autoSpaceDN w:val="0"/>
        <w:adjustRightInd w:val="0"/>
        <w:spacing w:after="0" w:line="360" w:lineRule="auto"/>
        <w:rPr>
          <w:sz w:val="24"/>
          <w:szCs w:val="24"/>
        </w:rPr>
      </w:pPr>
      <w:r w:rsidRPr="00B72BB0">
        <w:rPr>
          <w:rFonts w:ascii="Calibri" w:hAnsi="Calibri" w:cs="Calibri"/>
          <w:b/>
          <w:color w:val="000000"/>
          <w:sz w:val="24"/>
          <w:szCs w:val="24"/>
        </w:rPr>
        <w:t>ZIT</w:t>
      </w:r>
      <w:r w:rsidRPr="00B72BB0">
        <w:rPr>
          <w:rFonts w:ascii="Calibri" w:hAnsi="Calibri" w:cs="Calibri"/>
          <w:color w:val="000000"/>
          <w:sz w:val="24"/>
          <w:szCs w:val="24"/>
        </w:rPr>
        <w:t xml:space="preserve"> - </w:t>
      </w:r>
      <w:r w:rsidRPr="00B72BB0">
        <w:rPr>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6281FF67" w14:textId="77777777"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 xml:space="preserve">ZIT </w:t>
      </w:r>
      <w:proofErr w:type="spellStart"/>
      <w:r w:rsidRPr="00B72BB0">
        <w:rPr>
          <w:b/>
          <w:sz w:val="24"/>
          <w:szCs w:val="24"/>
        </w:rPr>
        <w:t>WrOF</w:t>
      </w:r>
      <w:proofErr w:type="spellEnd"/>
      <w:r w:rsidRPr="00B72BB0">
        <w:rPr>
          <w:sz w:val="24"/>
          <w:szCs w:val="24"/>
        </w:rPr>
        <w:t xml:space="preserve"> - </w:t>
      </w:r>
      <w:r w:rsidRPr="00B72BB0">
        <w:rPr>
          <w:rFonts w:cs="Calibri"/>
          <w:color w:val="000000"/>
          <w:sz w:val="24"/>
          <w:szCs w:val="24"/>
        </w:rPr>
        <w:t xml:space="preserve">Zintegrowane Inwestycje Terytorialne Wrocławskiego Obszaru Funkcjonalnego. Gmina Wrocław, której powierzono funkcję Instytucji Pośredniczącej w ramach instrumentu Zintegrowane Inwestycje Terytorialne Wrocławskiego Obszaru Funkcjonalnego (ZIT </w:t>
      </w:r>
      <w:proofErr w:type="spellStart"/>
      <w:r w:rsidRPr="00B72BB0">
        <w:rPr>
          <w:rFonts w:cs="Calibri"/>
          <w:color w:val="000000"/>
          <w:sz w:val="24"/>
          <w:szCs w:val="24"/>
        </w:rPr>
        <w:t>WrOF</w:t>
      </w:r>
      <w:proofErr w:type="spellEnd"/>
      <w:r w:rsidRPr="00B72BB0">
        <w:rPr>
          <w:rFonts w:cs="Calibri"/>
          <w:color w:val="000000"/>
          <w:sz w:val="24"/>
          <w:szCs w:val="24"/>
        </w:rPr>
        <w:t>).</w:t>
      </w:r>
    </w:p>
    <w:p w14:paraId="32C1DCA5" w14:textId="0C12D666"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AJ</w:t>
      </w:r>
      <w:r w:rsidRPr="00B72BB0">
        <w:rPr>
          <w:sz w:val="24"/>
          <w:szCs w:val="24"/>
        </w:rPr>
        <w:t xml:space="preserve"> - </w:t>
      </w:r>
      <w:r w:rsidRPr="00B72BB0">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14:paraId="6A001FC9" w14:textId="77777777" w:rsidR="00E169DA" w:rsidRPr="00B72BB0" w:rsidRDefault="00E169DA" w:rsidP="00B72BB0">
      <w:pPr>
        <w:spacing w:after="0" w:line="360" w:lineRule="auto"/>
        <w:rPr>
          <w:bCs/>
          <w:sz w:val="24"/>
          <w:szCs w:val="24"/>
        </w:rPr>
      </w:pPr>
      <w:r w:rsidRPr="00B72BB0">
        <w:rPr>
          <w:b/>
          <w:bCs/>
          <w:sz w:val="24"/>
          <w:szCs w:val="24"/>
        </w:rPr>
        <w:t>ZWD</w:t>
      </w:r>
      <w:r w:rsidRPr="00B72BB0">
        <w:rPr>
          <w:bCs/>
          <w:sz w:val="24"/>
          <w:szCs w:val="24"/>
        </w:rPr>
        <w:t xml:space="preserve"> </w:t>
      </w:r>
      <w:r w:rsidRPr="00B72BB0">
        <w:rPr>
          <w:rFonts w:cs="Calibri"/>
          <w:color w:val="000000"/>
          <w:sz w:val="24"/>
          <w:szCs w:val="24"/>
        </w:rPr>
        <w:t>–</w:t>
      </w:r>
      <w:r w:rsidRPr="00B72BB0">
        <w:rPr>
          <w:b/>
          <w:bCs/>
          <w:sz w:val="24"/>
          <w:szCs w:val="24"/>
        </w:rPr>
        <w:t xml:space="preserve"> </w:t>
      </w:r>
      <w:r w:rsidRPr="00B72BB0">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1" w:name="_Toc11144820"/>
      <w:r w:rsidRPr="004D35EE">
        <w:rPr>
          <w:rFonts w:asciiTheme="minorHAnsi" w:hAnsiTheme="minorHAnsi"/>
        </w:rPr>
        <w:t>Regulamin konkursu – informacje ogólne</w:t>
      </w:r>
      <w:bookmarkEnd w:id="1"/>
    </w:p>
    <w:p w14:paraId="525D95FD" w14:textId="4D808E49"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100F88">
        <w:rPr>
          <w:rFonts w:eastAsia="Droid Sans Fallback" w:cs="Calibri"/>
          <w:color w:val="00000A"/>
          <w:sz w:val="24"/>
          <w:szCs w:val="24"/>
        </w:rPr>
        <w:t>ów</w:t>
      </w:r>
      <w:r w:rsidRPr="004D35EE">
        <w:rPr>
          <w:rFonts w:eastAsia="Droid Sans Fallback" w:cs="Calibri"/>
          <w:color w:val="00000A"/>
          <w:sz w:val="24"/>
          <w:szCs w:val="24"/>
        </w:rPr>
        <w:t xml:space="preserve">, zasady </w:t>
      </w:r>
      <w:r w:rsidR="00100F88">
        <w:rPr>
          <w:rFonts w:eastAsia="Droid Sans Fallback" w:cs="Calibri"/>
          <w:color w:val="00000A"/>
          <w:sz w:val="24"/>
          <w:szCs w:val="24"/>
        </w:rPr>
        <w:t>ich</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w:t>
      </w:r>
      <w:r w:rsidR="00100F88">
        <w:rPr>
          <w:rFonts w:eastAsia="Droid Sans Fallback" w:cs="Calibri"/>
          <w:color w:val="00000A"/>
          <w:sz w:val="24"/>
          <w:szCs w:val="24"/>
        </w:rPr>
        <w:t>,</w:t>
      </w:r>
      <w:r w:rsidRPr="004D35EE">
        <w:rPr>
          <w:rFonts w:eastAsia="Droid Sans Fallback" w:cs="Calibri"/>
          <w:color w:val="00000A"/>
          <w:sz w:val="24"/>
          <w:szCs w:val="24"/>
        </w:rPr>
        <w:t xml:space="preserve">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4AD311E1" w14:textId="77777777" w:rsidR="00622FF3" w:rsidRDefault="00622FF3" w:rsidP="00622FF3">
      <w:pPr>
        <w:pStyle w:val="Nagwek"/>
        <w:spacing w:line="360" w:lineRule="auto"/>
        <w:rPr>
          <w:rFonts w:cs="Arial"/>
          <w:b/>
          <w:sz w:val="24"/>
          <w:szCs w:val="24"/>
        </w:rPr>
      </w:pPr>
    </w:p>
    <w:p w14:paraId="004759D5" w14:textId="77777777" w:rsidR="00622FF3" w:rsidRPr="00622FF3" w:rsidRDefault="00622FF3" w:rsidP="00622FF3">
      <w:pPr>
        <w:pStyle w:val="Nagwek"/>
        <w:spacing w:line="360" w:lineRule="auto"/>
        <w:rPr>
          <w:rFonts w:cs="Arial"/>
          <w:b/>
          <w:sz w:val="24"/>
          <w:szCs w:val="24"/>
        </w:rPr>
      </w:pPr>
      <w:r w:rsidRPr="00622FF3">
        <w:rPr>
          <w:rFonts w:cs="Arial"/>
          <w:b/>
          <w:sz w:val="24"/>
          <w:szCs w:val="24"/>
        </w:rPr>
        <w:lastRenderedPageBreak/>
        <w:t>Poddziałanie 4.2.2 Gospodarka wodno-ściekowa – ZIT Wrocławskiego Obszaru Funkcjonalnego.</w:t>
      </w:r>
    </w:p>
    <w:p w14:paraId="4C4E035D" w14:textId="2974C47E" w:rsidR="00622FF3" w:rsidRPr="00622FF3" w:rsidRDefault="00622FF3" w:rsidP="00622FF3">
      <w:pPr>
        <w:pStyle w:val="Nagwek"/>
        <w:spacing w:line="360" w:lineRule="auto"/>
        <w:rPr>
          <w:rFonts w:cs="Arial"/>
          <w:b/>
          <w:sz w:val="24"/>
          <w:szCs w:val="24"/>
        </w:rPr>
      </w:pPr>
      <w:r w:rsidRPr="00622FF3">
        <w:rPr>
          <w:rFonts w:cs="Arial"/>
          <w:b/>
          <w:sz w:val="24"/>
          <w:szCs w:val="24"/>
        </w:rPr>
        <w:t xml:space="preserve">Nabór w trybie konkursowym – dla beneficjentów realizujących projekty na terenie Wrocławskiego Obszaru Funkcjonalnego określonego w Strategii ZIT </w:t>
      </w:r>
      <w:proofErr w:type="spellStart"/>
      <w:r w:rsidRPr="00622FF3">
        <w:rPr>
          <w:rFonts w:cs="Arial"/>
          <w:b/>
          <w:sz w:val="24"/>
          <w:szCs w:val="24"/>
        </w:rPr>
        <w:t>WrOF</w:t>
      </w:r>
      <w:proofErr w:type="spellEnd"/>
      <w:r>
        <w:rPr>
          <w:rStyle w:val="Odwoanieprzypisudolnego"/>
          <w:rFonts w:cs="Arial"/>
          <w:b/>
          <w:sz w:val="24"/>
          <w:szCs w:val="24"/>
        </w:rPr>
        <w:footnoteReference w:id="1"/>
      </w:r>
      <w:r w:rsidRPr="00622FF3">
        <w:rPr>
          <w:rFonts w:cs="Arial"/>
          <w:b/>
          <w:sz w:val="24"/>
          <w:szCs w:val="24"/>
        </w:rPr>
        <w:t>.</w:t>
      </w:r>
    </w:p>
    <w:p w14:paraId="67E3EF76" w14:textId="77777777" w:rsidR="00622FF3" w:rsidRPr="00622FF3" w:rsidRDefault="00622FF3" w:rsidP="00622FF3">
      <w:pPr>
        <w:pStyle w:val="Nagwek"/>
        <w:spacing w:line="360" w:lineRule="auto"/>
        <w:rPr>
          <w:rFonts w:cs="Arial"/>
          <w:b/>
          <w:sz w:val="24"/>
          <w:szCs w:val="24"/>
        </w:rPr>
      </w:pPr>
    </w:p>
    <w:p w14:paraId="2E666094" w14:textId="77777777" w:rsidR="00622FF3" w:rsidRPr="00622FF3" w:rsidRDefault="00622FF3" w:rsidP="00622FF3">
      <w:pPr>
        <w:pStyle w:val="Nagwek"/>
        <w:spacing w:line="360" w:lineRule="auto"/>
        <w:rPr>
          <w:rFonts w:cs="Arial"/>
          <w:b/>
          <w:sz w:val="24"/>
          <w:szCs w:val="24"/>
        </w:rPr>
      </w:pPr>
      <w:r w:rsidRPr="00622FF3">
        <w:rPr>
          <w:rFonts w:cs="Arial"/>
          <w:b/>
          <w:sz w:val="24"/>
          <w:szCs w:val="24"/>
        </w:rPr>
        <w:t>Poddziałanie 4.2.3 Gospodarka wodno-ściekowa – ZIT Aglomeracji Jeleniogórskiej.</w:t>
      </w:r>
    </w:p>
    <w:p w14:paraId="76DB9F52" w14:textId="4673BA5D" w:rsidR="00E169DA"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Aglomeracji Jeleniogórskiej określonej w Strategii ZIT AJ</w:t>
      </w:r>
      <w:r>
        <w:rPr>
          <w:rStyle w:val="Odwoanieprzypisudolnego"/>
          <w:rFonts w:cs="Arial"/>
          <w:b/>
          <w:sz w:val="24"/>
          <w:szCs w:val="24"/>
        </w:rPr>
        <w:footnoteReference w:id="2"/>
      </w:r>
      <w:r w:rsidRPr="00622FF3">
        <w:rPr>
          <w:rFonts w:cs="Arial"/>
          <w:b/>
          <w:sz w:val="24"/>
          <w:szCs w:val="24"/>
        </w:rPr>
        <w:t>.</w:t>
      </w:r>
    </w:p>
    <w:p w14:paraId="1E61CB51" w14:textId="77777777" w:rsidR="00622FF3" w:rsidRPr="004D35EE" w:rsidRDefault="00622FF3" w:rsidP="00622FF3">
      <w:pPr>
        <w:pStyle w:val="Nagwek"/>
        <w:spacing w:line="360" w:lineRule="auto"/>
        <w:rPr>
          <w:rFonts w:eastAsia="Droid Sans Fallback" w:cs="Calibri"/>
          <w:b/>
          <w:color w:val="00000A"/>
          <w:sz w:val="24"/>
          <w:szCs w:val="24"/>
        </w:rPr>
      </w:pPr>
    </w:p>
    <w:p w14:paraId="627BF46A" w14:textId="1804FB8C"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Regulamin oraz wszystkie niezbędne do złożenia w konkurs</w:t>
      </w:r>
      <w:r w:rsidR="00100F88">
        <w:rPr>
          <w:rFonts w:eastAsia="Times New Roman" w:cs="Calibri"/>
          <w:color w:val="000000"/>
          <w:sz w:val="24"/>
          <w:szCs w:val="24"/>
          <w:lang w:eastAsia="pl-PL"/>
        </w:rPr>
        <w:t>ach</w:t>
      </w:r>
      <w:r w:rsidRPr="004D35EE">
        <w:rPr>
          <w:rFonts w:eastAsia="Times New Roman" w:cs="Calibri"/>
          <w:color w:val="000000"/>
          <w:sz w:val="24"/>
          <w:szCs w:val="24"/>
          <w:lang w:eastAsia="pl-PL"/>
        </w:rPr>
        <w:t xml:space="preserv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00B90AEA">
        <w:rPr>
          <w:rStyle w:val="Hipercze"/>
          <w:sz w:val="24"/>
          <w:szCs w:val="24"/>
        </w:rPr>
        <w:t xml:space="preserve">, </w:t>
      </w:r>
      <w:hyperlink r:id="rId12" w:history="1">
        <w:r w:rsidR="00B90AEA" w:rsidRPr="003D432E">
          <w:rPr>
            <w:rStyle w:val="Hipercze"/>
            <w:sz w:val="24"/>
            <w:szCs w:val="24"/>
          </w:rPr>
          <w:t>www.zitwrof.pl</w:t>
        </w:r>
      </w:hyperlink>
      <w:r w:rsidR="00B90AEA">
        <w:rPr>
          <w:rStyle w:val="Hipercze"/>
          <w:sz w:val="24"/>
          <w:szCs w:val="24"/>
        </w:rPr>
        <w:t>,</w:t>
      </w:r>
      <w:r w:rsidR="00B90AEA">
        <w:rPr>
          <w:sz w:val="24"/>
          <w:szCs w:val="24"/>
        </w:rPr>
        <w:t xml:space="preserve"> </w:t>
      </w:r>
      <w:hyperlink r:id="rId13" w:history="1">
        <w:r w:rsidR="00B90AEA" w:rsidRPr="003D432E">
          <w:rPr>
            <w:rStyle w:val="Hipercze"/>
            <w:sz w:val="24"/>
            <w:szCs w:val="24"/>
          </w:rPr>
          <w:t>http://zitaj.jeleniagora.pl</w:t>
        </w:r>
      </w:hyperlink>
      <w:r w:rsidR="00B90AEA">
        <w:rPr>
          <w:rStyle w:val="Hipercze"/>
          <w:sz w:val="24"/>
          <w:szCs w:val="24"/>
        </w:rPr>
        <w:t xml:space="preserve">. </w:t>
      </w:r>
      <w:hyperlink w:history="1"/>
    </w:p>
    <w:p w14:paraId="485C6870" w14:textId="3BC39B0E"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xml:space="preserve"> jest równoznaczne z akceptacją przez Wnioskodawcę postanowień regulaminu.</w:t>
      </w:r>
    </w:p>
    <w:p w14:paraId="1C1F7A0A" w14:textId="1F26F9F5"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5753BFCA"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w:t>
      </w:r>
      <w:r w:rsidR="00100F88">
        <w:rPr>
          <w:rFonts w:eastAsia="Droid Sans Fallback" w:cs="Calibri"/>
          <w:color w:val="000000"/>
          <w:sz w:val="24"/>
          <w:szCs w:val="24"/>
        </w:rPr>
        <w:t>ów</w:t>
      </w:r>
      <w:r w:rsidRPr="004D35EE">
        <w:rPr>
          <w:rFonts w:eastAsia="Droid Sans Fallback" w:cs="Calibri"/>
          <w:color w:val="000000"/>
          <w:sz w:val="24"/>
          <w:szCs w:val="24"/>
        </w:rPr>
        <w:t xml:space="preserve">, jeśli nie wskazano inaczej, wyrażone są w dniach kalendarzowych. Jeżeli </w:t>
      </w:r>
      <w:r w:rsidRPr="004D35EE">
        <w:rPr>
          <w:rFonts w:eastAsia="Droid Sans Fallback" w:cs="Calibri"/>
          <w:color w:val="000000"/>
          <w:sz w:val="24"/>
          <w:szCs w:val="24"/>
        </w:rPr>
        <w:lastRenderedPageBreak/>
        <w:t>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2" w:name="_Toc11144821"/>
      <w:r w:rsidRPr="004D35EE">
        <w:rPr>
          <w:rFonts w:asciiTheme="minorHAnsi" w:hAnsiTheme="minorHAnsi"/>
        </w:rPr>
        <w:t>Pełna nazwa i adres właściwej instytucji organizującej konkurs</w:t>
      </w:r>
      <w:bookmarkEnd w:id="2"/>
    </w:p>
    <w:p w14:paraId="743A0D8D" w14:textId="77777777" w:rsidR="00373661"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w:t>
      </w:r>
      <w:r w:rsidR="00373661">
        <w:rPr>
          <w:rFonts w:eastAsia="Times New Roman" w:cs="Calibri"/>
          <w:color w:val="000000"/>
          <w:sz w:val="24"/>
          <w:szCs w:val="24"/>
          <w:lang w:eastAsia="pl-PL"/>
        </w:rPr>
        <w:t>:</w:t>
      </w:r>
    </w:p>
    <w:p w14:paraId="6F6E7986" w14:textId="30D9A7E5" w:rsidR="00373661" w:rsidRPr="00373661" w:rsidRDefault="008418C8"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.2.2 Gospodarka wodno-ściekowa – ZIT Wrocławskiego Obszaru Funkcjonalnego - </w:t>
      </w:r>
      <w:r w:rsidR="00373661" w:rsidRPr="00814322">
        <w:rPr>
          <w:rFonts w:eastAsia="Droid Sans Fallback" w:cs="Calibri"/>
          <w:b/>
          <w:color w:val="000000"/>
          <w:sz w:val="24"/>
          <w:szCs w:val="24"/>
          <w:u w:val="single"/>
        </w:rPr>
        <w:t>Instytucja Zarządzająca Regionalnym Programem Operacyjnym Województwa Dolnośląskiego 2014-2020 oraz Gmina Wrocław</w:t>
      </w:r>
      <w:r w:rsidR="00373661" w:rsidRPr="00373661">
        <w:rPr>
          <w:rFonts w:eastAsia="Droid Sans Fallback" w:cs="Calibri"/>
          <w:color w:val="000000"/>
          <w:sz w:val="24"/>
          <w:szCs w:val="24"/>
        </w:rPr>
        <w:t xml:space="preserve"> pełniąca funkcję IP w ramach instrumentu Zintegrowane Inwestycje Terytorialne Wrocławskiego Obszaru Funkcjonalnego (ZIT </w:t>
      </w:r>
      <w:proofErr w:type="spellStart"/>
      <w:r w:rsidR="00373661" w:rsidRPr="00373661">
        <w:rPr>
          <w:rFonts w:eastAsia="Droid Sans Fallback" w:cs="Calibri"/>
          <w:color w:val="000000"/>
          <w:sz w:val="24"/>
          <w:szCs w:val="24"/>
        </w:rPr>
        <w:t>WrOF</w:t>
      </w:r>
      <w:proofErr w:type="spellEnd"/>
      <w:r w:rsidR="00373661" w:rsidRPr="00373661">
        <w:rPr>
          <w:rFonts w:eastAsia="Droid Sans Fallback" w:cs="Calibri"/>
          <w:color w:val="000000"/>
          <w:sz w:val="24"/>
          <w:szCs w:val="24"/>
        </w:rPr>
        <w:t xml:space="preserve">) pełniące role Instytucji Organizującej Konkurs. </w:t>
      </w:r>
      <w:r w:rsidR="00102917" w:rsidRPr="00102917">
        <w:rPr>
          <w:rFonts w:eastAsia="Droid Sans Fallback" w:cs="Calibri"/>
          <w:color w:val="000000"/>
          <w:sz w:val="24"/>
          <w:szCs w:val="24"/>
        </w:rPr>
        <w:t xml:space="preserve">Porozumienie zawarte pomiędzy IZ RPO WD a Gminą Wrocław pełniącą funkcję lidera ZIT </w:t>
      </w:r>
      <w:proofErr w:type="spellStart"/>
      <w:r w:rsidR="00102917" w:rsidRPr="00102917">
        <w:rPr>
          <w:rFonts w:eastAsia="Droid Sans Fallback" w:cs="Calibri"/>
          <w:color w:val="000000"/>
          <w:sz w:val="24"/>
          <w:szCs w:val="24"/>
        </w:rPr>
        <w:t>WrOF</w:t>
      </w:r>
      <w:proofErr w:type="spellEnd"/>
      <w:r w:rsidR="00102917" w:rsidRPr="00102917">
        <w:rPr>
          <w:rFonts w:eastAsia="Droid Sans Fallback" w:cs="Calibri"/>
          <w:color w:val="000000"/>
          <w:sz w:val="24"/>
          <w:szCs w:val="24"/>
        </w:rPr>
        <w:t xml:space="preserve"> </w:t>
      </w:r>
      <w:r w:rsidR="00102917">
        <w:rPr>
          <w:rFonts w:eastAsia="Droid Sans Fallback" w:cs="Calibri"/>
          <w:color w:val="000000"/>
          <w:sz w:val="24"/>
          <w:szCs w:val="24"/>
        </w:rPr>
        <w:t xml:space="preserve">oraz </w:t>
      </w:r>
      <w:r w:rsidR="00102917"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7C3904EF" w14:textId="6F7B43F0" w:rsidR="00373661" w:rsidRPr="00373661" w:rsidRDefault="00102917"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w:t>
      </w:r>
      <w:r w:rsidR="008418C8">
        <w:rPr>
          <w:rFonts w:eastAsia="Droid Sans Fallback" w:cs="Calibri"/>
          <w:color w:val="000000"/>
          <w:sz w:val="24"/>
          <w:szCs w:val="24"/>
        </w:rPr>
        <w:t>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.2.3 - Gospodarka wodno-ściekowa – ZIT Aglomeracji Jeleniogórskiej - </w:t>
      </w:r>
      <w:r w:rsidR="00373661" w:rsidRPr="00814322">
        <w:rPr>
          <w:rFonts w:eastAsia="Droid Sans Fallback" w:cs="Calibri"/>
          <w:b/>
          <w:color w:val="000000"/>
          <w:sz w:val="24"/>
          <w:szCs w:val="24"/>
          <w:u w:val="single"/>
        </w:rPr>
        <w:t>Instytucja Zarządzająca Regionalnym Programem Operacyjnym Województwa Dolnośląskiego 2014-2020 oraz Miasto Jelenia Góra</w:t>
      </w:r>
      <w:r w:rsidR="00373661" w:rsidRPr="00373661">
        <w:rPr>
          <w:rFonts w:eastAsia="Droid Sans Fallback" w:cs="Calibri"/>
          <w:color w:val="000000"/>
          <w:sz w:val="24"/>
          <w:szCs w:val="24"/>
        </w:rPr>
        <w:t>, któremu zostało powierzone zarządzanie Zintegrowanymi Inwestycjami Terytorialnymi Aglomeracji Jeleniogórskiej pełniące rolę Instytucji Organizującej Konkurs.</w:t>
      </w:r>
      <w:r>
        <w:rPr>
          <w:rFonts w:eastAsia="Droid Sans Fallback" w:cs="Calibri"/>
          <w:color w:val="000000"/>
          <w:sz w:val="24"/>
          <w:szCs w:val="24"/>
        </w:rPr>
        <w:t xml:space="preserve"> </w:t>
      </w:r>
      <w:r w:rsidRPr="00102917">
        <w:rPr>
          <w:rFonts w:eastAsia="Droid Sans Fallback" w:cs="Calibri"/>
          <w:color w:val="000000"/>
          <w:sz w:val="24"/>
          <w:szCs w:val="24"/>
        </w:rPr>
        <w:t xml:space="preserve">Porozumienie  zawarte pomiędzy IZ RPO WD a Miastem Jelenia Góra pełniącym funkcję lidera ZIT AJ </w:t>
      </w:r>
      <w:r>
        <w:rPr>
          <w:rFonts w:eastAsia="Droid Sans Fallback" w:cs="Calibri"/>
          <w:color w:val="000000"/>
          <w:sz w:val="24"/>
          <w:szCs w:val="24"/>
        </w:rPr>
        <w:t xml:space="preserve">oraz </w:t>
      </w:r>
      <w:r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1CFBFF8A" w14:textId="77777777" w:rsidR="00373661" w:rsidRPr="00135660" w:rsidRDefault="00373661" w:rsidP="00373661">
      <w:pPr>
        <w:spacing w:before="120" w:after="120" w:line="360" w:lineRule="auto"/>
        <w:jc w:val="both"/>
        <w:rPr>
          <w:rFonts w:eastAsia="Droid Sans Fallback" w:cs="Calibri"/>
          <w:color w:val="000000"/>
          <w:sz w:val="24"/>
          <w:szCs w:val="24"/>
        </w:rPr>
      </w:pPr>
      <w:bookmarkStart w:id="3" w:name="_Toc11144822"/>
      <w:r w:rsidRPr="00135660">
        <w:rPr>
          <w:rFonts w:eastAsia="Droid Sans Fallback" w:cs="Calibri"/>
          <w:color w:val="000000"/>
          <w:sz w:val="24"/>
          <w:szCs w:val="24"/>
        </w:rPr>
        <w:t>Funkcję Instytucji Zarządzającej pełni Zarząd Województwa Dolnośląskiego.</w:t>
      </w:r>
    </w:p>
    <w:p w14:paraId="0A871193" w14:textId="77777777" w:rsidR="00373661" w:rsidRPr="00135660"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14:paraId="7AB9EFF8" w14:textId="77777777" w:rsidR="00373661" w:rsidRPr="00BE5CC2"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r w:rsidRPr="004D35EE">
        <w:rPr>
          <w:rFonts w:asciiTheme="minorHAnsi" w:hAnsiTheme="minorHAnsi"/>
        </w:rPr>
        <w:lastRenderedPageBreak/>
        <w:t>Podstawy prawne oraz inne ważne dokumenty</w:t>
      </w:r>
      <w:bookmarkEnd w:id="3"/>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 xml:space="preserve">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Rozporządzenie Komisji (UE) nr 1407/2013 z dnia 18 grudnia 2013 r. 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 xml:space="preserve">października 2000 r. ustanawiająca ramy wspólnotowego działania w dziedzinie polityki wodnej (Dz. Urz. UE L 327 z 22.12.2000, str. 1, z </w:t>
      </w:r>
      <w:proofErr w:type="spellStart"/>
      <w:r w:rsidRPr="002705EA">
        <w:rPr>
          <w:rFonts w:asciiTheme="minorHAnsi" w:hAnsiTheme="minorHAnsi"/>
          <w:sz w:val="24"/>
          <w:szCs w:val="24"/>
        </w:rPr>
        <w:t>późn</w:t>
      </w:r>
      <w:proofErr w:type="spellEnd"/>
      <w:r w:rsidRPr="002705EA">
        <w:rPr>
          <w:rFonts w:asciiTheme="minorHAnsi" w:hAnsiTheme="minorHAnsi"/>
          <w:sz w:val="24"/>
          <w:szCs w:val="24"/>
        </w:rPr>
        <w:t>.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lastRenderedPageBreak/>
        <w:t>Ustawa z dnia 27 kwietnia 2001 r. Prawo ochrony środowiska (Dz.U. 2018 poz. 799</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 xml:space="preserve">Ustawa z dnia 20 lipca 2017 r. Prawo wodne (Dz.U. z 2018 r. poz. 2268,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B92FA5C" w14:textId="23F42FD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3D5821">
        <w:rPr>
          <w:rFonts w:asciiTheme="minorHAnsi" w:hAnsiTheme="minorHAnsi"/>
          <w:color w:val="000000"/>
          <w:sz w:val="24"/>
          <w:szCs w:val="24"/>
        </w:rPr>
        <w:t>1437</w:t>
      </w:r>
      <w:r w:rsidRPr="002705EA">
        <w:rPr>
          <w:rFonts w:asciiTheme="minorHAnsi" w:hAnsiTheme="minorHAnsi"/>
          <w:color w:val="000000"/>
          <w:sz w:val="24"/>
          <w:szCs w:val="24"/>
        </w:rPr>
        <w:t>)</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29 stycznia 2004 r. Prawo zamówień publicznych (tekst jedn.: Dz. U. z 2018 r. poz. 1986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AD98FE0" w14:textId="6DB6E511"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poz.1</w:t>
      </w:r>
      <w:r w:rsidR="003D5821">
        <w:rPr>
          <w:rFonts w:asciiTheme="minorHAnsi" w:hAnsiTheme="minorHAnsi"/>
          <w:color w:val="000000"/>
          <w:sz w:val="24"/>
          <w:szCs w:val="24"/>
        </w:rPr>
        <w:t xml:space="preserve">186, z </w:t>
      </w:r>
      <w:proofErr w:type="spellStart"/>
      <w:r w:rsidR="003D5821">
        <w:rPr>
          <w:rFonts w:asciiTheme="minorHAnsi" w:hAnsiTheme="minorHAnsi"/>
          <w:color w:val="000000"/>
          <w:sz w:val="24"/>
          <w:szCs w:val="24"/>
        </w:rPr>
        <w:t>pón</w:t>
      </w:r>
      <w:proofErr w:type="spellEnd"/>
      <w:r w:rsidR="003D5821">
        <w:rPr>
          <w:rFonts w:asciiTheme="minorHAnsi" w:hAnsiTheme="minorHAnsi"/>
          <w:color w:val="000000"/>
          <w:sz w:val="24"/>
          <w:szCs w:val="24"/>
        </w:rPr>
        <w:t>. zm.</w:t>
      </w:r>
      <w:r w:rsidRPr="002705EA">
        <w:rPr>
          <w:rFonts w:asciiTheme="minorHAnsi" w:hAnsiTheme="minorHAnsi"/>
          <w:color w:val="000000"/>
          <w:sz w:val="24"/>
          <w:szCs w:val="24"/>
        </w:rPr>
        <w:t>);</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marca 2004 r. o podatku od towarów i usług (tekst jedn.: Dz. U. z 2018 r. poz. 2174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(Dz. U. z 2010 r. Nr 53, poz. 311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Rozporządzenie Rady Ministrów z dnia 9 listopada 2010 r. w sprawie przedsięwzięć mogących znacząco oddziaływać na środowisko (tekst jedn.: Dz. U. z 2016 r. poz. 71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xml:space="preserve">. zm.); </w:t>
      </w:r>
    </w:p>
    <w:p w14:paraId="389572AB" w14:textId="1990C8E2" w:rsidR="00E8530C" w:rsidRPr="00E8530C" w:rsidRDefault="00E8530C" w:rsidP="00FD0044">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 xml:space="preserve">Programowanie perspektywy finansowej 2014-2020 – Umowa Partnerstwa, dokument przyjęty przez Komisję Europejską 23 maja 2014 r. (z </w:t>
      </w:r>
      <w:proofErr w:type="spellStart"/>
      <w:r w:rsidRPr="002705EA">
        <w:rPr>
          <w:rFonts w:asciiTheme="minorHAnsi" w:hAnsiTheme="minorHAnsi" w:cs="Calibri"/>
          <w:color w:val="000000"/>
          <w:spacing w:val="-4"/>
          <w:sz w:val="24"/>
          <w:szCs w:val="24"/>
        </w:rPr>
        <w:t>późn</w:t>
      </w:r>
      <w:proofErr w:type="spellEnd"/>
      <w:r w:rsidRPr="002705EA">
        <w:rPr>
          <w:rFonts w:asciiTheme="minorHAnsi" w:hAnsiTheme="minorHAnsi" w:cs="Calibri"/>
          <w:color w:val="000000"/>
          <w:spacing w:val="-4"/>
          <w:sz w:val="24"/>
          <w:szCs w:val="24"/>
        </w:rPr>
        <w:t>. zm.);</w:t>
      </w:r>
    </w:p>
    <w:p w14:paraId="174C1E25" w14:textId="77777777" w:rsidR="00E169D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059CF2A4" w14:textId="77777777" w:rsidR="00FD0044" w:rsidRDefault="00FD0044" w:rsidP="00FD0044">
      <w:pPr>
        <w:pStyle w:val="Akapitzlist"/>
        <w:numPr>
          <w:ilvl w:val="0"/>
          <w:numId w:val="26"/>
        </w:numPr>
        <w:spacing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71153074" w14:textId="77777777" w:rsidR="00FD0044" w:rsidRPr="00507A87" w:rsidRDefault="00FD0044" w:rsidP="00FD0044">
      <w:pPr>
        <w:pStyle w:val="Akapitzlist"/>
        <w:numPr>
          <w:ilvl w:val="0"/>
          <w:numId w:val="26"/>
        </w:numPr>
        <w:spacing w:after="60"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 xml:space="preserve">Strategia </w:t>
      </w:r>
      <w:r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Pr>
          <w:rFonts w:asciiTheme="minorHAnsi" w:hAnsiTheme="minorHAnsi"/>
          <w:color w:val="000000"/>
          <w:sz w:val="24"/>
          <w:szCs w:val="24"/>
        </w:rPr>
        <w:t xml:space="preserve">glomeracji </w:t>
      </w:r>
      <w:r w:rsidRPr="00507A87">
        <w:rPr>
          <w:rFonts w:asciiTheme="minorHAnsi" w:hAnsiTheme="minorHAnsi"/>
          <w:color w:val="000000"/>
          <w:sz w:val="24"/>
          <w:szCs w:val="24"/>
        </w:rPr>
        <w:t>Jeleniogórskiej</w:t>
      </w:r>
      <w:r>
        <w:rPr>
          <w:rFonts w:asciiTheme="minorHAnsi" w:hAnsiTheme="minorHAnsi"/>
          <w:color w:val="000000"/>
          <w:sz w:val="24"/>
          <w:szCs w:val="24"/>
        </w:rPr>
        <w:t>;</w:t>
      </w:r>
    </w:p>
    <w:p w14:paraId="5E2D2A89"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Regionalny Program Operacyjny Województwa Dolnośląskiego 2014-2020 przyjęty przez Komisję Europejską w dniu 18 grudnia 2014 r.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05C5B359" w14:textId="087B3647" w:rsidR="00E169DA" w:rsidRPr="002705EA" w:rsidRDefault="00E169DA" w:rsidP="00FD0044">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t xml:space="preserve">Szczegółowy opis osi priorytetowych Regionalnego Programu Operacyjnego Województwa Dolnośląskiego 2014-2020 – wersja </w:t>
      </w:r>
      <w:r w:rsidR="00B90AEA">
        <w:rPr>
          <w:rFonts w:asciiTheme="minorHAnsi" w:hAnsiTheme="minorHAnsi"/>
          <w:sz w:val="24"/>
          <w:szCs w:val="24"/>
        </w:rPr>
        <w:t xml:space="preserve">45 </w:t>
      </w:r>
      <w:r w:rsidRPr="002705EA">
        <w:rPr>
          <w:rFonts w:asciiTheme="minorHAnsi" w:hAnsiTheme="minorHAnsi"/>
          <w:sz w:val="24"/>
          <w:szCs w:val="24"/>
        </w:rPr>
        <w:t xml:space="preserve">z dnia </w:t>
      </w:r>
      <w:r w:rsidR="00B90AEA">
        <w:rPr>
          <w:rFonts w:asciiTheme="minorHAnsi" w:hAnsiTheme="minorHAnsi"/>
          <w:sz w:val="24"/>
          <w:szCs w:val="24"/>
        </w:rPr>
        <w:t xml:space="preserve">30 lipca </w:t>
      </w:r>
      <w:r w:rsidRPr="002705EA">
        <w:rPr>
          <w:rFonts w:asciiTheme="minorHAnsi" w:hAnsiTheme="minorHAnsi"/>
          <w:sz w:val="24"/>
          <w:szCs w:val="24"/>
        </w:rPr>
        <w:t>2019 r.</w:t>
      </w:r>
    </w:p>
    <w:p w14:paraId="0C7E0E30" w14:textId="77777777" w:rsidR="00E169DA" w:rsidRPr="002705EA" w:rsidRDefault="00E169DA" w:rsidP="00FD0044">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2705EA">
        <w:rPr>
          <w:rFonts w:asciiTheme="minorHAnsi" w:eastAsiaTheme="minorHAnsi" w:hAnsiTheme="minorHAnsi" w:cstheme="minorBidi"/>
          <w:color w:val="000000"/>
          <w:sz w:val="24"/>
          <w:szCs w:val="24"/>
          <w:lang w:eastAsia="en-US"/>
        </w:rPr>
        <w:t>późn</w:t>
      </w:r>
      <w:proofErr w:type="spellEnd"/>
      <w:r w:rsidRPr="002705EA">
        <w:rPr>
          <w:rFonts w:asciiTheme="minorHAnsi" w:eastAsiaTheme="minorHAnsi" w:hAnsiTheme="minorHAnsi" w:cstheme="minorBidi"/>
          <w:color w:val="000000"/>
          <w:sz w:val="24"/>
          <w:szCs w:val="24"/>
          <w:lang w:eastAsia="en-US"/>
        </w:rPr>
        <w:t>.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4"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5"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0CE5BFAA" w14:textId="18800BFD" w:rsidR="00FD0044" w:rsidRPr="001F60E1" w:rsidRDefault="00E169DA" w:rsidP="001F60E1">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lastRenderedPageBreak/>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4" w:name="_Toc524512199"/>
      <w:bookmarkStart w:id="5" w:name="_Toc524512247"/>
      <w:bookmarkStart w:id="6"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7" w:name="_Toc536524887"/>
      <w:bookmarkStart w:id="8" w:name="_Toc536525080"/>
      <w:bookmarkStart w:id="9" w:name="_Toc11144823"/>
      <w:r w:rsidRPr="004D35EE">
        <w:rPr>
          <w:rFonts w:asciiTheme="minorHAnsi" w:hAnsiTheme="minorHAnsi"/>
        </w:rPr>
        <w:t>Przedmiot konkursu, w tym typy projektów podlegających dofinansowaniu</w:t>
      </w:r>
      <w:bookmarkEnd w:id="4"/>
      <w:bookmarkEnd w:id="5"/>
      <w:bookmarkEnd w:id="7"/>
      <w:bookmarkEnd w:id="8"/>
      <w:bookmarkEnd w:id="9"/>
    </w:p>
    <w:p w14:paraId="2410F275" w14:textId="7DCE1006" w:rsidR="00C874B5" w:rsidRPr="00030359" w:rsidRDefault="00785CDB" w:rsidP="0077235E">
      <w:pPr>
        <w:spacing w:after="0" w:line="360" w:lineRule="auto"/>
        <w:rPr>
          <w:rFonts w:cs="Arial"/>
          <w:sz w:val="24"/>
          <w:szCs w:val="24"/>
        </w:rPr>
      </w:pPr>
      <w:bookmarkStart w:id="10" w:name="_Toc524512200"/>
      <w:bookmarkStart w:id="11" w:name="_Toc524512248"/>
      <w:bookmarkEnd w:id="6"/>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16C3AD2A" w14:textId="0B8B9453" w:rsidR="0028152B" w:rsidRPr="0028152B" w:rsidRDefault="00D44127" w:rsidP="0028152B">
      <w:pPr>
        <w:spacing w:after="0" w:line="360" w:lineRule="auto"/>
        <w:rPr>
          <w:rFonts w:cs="Arial"/>
          <w:sz w:val="24"/>
          <w:szCs w:val="24"/>
        </w:rPr>
      </w:pPr>
      <w:r>
        <w:rPr>
          <w:rFonts w:cs="Arial"/>
          <w:sz w:val="24"/>
          <w:szCs w:val="24"/>
        </w:rPr>
        <w:t>Jako element projektu kwalifikowalne będą także koszty zakupu</w:t>
      </w:r>
      <w:r w:rsidR="0028152B">
        <w:rPr>
          <w:rFonts w:cs="Arial"/>
          <w:sz w:val="24"/>
          <w:szCs w:val="24"/>
        </w:rPr>
        <w:t xml:space="preserve"> </w:t>
      </w:r>
      <w:r w:rsidR="0028152B" w:rsidRPr="0028152B">
        <w:rPr>
          <w:sz w:val="24"/>
        </w:rPr>
        <w:t>specjalistycznych środków transportu  niezbędnych do prawidłowego funkcjonowania gospodarki wodno-ściekowej w</w:t>
      </w:r>
      <w:r w:rsidR="009B3E92">
        <w:rPr>
          <w:sz w:val="24"/>
        </w:rPr>
        <w:t xml:space="preserve">w. </w:t>
      </w:r>
      <w:r w:rsidR="0028152B" w:rsidRPr="0028152B">
        <w:rPr>
          <w:sz w:val="24"/>
        </w:rPr>
        <w:t xml:space="preserve"> aglomeracjach (w tym wozów asenizacyjnych) </w:t>
      </w:r>
      <w:r w:rsidR="0028152B">
        <w:rPr>
          <w:sz w:val="24"/>
        </w:rPr>
        <w:t xml:space="preserve"> do wysokości </w:t>
      </w:r>
      <w:r w:rsidR="0028152B" w:rsidRPr="0028152B">
        <w:rPr>
          <w:sz w:val="24"/>
        </w:rPr>
        <w:t>20% wydatków kwalifikowalnych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lastRenderedPageBreak/>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52613405" w14:textId="77777777" w:rsidR="007300DE"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6"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w:t>
      </w:r>
      <w:r w:rsidR="00614FB4">
        <w:rPr>
          <w:rFonts w:cs="Arial"/>
          <w:sz w:val="24"/>
          <w:szCs w:val="24"/>
        </w:rPr>
        <w:t xml:space="preserve">. </w:t>
      </w:r>
      <w:r w:rsidR="00F64FBB">
        <w:rPr>
          <w:rFonts w:cs="Arial"/>
          <w:sz w:val="24"/>
          <w:szCs w:val="24"/>
        </w:rPr>
        <w:t xml:space="preserve"> </w:t>
      </w:r>
      <w:r w:rsidR="007300DE" w:rsidRPr="007300DE">
        <w:rPr>
          <w:rFonts w:cs="Arial"/>
          <w:sz w:val="24"/>
          <w:szCs w:val="24"/>
        </w:rPr>
        <w:t>Ponadto zakres inwestycji wykazanej do dofinansowania w ramach konkursów nie może być sprzeczny z zakresem projektu wskazanego w kolumnie 33. Dopuszcza się możliwość wystąpienia pewnych rozbieżności i ich zaakceptowania przez IZ RPO,   jeżeli zostaną przedstawione wiarygodne wyjaśnienia wynikające z np. rozwiązań technicznych, technologicznych.</w:t>
      </w:r>
    </w:p>
    <w:p w14:paraId="6C65E7F5" w14:textId="178CF0E1" w:rsidR="00195581" w:rsidRDefault="005439EE" w:rsidP="005439EE">
      <w:pPr>
        <w:spacing w:after="0" w:line="360" w:lineRule="auto"/>
        <w:rPr>
          <w:rFonts w:cs="Arial"/>
          <w:sz w:val="24"/>
          <w:szCs w:val="24"/>
        </w:rPr>
      </w:pPr>
      <w:r w:rsidRPr="005439EE">
        <w:rPr>
          <w:rFonts w:cs="Arial"/>
          <w:sz w:val="24"/>
          <w:szCs w:val="24"/>
        </w:rPr>
        <w:t xml:space="preserve">Akceptowane są </w:t>
      </w:r>
      <w:r w:rsidR="007300DE">
        <w:rPr>
          <w:rFonts w:cs="Arial"/>
          <w:sz w:val="24"/>
          <w:szCs w:val="24"/>
        </w:rPr>
        <w:t xml:space="preserve">także </w:t>
      </w:r>
      <w:r w:rsidRPr="005439EE">
        <w:rPr>
          <w:rFonts w:cs="Arial"/>
          <w:sz w:val="24"/>
          <w:szCs w:val="24"/>
        </w:rPr>
        <w:t>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t>
      </w:r>
      <w:r w:rsidRPr="005439EE">
        <w:rPr>
          <w:rFonts w:cs="Arial"/>
          <w:sz w:val="24"/>
          <w:szCs w:val="24"/>
        </w:rPr>
        <w:lastRenderedPageBreak/>
        <w:t xml:space="preserve">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6747DFC6" w14:textId="5935809C" w:rsidR="00B5629E"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7"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B867A28"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w:t>
      </w:r>
      <w:r w:rsidR="0013089D" w:rsidRPr="0013089D">
        <w:rPr>
          <w:rFonts w:cs="Arial"/>
          <w:sz w:val="24"/>
          <w:szCs w:val="24"/>
        </w:rPr>
        <w:t>rozporządzeni</w:t>
      </w:r>
      <w:r w:rsidR="0013089D">
        <w:rPr>
          <w:rFonts w:cs="Arial"/>
          <w:sz w:val="24"/>
          <w:szCs w:val="24"/>
        </w:rPr>
        <w:t>a</w:t>
      </w:r>
      <w:r w:rsidR="0013089D" w:rsidRPr="0013089D">
        <w:rPr>
          <w:rFonts w:cs="Arial"/>
          <w:sz w:val="24"/>
          <w:szCs w:val="24"/>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13089D">
        <w:rPr>
          <w:rFonts w:cs="Arial"/>
          <w:sz w:val="24"/>
          <w:szCs w:val="24"/>
        </w:rPr>
        <w:t xml:space="preserve">. </w:t>
      </w:r>
      <w:r w:rsidR="0013089D" w:rsidRPr="0013089D">
        <w:rPr>
          <w:rFonts w:cs="Arial"/>
          <w:sz w:val="24"/>
          <w:szCs w:val="24"/>
        </w:rPr>
        <w:t xml:space="preserve">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lastRenderedPageBreak/>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05638F2C" w14:textId="474DF4A5" w:rsidR="00F64FBB" w:rsidRDefault="00F64FBB" w:rsidP="00F64FBB">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 xml:space="preserve">Wydatki na zakup specjalistycznych środków transportu  </w:t>
      </w:r>
      <w:r w:rsidRPr="00973F0D">
        <w:rPr>
          <w:rFonts w:asciiTheme="minorHAnsi" w:hAnsiTheme="minorHAnsi"/>
          <w:sz w:val="24"/>
        </w:rPr>
        <w:t xml:space="preserve">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w:t>
      </w:r>
      <w:r>
        <w:rPr>
          <w:rFonts w:asciiTheme="minorHAnsi" w:hAnsiTheme="minorHAnsi"/>
          <w:sz w:val="24"/>
        </w:rPr>
        <w:t xml:space="preserve">h </w:t>
      </w:r>
      <w:r>
        <w:rPr>
          <w:rFonts w:asciiTheme="minorHAnsi" w:hAnsiTheme="minorHAnsi"/>
          <w:sz w:val="24"/>
        </w:rPr>
        <w:lastRenderedPageBreak/>
        <w:t xml:space="preserve">(KPOŚK) – od 2 do 10 tys. RLM (w tym wozów asenizacyjnych) powyżej </w:t>
      </w:r>
      <w:r w:rsidR="005B75E1">
        <w:rPr>
          <w:rFonts w:asciiTheme="minorHAnsi" w:hAnsiTheme="minorHAnsi"/>
          <w:sz w:val="24"/>
        </w:rPr>
        <w:t>2</w:t>
      </w:r>
      <w:r>
        <w:rPr>
          <w:rFonts w:asciiTheme="minorHAnsi" w:hAnsiTheme="minorHAnsi"/>
          <w:sz w:val="24"/>
        </w:rPr>
        <w:t>0% wydatków kwalifikowalnych projektu.</w:t>
      </w:r>
    </w:p>
    <w:p w14:paraId="415CC197" w14:textId="77777777" w:rsidR="0083796B" w:rsidRPr="0083796B" w:rsidRDefault="0083796B" w:rsidP="0083796B">
      <w:pPr>
        <w:spacing w:after="0" w:line="360" w:lineRule="auto"/>
        <w:rPr>
          <w:rFonts w:cs="Arial"/>
          <w:sz w:val="24"/>
          <w:szCs w:val="24"/>
        </w:rPr>
      </w:pPr>
    </w:p>
    <w:p w14:paraId="1E7BA09D" w14:textId="4A0C1162"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w:t>
      </w:r>
      <w:r w:rsidR="00527E47">
        <w:rPr>
          <w:rFonts w:cs="Arial"/>
          <w:sz w:val="24"/>
          <w:szCs w:val="24"/>
        </w:rPr>
        <w:t xml:space="preserve"> projektu </w:t>
      </w:r>
      <w:r w:rsidRPr="0083796B">
        <w:rPr>
          <w:rFonts w:cs="Arial"/>
          <w:sz w:val="24"/>
          <w:szCs w:val="24"/>
        </w:rPr>
        <w:t xml:space="preserve">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5248EA40" w:rsidR="0083796B" w:rsidRDefault="0083796B" w:rsidP="0083796B">
      <w:pPr>
        <w:spacing w:after="0" w:line="360" w:lineRule="auto"/>
        <w:rPr>
          <w:rFonts w:cs="Arial"/>
          <w:sz w:val="24"/>
          <w:szCs w:val="24"/>
        </w:rPr>
      </w:pPr>
      <w:r w:rsidRPr="0083796B">
        <w:rPr>
          <w:rFonts w:cs="Arial"/>
          <w:sz w:val="24"/>
          <w:szCs w:val="24"/>
        </w:rPr>
        <w:t xml:space="preserve">Dofinansowanie powyższej infrastruktury dopuszczone będzie w ramach kompleksowych projektów regulujących gospodarkę ściekową, tj. </w:t>
      </w:r>
      <w:r w:rsidR="00F61025">
        <w:rPr>
          <w:rFonts w:cs="Arial"/>
          <w:sz w:val="24"/>
          <w:szCs w:val="24"/>
        </w:rPr>
        <w:t xml:space="preserve">mogą być </w:t>
      </w:r>
      <w:r w:rsidRPr="0083796B">
        <w:rPr>
          <w:rFonts w:cs="Arial"/>
          <w:sz w:val="24"/>
          <w:szCs w:val="24"/>
        </w:rPr>
        <w:t>dofinansowywane wydatki dot. realizacji powyższych inwestycji na obszarach objętych systemem zbiorowego odprowadzania ścieków komunalnych</w:t>
      </w:r>
      <w:r w:rsidR="007D2B7C">
        <w:rPr>
          <w:rFonts w:cs="Arial"/>
          <w:sz w:val="24"/>
          <w:szCs w:val="24"/>
        </w:rPr>
        <w:t>,</w:t>
      </w:r>
      <w:r w:rsidR="00C2262D">
        <w:rPr>
          <w:rFonts w:cs="Arial"/>
          <w:sz w:val="24"/>
          <w:szCs w:val="24"/>
        </w:rPr>
        <w:t xml:space="preserve"> </w:t>
      </w:r>
      <w:r w:rsidR="00544F2D">
        <w:rPr>
          <w:rFonts w:cs="Arial"/>
          <w:sz w:val="24"/>
          <w:szCs w:val="24"/>
        </w:rPr>
        <w:t xml:space="preserve"> na których </w:t>
      </w:r>
      <w:r w:rsidR="00C06DF9">
        <w:rPr>
          <w:rFonts w:cs="Arial"/>
          <w:sz w:val="24"/>
          <w:szCs w:val="24"/>
        </w:rPr>
        <w:t xml:space="preserve"> będzie </w:t>
      </w:r>
      <w:r w:rsidR="002675FD">
        <w:rPr>
          <w:rFonts w:cs="Arial"/>
          <w:sz w:val="24"/>
          <w:szCs w:val="24"/>
        </w:rPr>
        <w:t xml:space="preserve">realizowana </w:t>
      </w:r>
      <w:r w:rsidR="00F61025">
        <w:rPr>
          <w:rFonts w:cs="Arial"/>
          <w:sz w:val="24"/>
          <w:szCs w:val="24"/>
        </w:rPr>
        <w:t xml:space="preserve">infrastruktura kanalizacyjnych </w:t>
      </w:r>
      <w:r w:rsidR="00544F2D">
        <w:rPr>
          <w:rFonts w:cs="Arial"/>
          <w:sz w:val="24"/>
          <w:szCs w:val="24"/>
        </w:rPr>
        <w:t xml:space="preserve">w ramach zgłaszanego do dofinansowania projektu </w:t>
      </w:r>
      <w:r w:rsidR="00C2262D">
        <w:rPr>
          <w:rFonts w:cs="Arial"/>
          <w:sz w:val="24"/>
          <w:szCs w:val="24"/>
        </w:rPr>
        <w:t xml:space="preserve">(tj. </w:t>
      </w:r>
      <w:r w:rsidR="00612B8E">
        <w:rPr>
          <w:rFonts w:cs="Arial"/>
          <w:sz w:val="24"/>
          <w:szCs w:val="24"/>
        </w:rPr>
        <w:t xml:space="preserve">w </w:t>
      </w:r>
      <w:r w:rsidR="00C2262D">
        <w:rPr>
          <w:rFonts w:cs="Arial"/>
          <w:sz w:val="24"/>
          <w:szCs w:val="24"/>
        </w:rPr>
        <w:t>aglomeracja</w:t>
      </w:r>
      <w:r w:rsidR="00612B8E">
        <w:rPr>
          <w:rFonts w:cs="Arial"/>
          <w:sz w:val="24"/>
          <w:szCs w:val="24"/>
        </w:rPr>
        <w:t xml:space="preserve">ch </w:t>
      </w:r>
      <w:r w:rsidR="00C2262D">
        <w:rPr>
          <w:rFonts w:cs="Arial"/>
          <w:sz w:val="24"/>
          <w:szCs w:val="24"/>
        </w:rPr>
        <w:t xml:space="preserve"> wyznaczony</w:t>
      </w:r>
      <w:r w:rsidR="00612B8E">
        <w:rPr>
          <w:rFonts w:cs="Arial"/>
          <w:sz w:val="24"/>
          <w:szCs w:val="24"/>
        </w:rPr>
        <w:t>ch</w:t>
      </w:r>
      <w:r w:rsidR="00C2262D">
        <w:rPr>
          <w:rFonts w:cs="Arial"/>
          <w:sz w:val="24"/>
          <w:szCs w:val="24"/>
        </w:rPr>
        <w:t xml:space="preserve">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24F6826" w14:textId="77777777" w:rsidR="007D2B7C" w:rsidRDefault="007D2B7C"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8"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27C9ED23" w14:textId="15019B4B" w:rsidR="00204875" w:rsidRDefault="00204875" w:rsidP="00204875">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r>
        <w:rPr>
          <w:rFonts w:cs="Arial"/>
          <w:sz w:val="24"/>
          <w:szCs w:val="24"/>
        </w:rPr>
        <w:t xml:space="preserve"> – jako kategoria dominująca;</w:t>
      </w:r>
    </w:p>
    <w:p w14:paraId="2F0AC898" w14:textId="1B4ACBB5" w:rsidR="00204875" w:rsidRPr="00E32121" w:rsidRDefault="00204875" w:rsidP="00204875">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 xml:space="preserve">Gospodarka wodna i ochrona wody pitnej (w tym gospodarowanie wodami w dorzeczu, dostarczanie wody, konkretne środki dostosowania do zmian klimatu, pomiary zużycia wody w wydzielonych obszarach sieci wodociągowej </w:t>
      </w:r>
      <w:r w:rsidRPr="00E32121">
        <w:rPr>
          <w:rFonts w:cs="Arial"/>
          <w:sz w:val="24"/>
          <w:szCs w:val="24"/>
        </w:rPr>
        <w:lastRenderedPageBreak/>
        <w:t>i u konsumentów, systemy naliczania opłat, ograniczanie wycieków)</w:t>
      </w:r>
      <w:r>
        <w:rPr>
          <w:rFonts w:cs="Arial"/>
          <w:sz w:val="24"/>
          <w:szCs w:val="24"/>
        </w:rPr>
        <w:t>, jako kategoria uzupełniająca;</w:t>
      </w:r>
    </w:p>
    <w:p w14:paraId="36FD3AA7" w14:textId="6F4D3FFF" w:rsidR="00204875" w:rsidRPr="00E32121" w:rsidRDefault="00E32121" w:rsidP="00204875">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r w:rsidR="00204875">
        <w:rPr>
          <w:rFonts w:cs="Arial"/>
          <w:sz w:val="24"/>
          <w:szCs w:val="24"/>
        </w:rPr>
        <w:t>, jako kategoria uzupełniająca.</w:t>
      </w:r>
    </w:p>
    <w:p w14:paraId="1D87A2CA" w14:textId="5DF26443" w:rsidR="00E32121" w:rsidRPr="00E32121" w:rsidRDefault="00E32121" w:rsidP="00E32121">
      <w:pPr>
        <w:spacing w:line="360" w:lineRule="auto"/>
        <w:ind w:left="567" w:hanging="567"/>
        <w:rPr>
          <w:rFonts w:cs="Arial"/>
          <w:sz w:val="24"/>
          <w:szCs w:val="24"/>
        </w:rPr>
      </w:pPr>
    </w:p>
    <w:p w14:paraId="57FDB9F0" w14:textId="77777777" w:rsidR="003C4247" w:rsidRPr="004D35EE" w:rsidRDefault="003C4247" w:rsidP="0077235E">
      <w:pPr>
        <w:pStyle w:val="Nagwek1"/>
        <w:spacing w:line="360" w:lineRule="auto"/>
        <w:rPr>
          <w:rFonts w:asciiTheme="minorHAnsi" w:hAnsiTheme="minorHAnsi"/>
        </w:rPr>
      </w:pPr>
      <w:bookmarkStart w:id="12" w:name="_Toc536524888"/>
      <w:bookmarkStart w:id="13" w:name="_Toc536525081"/>
      <w:bookmarkStart w:id="14"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0"/>
      <w:bookmarkEnd w:id="11"/>
      <w:bookmarkEnd w:id="12"/>
      <w:bookmarkEnd w:id="13"/>
      <w:bookmarkEnd w:id="14"/>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1F60E1">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1F60E1">
      <w:pPr>
        <w:spacing w:line="36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1F60E1">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5" w:name="_Toc524512201"/>
      <w:bookmarkStart w:id="16" w:name="_Toc524512249"/>
      <w:bookmarkStart w:id="17" w:name="_Toc536524889"/>
      <w:bookmarkStart w:id="18" w:name="_Toc536525082"/>
      <w:bookmarkStart w:id="19" w:name="_Toc11144825"/>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5"/>
      <w:bookmarkEnd w:id="16"/>
      <w:bookmarkEnd w:id="17"/>
      <w:bookmarkEnd w:id="18"/>
      <w:bookmarkEnd w:id="19"/>
    </w:p>
    <w:p w14:paraId="0358B20B" w14:textId="77777777" w:rsidR="001F60E1" w:rsidRDefault="00264E2D" w:rsidP="0077235E">
      <w:pPr>
        <w:spacing w:line="360" w:lineRule="auto"/>
        <w:rPr>
          <w:sz w:val="24"/>
          <w:szCs w:val="24"/>
          <w:lang w:eastAsia="pl-PL"/>
        </w:rPr>
      </w:pPr>
      <w:r w:rsidRPr="004D35EE">
        <w:rPr>
          <w:sz w:val="24"/>
          <w:szCs w:val="24"/>
          <w:lang w:eastAsia="pl-PL"/>
        </w:rPr>
        <w:t>Alokacja przeznaczona na konkurs</w:t>
      </w:r>
      <w:r w:rsidR="001F60E1">
        <w:rPr>
          <w:sz w:val="24"/>
          <w:szCs w:val="24"/>
          <w:lang w:eastAsia="pl-PL"/>
        </w:rPr>
        <w:t>y:</w:t>
      </w:r>
    </w:p>
    <w:p w14:paraId="7FA2B017" w14:textId="1740D11E" w:rsidR="00D3456D" w:rsidRPr="00622FF3" w:rsidRDefault="00D3456D" w:rsidP="00D3456D">
      <w:pPr>
        <w:pStyle w:val="Nagwek"/>
        <w:spacing w:line="360" w:lineRule="auto"/>
        <w:rPr>
          <w:rFonts w:cs="Arial"/>
          <w:b/>
          <w:sz w:val="24"/>
          <w:szCs w:val="24"/>
        </w:rPr>
      </w:pPr>
      <w:r>
        <w:rPr>
          <w:sz w:val="24"/>
          <w:szCs w:val="24"/>
          <w:lang w:eastAsia="pl-PL"/>
        </w:rPr>
        <w:t xml:space="preserve">- </w:t>
      </w:r>
      <w:r w:rsidRPr="004D35EE">
        <w:rPr>
          <w:sz w:val="24"/>
          <w:szCs w:val="24"/>
          <w:lang w:eastAsia="pl-PL"/>
        </w:rPr>
        <w:t xml:space="preserve">nr </w:t>
      </w:r>
      <w:r w:rsidRPr="009935B7">
        <w:rPr>
          <w:sz w:val="24"/>
          <w:szCs w:val="24"/>
          <w:lang w:eastAsia="pl-PL"/>
        </w:rPr>
        <w:t>RPDS.04.02.0</w:t>
      </w:r>
      <w:r>
        <w:rPr>
          <w:sz w:val="24"/>
          <w:szCs w:val="24"/>
          <w:lang w:eastAsia="pl-PL"/>
        </w:rPr>
        <w:t>2-IZ.00-02-359</w:t>
      </w:r>
      <w:r w:rsidRPr="009935B7">
        <w:rPr>
          <w:sz w:val="24"/>
          <w:szCs w:val="24"/>
          <w:lang w:eastAsia="pl-PL"/>
        </w:rPr>
        <w:t>/19</w:t>
      </w:r>
      <w:r>
        <w:rPr>
          <w:sz w:val="24"/>
          <w:szCs w:val="24"/>
          <w:lang w:eastAsia="pl-PL"/>
        </w:rPr>
        <w:t xml:space="preserve"> </w:t>
      </w:r>
      <w:r w:rsidR="00264E2D" w:rsidRPr="004D35EE">
        <w:rPr>
          <w:sz w:val="24"/>
          <w:szCs w:val="24"/>
          <w:lang w:eastAsia="pl-PL"/>
        </w:rPr>
        <w:t xml:space="preserve"> </w:t>
      </w:r>
      <w:r w:rsidRPr="00622FF3">
        <w:rPr>
          <w:rFonts w:cs="Arial"/>
          <w:b/>
          <w:sz w:val="24"/>
          <w:szCs w:val="24"/>
        </w:rPr>
        <w:t>Poddziałanie 4.2.2 Gospodarka wodno-ściekowa – ZIT Wrocł</w:t>
      </w:r>
      <w:r>
        <w:rPr>
          <w:rFonts w:cs="Arial"/>
          <w:b/>
          <w:sz w:val="24"/>
          <w:szCs w:val="24"/>
        </w:rPr>
        <w:t xml:space="preserve">awskiego Obszaru Funkcjonalnego, </w:t>
      </w:r>
      <w:r w:rsidRPr="004D35EE">
        <w:rPr>
          <w:sz w:val="24"/>
          <w:szCs w:val="24"/>
          <w:lang w:eastAsia="pl-PL"/>
        </w:rPr>
        <w:t xml:space="preserve">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486</w:t>
      </w:r>
      <w:r w:rsidR="00325C98">
        <w:rPr>
          <w:sz w:val="24"/>
          <w:szCs w:val="24"/>
          <w:lang w:eastAsia="pl-PL"/>
        </w:rPr>
        <w:t> </w:t>
      </w:r>
      <w:r w:rsidR="00325C98" w:rsidRPr="00325C98">
        <w:rPr>
          <w:sz w:val="24"/>
          <w:szCs w:val="24"/>
          <w:lang w:eastAsia="pl-PL"/>
        </w:rPr>
        <w:t>164</w:t>
      </w:r>
      <w:r w:rsidR="00325C98">
        <w:rPr>
          <w:sz w:val="24"/>
          <w:szCs w:val="24"/>
          <w:lang w:eastAsia="pl-PL"/>
        </w:rPr>
        <w:t xml:space="preserve"> </w:t>
      </w:r>
      <w:r w:rsidRPr="004D35EE">
        <w:rPr>
          <w:sz w:val="24"/>
          <w:szCs w:val="24"/>
          <w:lang w:eastAsia="pl-PL"/>
        </w:rPr>
        <w:t xml:space="preserve">EUR, tj. </w:t>
      </w:r>
      <w:r w:rsidR="00C646D5" w:rsidRPr="00607476">
        <w:rPr>
          <w:sz w:val="24"/>
          <w:szCs w:val="24"/>
        </w:rPr>
        <w:t>10 891</w:t>
      </w:r>
      <w:r w:rsidR="00C646D5">
        <w:rPr>
          <w:sz w:val="24"/>
          <w:szCs w:val="24"/>
        </w:rPr>
        <w:t> </w:t>
      </w:r>
      <w:r w:rsidR="00C646D5" w:rsidRPr="00607476">
        <w:rPr>
          <w:sz w:val="24"/>
          <w:szCs w:val="24"/>
        </w:rPr>
        <w:t>636</w:t>
      </w:r>
      <w:r w:rsidR="00C646D5" w:rsidRPr="00325C98">
        <w:rPr>
          <w:sz w:val="24"/>
          <w:szCs w:val="24"/>
        </w:rPr>
        <w:t xml:space="preserve"> </w:t>
      </w:r>
      <w:r w:rsidRPr="004D35EE">
        <w:rPr>
          <w:sz w:val="24"/>
          <w:szCs w:val="24"/>
          <w:lang w:eastAsia="pl-PL"/>
        </w:rPr>
        <w:t>PLN.</w:t>
      </w:r>
    </w:p>
    <w:p w14:paraId="7C4D4F65" w14:textId="41F6886C" w:rsidR="00D3456D" w:rsidRPr="00622FF3" w:rsidRDefault="00D3456D" w:rsidP="00D3456D">
      <w:pPr>
        <w:pStyle w:val="Nagwek"/>
        <w:spacing w:line="360" w:lineRule="auto"/>
        <w:rPr>
          <w:rFonts w:cs="Arial"/>
          <w:b/>
          <w:sz w:val="24"/>
          <w:szCs w:val="24"/>
        </w:rPr>
      </w:pPr>
      <w:r>
        <w:rPr>
          <w:sz w:val="24"/>
          <w:szCs w:val="24"/>
          <w:lang w:eastAsia="pl-PL"/>
        </w:rPr>
        <w:lastRenderedPageBreak/>
        <w:t xml:space="preserve">- </w:t>
      </w:r>
      <w:r w:rsidRPr="004D35EE">
        <w:rPr>
          <w:sz w:val="24"/>
          <w:szCs w:val="24"/>
          <w:lang w:eastAsia="pl-PL"/>
        </w:rPr>
        <w:t xml:space="preserve">nr </w:t>
      </w:r>
      <w:r w:rsidRPr="009935B7">
        <w:rPr>
          <w:sz w:val="24"/>
          <w:szCs w:val="24"/>
          <w:lang w:eastAsia="pl-PL"/>
        </w:rPr>
        <w:t>RPDS.04.02.0</w:t>
      </w:r>
      <w:r>
        <w:rPr>
          <w:sz w:val="24"/>
          <w:szCs w:val="24"/>
          <w:lang w:eastAsia="pl-PL"/>
        </w:rPr>
        <w:t>3-IZ.00-02-360</w:t>
      </w:r>
      <w:r w:rsidRPr="009935B7">
        <w:rPr>
          <w:sz w:val="24"/>
          <w:szCs w:val="24"/>
          <w:lang w:eastAsia="pl-PL"/>
        </w:rPr>
        <w:t>/19</w:t>
      </w:r>
      <w:r>
        <w:rPr>
          <w:sz w:val="24"/>
          <w:szCs w:val="24"/>
          <w:lang w:eastAsia="pl-PL"/>
        </w:rPr>
        <w:t xml:space="preserve"> </w:t>
      </w:r>
      <w:r w:rsidRPr="004D35EE">
        <w:rPr>
          <w:sz w:val="24"/>
          <w:szCs w:val="24"/>
          <w:lang w:eastAsia="pl-PL"/>
        </w:rPr>
        <w:t xml:space="preserve"> </w:t>
      </w:r>
      <w:r w:rsidRPr="00622FF3">
        <w:rPr>
          <w:rFonts w:cs="Arial"/>
          <w:b/>
          <w:sz w:val="24"/>
          <w:szCs w:val="24"/>
        </w:rPr>
        <w:t>Poddziałanie 4.2.3 Gospodarka wodno-ściekowa – ZIT</w:t>
      </w:r>
      <w:r>
        <w:rPr>
          <w:rFonts w:cs="Arial"/>
          <w:b/>
          <w:sz w:val="24"/>
          <w:szCs w:val="24"/>
        </w:rPr>
        <w:t xml:space="preserve"> Aglomeracji Jeleniogórskiej</w:t>
      </w:r>
      <w:r w:rsidRPr="004D35EE">
        <w:rPr>
          <w:sz w:val="24"/>
          <w:szCs w:val="24"/>
          <w:lang w:eastAsia="pl-PL"/>
        </w:rPr>
        <w:t xml:space="preserve">, 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228</w:t>
      </w:r>
      <w:r w:rsidR="00325C98">
        <w:rPr>
          <w:sz w:val="24"/>
          <w:szCs w:val="24"/>
          <w:lang w:eastAsia="pl-PL"/>
        </w:rPr>
        <w:t xml:space="preserve"> </w:t>
      </w:r>
      <w:r w:rsidR="00325C98" w:rsidRPr="00325C98">
        <w:rPr>
          <w:sz w:val="24"/>
          <w:szCs w:val="24"/>
          <w:lang w:eastAsia="pl-PL"/>
        </w:rPr>
        <w:t>387</w:t>
      </w:r>
      <w:r>
        <w:rPr>
          <w:sz w:val="24"/>
          <w:szCs w:val="24"/>
          <w:lang w:eastAsia="pl-PL"/>
        </w:rPr>
        <w:t xml:space="preserve"> </w:t>
      </w:r>
      <w:r w:rsidRPr="004D35EE">
        <w:rPr>
          <w:sz w:val="24"/>
          <w:szCs w:val="24"/>
          <w:lang w:eastAsia="pl-PL"/>
        </w:rPr>
        <w:t xml:space="preserve">EUR, tj. </w:t>
      </w:r>
      <w:r w:rsidR="00C646D5" w:rsidRPr="00A82D59">
        <w:rPr>
          <w:sz w:val="24"/>
          <w:szCs w:val="24"/>
        </w:rPr>
        <w:t>9 762</w:t>
      </w:r>
      <w:r w:rsidR="00C646D5">
        <w:rPr>
          <w:sz w:val="24"/>
          <w:szCs w:val="24"/>
        </w:rPr>
        <w:t> </w:t>
      </w:r>
      <w:r w:rsidR="00C646D5" w:rsidRPr="00A82D59">
        <w:rPr>
          <w:sz w:val="24"/>
          <w:szCs w:val="24"/>
        </w:rPr>
        <w:t>341</w:t>
      </w:r>
      <w:r w:rsidR="00C646D5">
        <w:rPr>
          <w:sz w:val="24"/>
          <w:szCs w:val="24"/>
        </w:rPr>
        <w:t xml:space="preserve"> </w:t>
      </w:r>
      <w:r w:rsidRPr="004D35EE">
        <w:rPr>
          <w:sz w:val="24"/>
          <w:szCs w:val="24"/>
          <w:lang w:eastAsia="pl-PL"/>
        </w:rPr>
        <w:t>PLN.</w:t>
      </w:r>
    </w:p>
    <w:p w14:paraId="163F3ECE" w14:textId="20BAA87E"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D3456D">
        <w:rPr>
          <w:sz w:val="24"/>
          <w:szCs w:val="24"/>
          <w:lang w:eastAsia="pl-PL"/>
        </w:rPr>
        <w:t>e</w:t>
      </w:r>
      <w:r w:rsidR="004F4D9B" w:rsidRPr="004D35EE">
        <w:rPr>
          <w:sz w:val="24"/>
          <w:szCs w:val="24"/>
          <w:lang w:eastAsia="pl-PL"/>
        </w:rPr>
        <w:t xml:space="preserve"> przeliczon</w:t>
      </w:r>
      <w:r w:rsidR="00D3456D">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D3456D">
        <w:rPr>
          <w:sz w:val="24"/>
          <w:szCs w:val="24"/>
          <w:lang w:eastAsia="pl-PL"/>
        </w:rPr>
        <w:t xml:space="preserve">we wrześniu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C646D5" w:rsidRPr="00A82D59">
        <w:rPr>
          <w:rFonts w:eastAsia="Calibri" w:cs="Times New Roman"/>
          <w:sz w:val="24"/>
          <w:szCs w:val="24"/>
        </w:rPr>
        <w:t>4,3809</w:t>
      </w:r>
      <w:r w:rsidR="00C646D5">
        <w:rPr>
          <w:rFonts w:eastAsia="Calibri" w:cs="Times New Roman"/>
          <w:sz w:val="24"/>
          <w:szCs w:val="24"/>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 xml:space="preserve">nie ma negatywnie ocenionych projektów na żadnym etapie oceny oraz dostępna alokacja pozwala na dofinansowanie w pełnej wnioskowanej wysokości wszystkich projektów, wybór może zostać dokonany na pełną kwotę alokacji przeznaczonej na </w:t>
      </w:r>
      <w:r w:rsidR="00A15EBA">
        <w:rPr>
          <w:rFonts w:cs="Arial"/>
          <w:sz w:val="24"/>
          <w:szCs w:val="24"/>
        </w:rPr>
        <w:t>dany konkurs</w:t>
      </w:r>
      <w:r w:rsidR="007B3B9D" w:rsidRPr="004D35EE">
        <w:rPr>
          <w:rFonts w:cs="Arial"/>
          <w:sz w:val="24"/>
          <w:szCs w:val="24"/>
        </w:rPr>
        <w:t>.</w:t>
      </w:r>
    </w:p>
    <w:p w14:paraId="091D537D" w14:textId="77777777" w:rsidR="003C4247" w:rsidRPr="004D35EE" w:rsidRDefault="003C4247" w:rsidP="0077235E">
      <w:pPr>
        <w:spacing w:line="360" w:lineRule="auto"/>
        <w:rPr>
          <w:sz w:val="24"/>
          <w:szCs w:val="24"/>
        </w:rPr>
      </w:pPr>
      <w:bookmarkStart w:id="20"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23418177"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20"/>
    <w:p w14:paraId="5949AD82" w14:textId="7D274C54"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21" w:name="_Toc536524890"/>
      <w:bookmarkStart w:id="22" w:name="_Toc536525083"/>
      <w:bookmarkStart w:id="23" w:name="_Toc11144826"/>
      <w:bookmarkStart w:id="24" w:name="_Toc524512202"/>
      <w:bookmarkStart w:id="25" w:name="_Toc524512250"/>
      <w:r w:rsidRPr="004D35EE">
        <w:rPr>
          <w:rFonts w:asciiTheme="minorHAnsi" w:hAnsiTheme="minorHAnsi"/>
        </w:rPr>
        <w:t xml:space="preserve">Minimalna </w:t>
      </w:r>
      <w:r w:rsidR="009D79BB" w:rsidRPr="004D35EE">
        <w:rPr>
          <w:rFonts w:asciiTheme="minorHAnsi" w:hAnsiTheme="minorHAnsi"/>
        </w:rPr>
        <w:t>wartość projektu</w:t>
      </w:r>
      <w:bookmarkEnd w:id="21"/>
      <w:bookmarkEnd w:id="22"/>
      <w:bookmarkEnd w:id="23"/>
      <w:r w:rsidR="009D79BB" w:rsidRPr="004D35EE">
        <w:rPr>
          <w:rFonts w:asciiTheme="minorHAnsi" w:hAnsiTheme="minorHAnsi"/>
        </w:rPr>
        <w:t xml:space="preserve"> </w:t>
      </w:r>
      <w:bookmarkEnd w:id="24"/>
      <w:bookmarkEnd w:id="25"/>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26" w:name="_Toc536524891"/>
      <w:bookmarkStart w:id="27" w:name="_Toc536525084"/>
      <w:bookmarkStart w:id="28" w:name="_Toc11144827"/>
      <w:bookmarkStart w:id="29" w:name="_Toc524512203"/>
      <w:bookmarkStart w:id="30" w:name="_Toc524512251"/>
      <w:bookmarkStart w:id="31"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26"/>
      <w:bookmarkEnd w:id="27"/>
      <w:bookmarkEnd w:id="28"/>
      <w:r w:rsidRPr="004D35EE">
        <w:rPr>
          <w:rFonts w:asciiTheme="minorHAnsi" w:hAnsiTheme="minorHAnsi"/>
        </w:rPr>
        <w:t xml:space="preserve"> </w:t>
      </w:r>
      <w:bookmarkEnd w:id="29"/>
      <w:bookmarkEnd w:id="30"/>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lastRenderedPageBreak/>
        <w:t xml:space="preserve">Wnioskowana w projekcie wartość dofinansowania nie może być większa niż </w:t>
      </w:r>
      <w:bookmarkEnd w:id="31"/>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32" w:name="_Toc536524892"/>
      <w:bookmarkStart w:id="33" w:name="_Toc536525085"/>
      <w:bookmarkStart w:id="34" w:name="_Toc11144828"/>
      <w:r w:rsidRPr="004D35EE">
        <w:rPr>
          <w:rFonts w:asciiTheme="minorHAnsi" w:hAnsiTheme="minorHAnsi"/>
        </w:rPr>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32"/>
      <w:bookmarkEnd w:id="33"/>
      <w:bookmarkEnd w:id="34"/>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2FBE3CF5"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 to</w:t>
      </w:r>
      <w:r w:rsidRPr="004D35EE">
        <w:rPr>
          <w:rFonts w:eastAsia="Times New Roman" w:cs="Times New Roman"/>
          <w:sz w:val="24"/>
          <w:szCs w:val="24"/>
          <w:lang w:eastAsia="pl-PL"/>
        </w:rPr>
        <w:t xml:space="preserve">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35" w:name="_Toc524512206"/>
      <w:bookmarkStart w:id="36" w:name="_Toc524512254"/>
      <w:bookmarkStart w:id="37" w:name="_Toc536524893"/>
      <w:bookmarkStart w:id="38" w:name="_Toc536525086"/>
      <w:bookmarkStart w:id="39" w:name="_Toc11144829"/>
      <w:r w:rsidRPr="004D35EE">
        <w:rPr>
          <w:rFonts w:asciiTheme="minorHAnsi" w:hAnsiTheme="minorHAnsi"/>
        </w:rPr>
        <w:t>Warunki stosowania uproszczonych form rozliczania wydatków i planowany zakres systemu zaliczek</w:t>
      </w:r>
      <w:bookmarkEnd w:id="35"/>
      <w:bookmarkEnd w:id="36"/>
      <w:bookmarkEnd w:id="37"/>
      <w:bookmarkEnd w:id="38"/>
      <w:bookmarkEnd w:id="39"/>
    </w:p>
    <w:p w14:paraId="696D3DFE" w14:textId="083706CA" w:rsidR="003D3252" w:rsidRPr="004D35EE" w:rsidRDefault="003D3252" w:rsidP="0032788B">
      <w:pPr>
        <w:spacing w:after="120" w:line="360" w:lineRule="auto"/>
        <w:rPr>
          <w:rFonts w:eastAsia="Calibri"/>
          <w:sz w:val="24"/>
          <w:szCs w:val="24"/>
        </w:rPr>
      </w:pPr>
      <w:bookmarkStart w:id="40" w:name="_Toc524512207"/>
      <w:bookmarkStart w:id="41" w:name="_Toc524512255"/>
      <w:bookmarkStart w:id="42" w:name="_Toc536524894"/>
      <w:bookmarkStart w:id="43"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7ACF95E2" w14:textId="77777777" w:rsidR="00D50D32" w:rsidRDefault="00B92AB2" w:rsidP="00B92AB2">
      <w:pPr>
        <w:spacing w:line="360" w:lineRule="auto"/>
        <w:rPr>
          <w:rFonts w:eastAsia="Calibri"/>
          <w:sz w:val="24"/>
          <w:szCs w:val="24"/>
        </w:rPr>
      </w:pPr>
      <w:r w:rsidRPr="004D35EE">
        <w:rPr>
          <w:rFonts w:eastAsia="Calibri"/>
          <w:sz w:val="24"/>
          <w:szCs w:val="24"/>
        </w:rPr>
        <w:lastRenderedPageBreak/>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44"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44"/>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w:t>
      </w:r>
      <w:r w:rsidRPr="004D35EE">
        <w:rPr>
          <w:rFonts w:cs="Calibri"/>
          <w:sz w:val="24"/>
          <w:szCs w:val="24"/>
        </w:rPr>
        <w:lastRenderedPageBreak/>
        <w:t>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lastRenderedPageBreak/>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3"/>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 xml:space="preserve">opisywania dokumentacji księgowej. Z punktu widzenia rozliczenia udzielanego dofinansowania na realizację projektu wysokość faktycznie poniesionych kosztów pośrednich nie będzie w tej sytuacji istotna. We wnioskach o płatność Beneficjenci </w:t>
      </w:r>
      <w:r w:rsidRPr="001C16B9">
        <w:rPr>
          <w:sz w:val="24"/>
          <w:szCs w:val="24"/>
        </w:rPr>
        <w:lastRenderedPageBreak/>
        <w:t>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lastRenderedPageBreak/>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bookmarkStart w:id="45" w:name="_Toc11144831"/>
      <w:r w:rsidRPr="004D35EE">
        <w:rPr>
          <w:rFonts w:asciiTheme="minorHAnsi" w:hAnsiTheme="minorHAnsi"/>
        </w:rPr>
        <w:t>Warunki uwzględniania dochodu w projekcie</w:t>
      </w:r>
      <w:bookmarkEnd w:id="40"/>
      <w:bookmarkEnd w:id="41"/>
      <w:bookmarkEnd w:id="42"/>
      <w:bookmarkEnd w:id="43"/>
      <w:bookmarkEnd w:id="45"/>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46" w:name="_Toc524512208"/>
      <w:bookmarkStart w:id="47" w:name="_Toc524512256"/>
      <w:bookmarkStart w:id="48" w:name="_Toc536524895"/>
      <w:bookmarkStart w:id="49"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9" w:history="1">
        <w:r w:rsidR="005F2875" w:rsidRPr="004D35EE">
          <w:rPr>
            <w:rStyle w:val="Hipercze"/>
            <w:sz w:val="24"/>
            <w:szCs w:val="24"/>
          </w:rPr>
          <w:t>https://www.funduszeeuropejskie.gov.pl/strony/o-funduszach/dokumenty/wytyczne-ministra-infrastruktury-i-rozwoju-w-zakresie-</w:t>
        </w:r>
        <w:r w:rsidR="005F2875" w:rsidRPr="004D35EE">
          <w:rPr>
            <w:rStyle w:val="Hipercze"/>
            <w:sz w:val="24"/>
            <w:szCs w:val="24"/>
          </w:rPr>
          <w:lastRenderedPageBreak/>
          <w:t>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50"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46"/>
      <w:bookmarkEnd w:id="47"/>
      <w:bookmarkEnd w:id="48"/>
      <w:bookmarkEnd w:id="49"/>
      <w:bookmarkEnd w:id="50"/>
    </w:p>
    <w:p w14:paraId="3A713447" w14:textId="77777777" w:rsidR="003D3252" w:rsidRPr="004D35EE" w:rsidRDefault="003D3252" w:rsidP="00695C88">
      <w:pPr>
        <w:spacing w:after="0" w:line="360" w:lineRule="auto"/>
        <w:rPr>
          <w:sz w:val="24"/>
          <w:szCs w:val="24"/>
          <w:lang w:eastAsia="pl-PL"/>
        </w:rPr>
      </w:pPr>
      <w:bookmarkStart w:id="51" w:name="_Toc524512209"/>
      <w:bookmarkStart w:id="52" w:name="_Toc524512257"/>
      <w:bookmarkStart w:id="53" w:name="_Toc536524896"/>
      <w:bookmarkStart w:id="54"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55" w:name="_Toc11144833"/>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51"/>
      <w:bookmarkEnd w:id="52"/>
      <w:bookmarkEnd w:id="53"/>
      <w:bookmarkEnd w:id="54"/>
      <w:bookmarkEnd w:id="55"/>
    </w:p>
    <w:p w14:paraId="3DDE95B8" w14:textId="77777777" w:rsidR="001E4F88" w:rsidRPr="004D35EE" w:rsidRDefault="001E4F88" w:rsidP="0077235E">
      <w:pPr>
        <w:pStyle w:val="Default"/>
        <w:spacing w:line="360" w:lineRule="auto"/>
        <w:rPr>
          <w:rFonts w:asciiTheme="minorHAnsi" w:hAnsiTheme="minorHAnsi"/>
          <w:color w:val="auto"/>
        </w:rPr>
      </w:pPr>
      <w:bookmarkStart w:id="56" w:name="_Toc524512210"/>
      <w:bookmarkStart w:id="57" w:name="_Toc524512258"/>
      <w:bookmarkStart w:id="58" w:name="_Toc536524897"/>
      <w:bookmarkStart w:id="59"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t>
      </w:r>
      <w:r w:rsidRPr="004D35EE">
        <w:rPr>
          <w:rFonts w:asciiTheme="minorHAnsi" w:hAnsiTheme="minorHAnsi"/>
          <w:color w:val="auto"/>
        </w:rPr>
        <w:lastRenderedPageBreak/>
        <w:t xml:space="preserve">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60" w:name="_Toc11144834"/>
      <w:r w:rsidRPr="004D35EE">
        <w:rPr>
          <w:rFonts w:asciiTheme="minorHAnsi" w:hAnsiTheme="minorHAnsi"/>
        </w:rPr>
        <w:t>Termin, miejsce i forma składania wniosków o dofinansowanie projektu</w:t>
      </w:r>
      <w:bookmarkEnd w:id="56"/>
      <w:bookmarkEnd w:id="57"/>
      <w:bookmarkEnd w:id="58"/>
      <w:bookmarkEnd w:id="59"/>
      <w:bookmarkEnd w:id="60"/>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08F60878" w:rsidR="00702CFF" w:rsidRPr="004D35EE" w:rsidRDefault="00702CFF" w:rsidP="0077235E">
      <w:pPr>
        <w:spacing w:line="360" w:lineRule="auto"/>
        <w:rPr>
          <w:sz w:val="24"/>
          <w:szCs w:val="24"/>
        </w:rPr>
      </w:pPr>
      <w:r w:rsidRPr="004D35EE">
        <w:rPr>
          <w:b/>
          <w:sz w:val="24"/>
          <w:szCs w:val="24"/>
        </w:rPr>
        <w:t xml:space="preserve">od godz. 8.00 dnia </w:t>
      </w:r>
      <w:r w:rsidR="00D17AF7">
        <w:rPr>
          <w:b/>
          <w:sz w:val="24"/>
          <w:szCs w:val="24"/>
        </w:rPr>
        <w:t xml:space="preserve">28 października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3B11F4">
        <w:rPr>
          <w:b/>
          <w:sz w:val="24"/>
          <w:szCs w:val="24"/>
        </w:rPr>
        <w:t xml:space="preserve">2 </w:t>
      </w:r>
      <w:r w:rsidR="00D45FCB">
        <w:rPr>
          <w:b/>
          <w:sz w:val="24"/>
          <w:szCs w:val="24"/>
        </w:rPr>
        <w:t>marca 2020</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w:t>
      </w:r>
      <w:bookmarkStart w:id="61" w:name="_GoBack"/>
      <w:bookmarkEnd w:id="61"/>
      <w:r w:rsidR="0034696A" w:rsidRPr="004D35EE">
        <w:rPr>
          <w:sz w:val="24"/>
          <w:szCs w:val="24"/>
        </w:rPr>
        <w:t>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8FD8366"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3B11F4">
        <w:rPr>
          <w:b/>
          <w:sz w:val="24"/>
          <w:szCs w:val="24"/>
        </w:rPr>
        <w:t>2</w:t>
      </w:r>
      <w:r w:rsidR="00D64375" w:rsidRPr="004D35EE">
        <w:rPr>
          <w:b/>
          <w:sz w:val="24"/>
          <w:szCs w:val="24"/>
        </w:rPr>
        <w:t xml:space="preserve"> </w:t>
      </w:r>
      <w:r w:rsidR="00D45FCB">
        <w:rPr>
          <w:b/>
          <w:sz w:val="24"/>
          <w:szCs w:val="24"/>
        </w:rPr>
        <w:t xml:space="preserve">marca </w:t>
      </w:r>
      <w:r w:rsidR="00DA6928" w:rsidRPr="004D35EE">
        <w:rPr>
          <w:b/>
          <w:sz w:val="24"/>
          <w:szCs w:val="24"/>
        </w:rPr>
        <w:t>20</w:t>
      </w:r>
      <w:r w:rsidR="00D45FCB">
        <w:rPr>
          <w:b/>
          <w:sz w:val="24"/>
          <w:szCs w:val="24"/>
        </w:rPr>
        <w:t>20</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lastRenderedPageBreak/>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62" w:name="_Toc524512211"/>
      <w:bookmarkStart w:id="63" w:name="_Toc524512259"/>
      <w:bookmarkStart w:id="64" w:name="_Toc536524898"/>
      <w:bookmarkStart w:id="65" w:name="_Toc536525091"/>
      <w:bookmarkStart w:id="66" w:name="_Toc11144835"/>
      <w:r w:rsidRPr="004D35EE">
        <w:rPr>
          <w:rFonts w:asciiTheme="minorHAnsi" w:hAnsiTheme="minorHAnsi"/>
        </w:rPr>
        <w:lastRenderedPageBreak/>
        <w:t>Forma konkursu</w:t>
      </w:r>
      <w:bookmarkEnd w:id="62"/>
      <w:bookmarkEnd w:id="63"/>
      <w:bookmarkEnd w:id="64"/>
      <w:bookmarkEnd w:id="65"/>
      <w:bookmarkEnd w:id="66"/>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67" w:name="_Toc524512212"/>
      <w:bookmarkStart w:id="68" w:name="_Toc524512260"/>
      <w:bookmarkStart w:id="69" w:name="_Toc536524899"/>
      <w:bookmarkStart w:id="70" w:name="_Toc536525092"/>
      <w:bookmarkStart w:id="71"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w:t>
      </w:r>
      <w:proofErr w:type="spellStart"/>
      <w:r w:rsidRPr="00CC0332">
        <w:rPr>
          <w:rFonts w:cs="Calibri"/>
          <w:color w:val="000000"/>
          <w:sz w:val="24"/>
          <w:szCs w:val="24"/>
        </w:rPr>
        <w:t>późn</w:t>
      </w:r>
      <w:proofErr w:type="spellEnd"/>
      <w:r w:rsidRPr="00CC0332">
        <w:rPr>
          <w:rFonts w:cs="Calibri"/>
          <w:color w:val="000000"/>
          <w:sz w:val="24"/>
          <w:szCs w:val="24"/>
        </w:rPr>
        <w:t xml:space="preserve">. zmianami </w:t>
      </w:r>
      <w:r w:rsidRPr="00CC0332">
        <w:rPr>
          <w:sz w:val="24"/>
          <w:szCs w:val="24"/>
        </w:rPr>
        <w:t>(obowiązującymi dla tego naboru).</w:t>
      </w:r>
    </w:p>
    <w:p w14:paraId="7015CD87" w14:textId="214FEA01"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w:t>
      </w:r>
      <w:r w:rsidR="00217A20" w:rsidRPr="00217A20">
        <w:rPr>
          <w:rFonts w:asciiTheme="minorHAnsi" w:hAnsiTheme="minorHAnsi"/>
        </w:rPr>
        <w:t>jego negatywnej oceny bądź pozostawienia bez rozpatrzenia..</w:t>
      </w:r>
    </w:p>
    <w:p w14:paraId="4DAE0B5C" w14:textId="77777777" w:rsidR="00217A20" w:rsidRDefault="00217A20" w:rsidP="00217A20">
      <w:pPr>
        <w:rPr>
          <w:b/>
        </w:rPr>
      </w:pPr>
    </w:p>
    <w:p w14:paraId="0F7AB67F" w14:textId="3B65DBCD" w:rsidR="00126AB2" w:rsidRPr="00CC0332" w:rsidRDefault="00126AB2" w:rsidP="00217A20">
      <w:pPr>
        <w:rPr>
          <w:b/>
        </w:rPr>
      </w:pPr>
      <w:r w:rsidRPr="00CC0332">
        <w:rPr>
          <w:b/>
        </w:rPr>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0438CAC6"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lastRenderedPageBreak/>
        <w:t xml:space="preserve">2) I Etap oceny projektu – ocena formalna bez możliwości </w:t>
      </w:r>
      <w:r w:rsidRPr="00BC046B">
        <w:rPr>
          <w:rFonts w:cs="Arial"/>
          <w:bCs/>
          <w:sz w:val="24"/>
          <w:szCs w:val="24"/>
        </w:rPr>
        <w:t>poprawy</w:t>
      </w:r>
      <w:r w:rsidR="00BC046B" w:rsidRPr="00BC046B">
        <w:rPr>
          <w:rFonts w:cs="Arial"/>
          <w:bCs/>
          <w:sz w:val="24"/>
          <w:szCs w:val="24"/>
        </w:rPr>
        <w:t xml:space="preserve"> (dokonywana przez jednego pracownika IOK)</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4757AEA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00BC046B">
        <w:rPr>
          <w:rFonts w:asciiTheme="minorHAnsi" w:hAnsiTheme="minorHAnsi"/>
          <w:b/>
        </w:rPr>
        <w:t xml:space="preserve"> </w:t>
      </w:r>
      <w:r w:rsidR="00BC046B" w:rsidRPr="00BC046B">
        <w:rPr>
          <w:rFonts w:cs="Arial"/>
          <w:bCs/>
        </w:rPr>
        <w:t>(dokonywana przez jednego pracownika IOK)</w:t>
      </w:r>
      <w:r w:rsidRPr="00CC0332">
        <w:rPr>
          <w:rFonts w:asciiTheme="minorHAnsi" w:hAnsiTheme="minorHAnsi"/>
        </w:rPr>
        <w:t xml:space="preserve"> – etap odbywający się w ramach KOP, który 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ocenę finansowo-ekonomiczną projektu oraz ocenę 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w:t>
      </w:r>
      <w:r w:rsidRPr="00CC0332">
        <w:rPr>
          <w:rFonts w:asciiTheme="minorHAnsi" w:hAnsiTheme="minorHAnsi"/>
        </w:rPr>
        <w:lastRenderedPageBreak/>
        <w:t>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4F465665" w14:textId="1EA260E0" w:rsidR="007400E0" w:rsidRPr="007400E0" w:rsidRDefault="00126AB2" w:rsidP="007400E0">
      <w:pPr>
        <w:autoSpaceDE w:val="0"/>
        <w:adjustRightInd w:val="0"/>
        <w:spacing w:line="360" w:lineRule="auto"/>
        <w:rPr>
          <w:rFonts w:cs="Calibri"/>
          <w:sz w:val="24"/>
          <w:szCs w:val="24"/>
        </w:rPr>
      </w:pPr>
      <w:r w:rsidRPr="00CC0332">
        <w:rPr>
          <w:rFonts w:cs="Calibri"/>
          <w:b/>
          <w:sz w:val="24"/>
          <w:szCs w:val="24"/>
        </w:rPr>
        <w:t xml:space="preserve">5) </w:t>
      </w:r>
      <w:r w:rsidR="007400E0" w:rsidRPr="007400E0">
        <w:rPr>
          <w:rFonts w:cs="Calibri"/>
          <w:sz w:val="24"/>
          <w:szCs w:val="24"/>
        </w:rPr>
        <w:t xml:space="preserve"> </w:t>
      </w:r>
      <w:r w:rsidR="007400E0" w:rsidRPr="000333EA">
        <w:rPr>
          <w:rFonts w:cs="Calibri"/>
          <w:b/>
          <w:sz w:val="24"/>
          <w:szCs w:val="24"/>
        </w:rPr>
        <w:t>IV Etap oceny projektu</w:t>
      </w:r>
      <w:r w:rsidR="007400E0" w:rsidRPr="007400E0">
        <w:rPr>
          <w:rFonts w:cs="Calibri"/>
          <w:sz w:val="24"/>
          <w:szCs w:val="24"/>
        </w:rPr>
        <w:t xml:space="preserve"> - obejmuje ocenę spełniania przez projekt kryteriów dotyczących jego zgodności oraz stopnia zgodności ze strategią ZIT. Ocena dokonywana jest z zachowaniem zasady „dwóch par oczu” przez ekspertów zewnętrznych, o których mowa w art. 68a ustawy wdrożeniowej, i/lub pracowników IP RPO WD. Ten etap oceny dokonywany jest w przeciągu 20 dni.</w:t>
      </w:r>
    </w:p>
    <w:p w14:paraId="586D3283"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W trakcie oceny strategicznej ZIT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14:paraId="23D7A75B" w14:textId="22845FD4"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 W przypadku negatywnej oceny projektu wnioskodawca otrzymuje informację, w</w:t>
      </w:r>
      <w:r w:rsidR="00BC046B">
        <w:rPr>
          <w:rFonts w:cs="Calibri"/>
          <w:sz w:val="24"/>
          <w:szCs w:val="24"/>
        </w:rPr>
        <w:t> </w:t>
      </w:r>
      <w:r w:rsidRPr="007400E0">
        <w:rPr>
          <w:rFonts w:cs="Calibri"/>
          <w:sz w:val="24"/>
          <w:szCs w:val="24"/>
        </w:rPr>
        <w:t xml:space="preserve">której podaje się przyczynę niespełnienia kryteriów wyboru projektów. Ww. </w:t>
      </w:r>
      <w:r w:rsidRPr="007400E0">
        <w:rPr>
          <w:rFonts w:cs="Calibri"/>
          <w:sz w:val="24"/>
          <w:szCs w:val="24"/>
        </w:rPr>
        <w:lastRenderedPageBreak/>
        <w:t>informacja zawiera dodatkowo pouczenie o możliwości wniesienia protestu do właściwej instytucji.</w:t>
      </w:r>
    </w:p>
    <w:p w14:paraId="233C1AB6"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Termin zakończenia poszczególnych etapów oceny wniosków może zostać wydłużony. Jeśli wydłużenie terminu oceny projektów: </w:t>
      </w:r>
    </w:p>
    <w:p w14:paraId="53D98AFD"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a)</w:t>
      </w:r>
      <w:r w:rsidRPr="007400E0">
        <w:rPr>
          <w:rFonts w:cs="Calibri"/>
          <w:sz w:val="24"/>
          <w:szCs w:val="24"/>
        </w:rPr>
        <w:tab/>
        <w:t>nie ma wpływu na termin rozstrzygnięcia konkursu określony w regulaminie konkursu, decyzję w przedmiotowej sprawie podejmuje Przewodniczący KOP;</w:t>
      </w:r>
    </w:p>
    <w:p w14:paraId="5BB5E1B4"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b)</w:t>
      </w:r>
      <w:r w:rsidRPr="007400E0">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62D5C986" w14:textId="6BA08F67" w:rsidR="00126AB2" w:rsidRPr="00CC0332" w:rsidRDefault="007400E0" w:rsidP="007400E0">
      <w:pPr>
        <w:autoSpaceDE w:val="0"/>
        <w:adjustRightInd w:val="0"/>
        <w:spacing w:line="360" w:lineRule="auto"/>
        <w:rPr>
          <w:sz w:val="24"/>
          <w:szCs w:val="24"/>
        </w:rPr>
      </w:pPr>
      <w:r w:rsidRPr="007400E0">
        <w:rPr>
          <w:rFonts w:cs="Calibri"/>
          <w:sz w:val="24"/>
          <w:szCs w:val="24"/>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67"/>
      <w:bookmarkEnd w:id="68"/>
      <w:bookmarkEnd w:id="69"/>
      <w:bookmarkEnd w:id="70"/>
      <w:bookmarkEnd w:id="71"/>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xml:space="preserve">, pod </w:t>
      </w:r>
      <w:r w:rsidRPr="004D35EE">
        <w:rPr>
          <w:rFonts w:eastAsia="SimSun" w:cs="Arial"/>
          <w:kern w:val="3"/>
          <w:sz w:val="24"/>
          <w:szCs w:val="24"/>
          <w:lang w:eastAsia="pl-PL"/>
        </w:rPr>
        <w:lastRenderedPageBreak/>
        <w:t>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5F1C5E20" w:rsidR="00A75E24" w:rsidRPr="004D35EE" w:rsidRDefault="00A75E24"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Pr="004D35EE">
        <w:rPr>
          <w:rFonts w:asciiTheme="minorHAnsi" w:eastAsia="SimSun" w:hAnsiTheme="minorHAnsi"/>
          <w:bCs/>
          <w:color w:val="000000"/>
          <w:kern w:val="3"/>
          <w:sz w:val="24"/>
          <w:szCs w:val="24"/>
        </w:rPr>
        <w:t>;</w:t>
      </w:r>
    </w:p>
    <w:p w14:paraId="6A2A02D2" w14:textId="5E53D2F5" w:rsidR="00A75E24" w:rsidRPr="004D35EE" w:rsidRDefault="00B01340"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00A75E24" w:rsidRPr="004D35EE">
        <w:rPr>
          <w:rFonts w:asciiTheme="minorHAnsi" w:eastAsia="SimSun" w:hAnsiTheme="minorHAnsi"/>
          <w:bCs/>
          <w:color w:val="000000"/>
          <w:kern w:val="3"/>
          <w:sz w:val="24"/>
          <w:szCs w:val="24"/>
        </w:rPr>
        <w:t>.</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217A20" w:rsidRDefault="00A75E24" w:rsidP="00217A20">
      <w:pPr>
        <w:spacing w:after="0" w:line="360" w:lineRule="auto"/>
        <w:rPr>
          <w:sz w:val="24"/>
          <w:szCs w:val="24"/>
        </w:rPr>
      </w:pPr>
      <w:r w:rsidRPr="00217A20">
        <w:rPr>
          <w:sz w:val="24"/>
          <w:szCs w:val="24"/>
        </w:rPr>
        <w:t xml:space="preserve"> </w:t>
      </w:r>
    </w:p>
    <w:p w14:paraId="73848E34" w14:textId="2E9141FA" w:rsidR="00217A20" w:rsidRPr="00217A20" w:rsidRDefault="00217A20" w:rsidP="00217A20">
      <w:pPr>
        <w:spacing w:line="360" w:lineRule="auto"/>
        <w:rPr>
          <w:color w:val="000000" w:themeColor="text1"/>
          <w:sz w:val="24"/>
          <w:szCs w:val="24"/>
        </w:rPr>
      </w:pPr>
      <w:bookmarkStart w:id="72" w:name="_Toc494282183"/>
      <w:r w:rsidRPr="00217A20">
        <w:rPr>
          <w:color w:val="000000" w:themeColor="text1"/>
          <w:sz w:val="24"/>
          <w:szCs w:val="24"/>
        </w:rPr>
        <w:t xml:space="preserve">Nieuzupełnienie braku w zakresie warunków formalnych lub niepoprawienie oczywistej omyłki przez wnioskodawcę na wezwanie IZ RPO WD w myśl art. 43 </w:t>
      </w:r>
      <w:r w:rsidRPr="00217A20">
        <w:rPr>
          <w:color w:val="000000" w:themeColor="text1"/>
          <w:sz w:val="24"/>
          <w:szCs w:val="24"/>
        </w:rPr>
        <w:lastRenderedPageBreak/>
        <w:t>ustawy</w:t>
      </w:r>
      <w:r>
        <w:rPr>
          <w:color w:val="000000" w:themeColor="text1"/>
          <w:sz w:val="24"/>
          <w:szCs w:val="24"/>
        </w:rPr>
        <w:t>,</w:t>
      </w:r>
      <w:r w:rsidRPr="00217A20">
        <w:rPr>
          <w:color w:val="000000" w:themeColor="text1"/>
          <w:sz w:val="24"/>
          <w:szCs w:val="24"/>
        </w:rPr>
        <w:t xml:space="preserve"> 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3F506883" w14:textId="77777777" w:rsidR="00217A20" w:rsidRPr="00217A20" w:rsidRDefault="00217A20" w:rsidP="00217A20">
      <w:pPr>
        <w:pStyle w:val="Default"/>
        <w:spacing w:line="360" w:lineRule="auto"/>
        <w:rPr>
          <w:rFonts w:asciiTheme="minorHAnsi" w:hAnsiTheme="minorHAnsi" w:cs="Arial"/>
          <w:b/>
          <w:color w:val="000000" w:themeColor="text1"/>
        </w:rPr>
      </w:pPr>
    </w:p>
    <w:p w14:paraId="0AC63ABE" w14:textId="77777777" w:rsidR="00217A20" w:rsidRPr="004D35EE" w:rsidRDefault="00217A20" w:rsidP="00217A20">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14:paraId="6983C7D9" w14:textId="77777777" w:rsidR="00816AD6"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73" w:name="_Toc524512213"/>
      <w:bookmarkStart w:id="74" w:name="_Toc524512261"/>
      <w:bookmarkStart w:id="75" w:name="_Toc536524900"/>
      <w:bookmarkStart w:id="76" w:name="_Toc536525093"/>
      <w:bookmarkStart w:id="77"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72"/>
      <w:bookmarkEnd w:id="73"/>
      <w:bookmarkEnd w:id="74"/>
      <w:bookmarkEnd w:id="75"/>
      <w:bookmarkEnd w:id="76"/>
      <w:bookmarkEnd w:id="77"/>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48A60AA"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w:t>
      </w:r>
      <w:r w:rsidRPr="004D35EE">
        <w:rPr>
          <w:sz w:val="24"/>
          <w:szCs w:val="24"/>
        </w:rPr>
        <w:lastRenderedPageBreak/>
        <w:t xml:space="preserve">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20"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78" w:name="_Toc524512214"/>
      <w:bookmarkStart w:id="79" w:name="_Toc524512262"/>
      <w:bookmarkStart w:id="80" w:name="_Toc536524901"/>
      <w:bookmarkStart w:id="81" w:name="_Toc536525094"/>
      <w:bookmarkStart w:id="82" w:name="_Toc11144838"/>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78"/>
      <w:bookmarkEnd w:id="79"/>
      <w:bookmarkEnd w:id="80"/>
      <w:bookmarkEnd w:id="81"/>
      <w:bookmarkEnd w:id="82"/>
    </w:p>
    <w:p w14:paraId="6695F0EC" w14:textId="30671378"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zamieszczone są na stron</w:t>
      </w:r>
      <w:r w:rsidR="000333EA">
        <w:rPr>
          <w:sz w:val="24"/>
          <w:szCs w:val="24"/>
        </w:rPr>
        <w:t>ach</w:t>
      </w:r>
      <w:r w:rsidR="005138A3">
        <w:rPr>
          <w:sz w:val="24"/>
          <w:szCs w:val="24"/>
        </w:rPr>
        <w:t xml:space="preserve"> </w:t>
      </w:r>
      <w:hyperlink r:id="rId21" w:history="1">
        <w:r w:rsidRPr="004D35EE">
          <w:rPr>
            <w:rStyle w:val="Hipercze"/>
            <w:rFonts w:cs="Calibri"/>
            <w:sz w:val="24"/>
            <w:szCs w:val="24"/>
          </w:rPr>
          <w:t>www.rpo.dolnyslask.pl</w:t>
        </w:r>
      </w:hyperlink>
      <w:r w:rsidR="008E2396">
        <w:rPr>
          <w:rStyle w:val="Hipercze"/>
          <w:rFonts w:cs="Calibri"/>
          <w:sz w:val="24"/>
          <w:szCs w:val="24"/>
        </w:rPr>
        <w:t xml:space="preserve">, </w:t>
      </w:r>
      <w:hyperlink r:id="rId22"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3" w:history="1">
        <w:r w:rsidR="008E2396" w:rsidRPr="003D432E">
          <w:rPr>
            <w:rStyle w:val="Hipercze"/>
            <w:sz w:val="24"/>
            <w:szCs w:val="24"/>
          </w:rPr>
          <w:t>http://zitaj.jeleniagora.pl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199C5D20" w:rsidR="00894298" w:rsidRPr="004D35EE" w:rsidRDefault="00894298" w:rsidP="0077235E">
      <w:pPr>
        <w:spacing w:line="360" w:lineRule="auto"/>
        <w:rPr>
          <w:rFonts w:cs="Arial"/>
          <w:color w:val="000000"/>
          <w:sz w:val="24"/>
          <w:szCs w:val="24"/>
        </w:rPr>
      </w:pPr>
      <w:r w:rsidRPr="004D35EE">
        <w:rPr>
          <w:rFonts w:cs="Arial"/>
          <w:sz w:val="24"/>
          <w:szCs w:val="24"/>
        </w:rPr>
        <w:lastRenderedPageBreak/>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w:t>
      </w:r>
      <w:r w:rsidR="000333EA">
        <w:rPr>
          <w:sz w:val="24"/>
          <w:szCs w:val="24"/>
        </w:rPr>
        <w:t xml:space="preserve">stronach </w:t>
      </w:r>
      <w:hyperlink r:id="rId24" w:history="1">
        <w:r w:rsidRPr="004D35EE">
          <w:rPr>
            <w:rStyle w:val="Hipercze"/>
            <w:rFonts w:cs="Calibri"/>
            <w:sz w:val="24"/>
            <w:szCs w:val="24"/>
          </w:rPr>
          <w:t>www.rpo.dolnyslask.pl</w:t>
        </w:r>
      </w:hyperlink>
      <w:r w:rsidR="008E2396">
        <w:rPr>
          <w:rStyle w:val="Hipercze"/>
          <w:rFonts w:cs="Calibri"/>
          <w:sz w:val="24"/>
          <w:szCs w:val="24"/>
        </w:rPr>
        <w:t xml:space="preserve">, </w:t>
      </w:r>
      <w:hyperlink r:id="rId25"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6" w:history="1">
        <w:r w:rsidR="008E2396"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83" w:name="_Toc524512215"/>
      <w:bookmarkStart w:id="84" w:name="_Toc524512263"/>
      <w:bookmarkStart w:id="85" w:name="_Toc536524902"/>
      <w:bookmarkStart w:id="86" w:name="_Toc536525095"/>
      <w:bookmarkStart w:id="87"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83"/>
      <w:bookmarkEnd w:id="84"/>
      <w:bookmarkEnd w:id="85"/>
      <w:bookmarkEnd w:id="86"/>
      <w:bookmarkEnd w:id="87"/>
    </w:p>
    <w:p w14:paraId="48CDDFDC" w14:textId="2F115FD7" w:rsidR="00894298" w:rsidRPr="004D35EE" w:rsidRDefault="00894298" w:rsidP="0077235E">
      <w:pPr>
        <w:autoSpaceDE w:val="0"/>
        <w:autoSpaceDN w:val="0"/>
        <w:adjustRightInd w:val="0"/>
        <w:spacing w:after="0" w:line="360" w:lineRule="auto"/>
        <w:rPr>
          <w:rFonts w:cs="Calibri"/>
          <w:sz w:val="24"/>
          <w:szCs w:val="24"/>
        </w:rPr>
      </w:pPr>
      <w:bookmarkStart w:id="88" w:name="_Toc524512216"/>
      <w:bookmarkStart w:id="89" w:name="_Toc524512264"/>
      <w:bookmarkStart w:id="90" w:name="_Toc536524903"/>
      <w:bookmarkStart w:id="91"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7" w:history="1">
        <w:r w:rsidRPr="004D35EE">
          <w:rPr>
            <w:rStyle w:val="Hipercze"/>
            <w:rFonts w:cs="Calibri"/>
            <w:sz w:val="24"/>
            <w:szCs w:val="24"/>
          </w:rPr>
          <w:t>www.rpo.dolnyslask.pl</w:t>
        </w:r>
      </w:hyperlink>
      <w:r w:rsidR="008F2A9B">
        <w:rPr>
          <w:rStyle w:val="Hipercze"/>
          <w:rFonts w:cs="Calibri"/>
          <w:sz w:val="24"/>
          <w:szCs w:val="24"/>
        </w:rPr>
        <w:t xml:space="preserve">, </w:t>
      </w:r>
      <w:hyperlink r:id="rId28" w:history="1">
        <w:r w:rsidR="008F2A9B" w:rsidRPr="003D432E">
          <w:rPr>
            <w:rStyle w:val="Hipercze"/>
            <w:sz w:val="24"/>
            <w:szCs w:val="24"/>
          </w:rPr>
          <w:t>www.zitwrof.pl</w:t>
        </w:r>
      </w:hyperlink>
      <w:r w:rsidR="008F2A9B">
        <w:rPr>
          <w:rStyle w:val="Hipercze"/>
          <w:sz w:val="24"/>
          <w:szCs w:val="24"/>
        </w:rPr>
        <w:t>,</w:t>
      </w:r>
      <w:r w:rsidR="008F2A9B">
        <w:rPr>
          <w:sz w:val="24"/>
          <w:szCs w:val="24"/>
        </w:rPr>
        <w:t xml:space="preserve"> </w:t>
      </w:r>
      <w:hyperlink r:id="rId29" w:history="1">
        <w:r w:rsidR="008F2A9B"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lastRenderedPageBreak/>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92"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92"/>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93" w:name="_Hlk482365043"/>
      <w:r w:rsidRPr="008F4216">
        <w:rPr>
          <w:sz w:val="24"/>
        </w:rPr>
        <w:t xml:space="preserve">Beneficjent w umowie o dofinansowanie zostanie zobowiązany do stosowania wytycznych wydanych przez ministra ds. rozwoju regionalnego (m.in. w zakresie </w:t>
      </w:r>
      <w:r w:rsidRPr="008F4216">
        <w:rPr>
          <w:sz w:val="24"/>
        </w:rPr>
        <w:lastRenderedPageBreak/>
        <w:t>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93"/>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94" w:name="_Toc11144840"/>
      <w:r w:rsidRPr="004D35EE">
        <w:rPr>
          <w:rFonts w:asciiTheme="minorHAnsi" w:hAnsiTheme="minorHAnsi"/>
        </w:rPr>
        <w:t>Kryteria wyboru projektów wraz z podaniem ich znaczenia</w:t>
      </w:r>
      <w:bookmarkEnd w:id="88"/>
      <w:bookmarkEnd w:id="89"/>
      <w:bookmarkEnd w:id="90"/>
      <w:bookmarkEnd w:id="91"/>
      <w:bookmarkEnd w:id="94"/>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30"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 xml:space="preserve">nionego/poprawionego wniosku </w:t>
      </w:r>
      <w:r w:rsidR="00A7739E">
        <w:rPr>
          <w:bCs/>
          <w:sz w:val="24"/>
          <w:szCs w:val="24"/>
        </w:rPr>
        <w:lastRenderedPageBreak/>
        <w:t>(w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31"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32"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33"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lastRenderedPageBreak/>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1AFF04EE" w:rsidR="00DA2002" w:rsidRPr="00DA2002" w:rsidRDefault="00DA2002" w:rsidP="001C6E31">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w:t>
            </w:r>
            <w:r w:rsidR="001C6E31">
              <w:rPr>
                <w:rFonts w:eastAsia="Times New Roman" w:cs="Arial"/>
                <w:b/>
                <w:bCs/>
                <w:sz w:val="20"/>
                <w:szCs w:val="20"/>
                <w:lang w:eastAsia="pl-PL"/>
              </w:rPr>
              <w:t>9</w:t>
            </w:r>
            <w:r w:rsidRPr="00DA2002">
              <w:rPr>
                <w:rFonts w:eastAsia="Times New Roman" w:cs="Arial"/>
                <w:b/>
                <w:bCs/>
                <w:sz w:val="20"/>
                <w:szCs w:val="20"/>
                <w:lang w:eastAsia="pl-PL"/>
              </w:rPr>
              <w:t xml:space="preserve">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95" w:name="_Toc524512217"/>
      <w:bookmarkStart w:id="96" w:name="_Toc524512265"/>
      <w:bookmarkStart w:id="97" w:name="_Toc536524904"/>
      <w:bookmarkStart w:id="98" w:name="_Toc536525097"/>
      <w:bookmarkStart w:id="99" w:name="_Toc11144841"/>
      <w:r w:rsidRPr="004D35EE">
        <w:rPr>
          <w:rFonts w:asciiTheme="minorHAnsi" w:hAnsiTheme="minorHAnsi"/>
        </w:rPr>
        <w:t>Studium wykonalności</w:t>
      </w:r>
      <w:bookmarkEnd w:id="95"/>
      <w:bookmarkEnd w:id="96"/>
      <w:bookmarkEnd w:id="97"/>
      <w:bookmarkEnd w:id="98"/>
      <w:bookmarkEnd w:id="99"/>
    </w:p>
    <w:p w14:paraId="32C31D0D" w14:textId="5A629F19" w:rsidR="00D03342" w:rsidRPr="004D35EE" w:rsidRDefault="00D03342" w:rsidP="0077235E">
      <w:pPr>
        <w:spacing w:before="240" w:line="360" w:lineRule="auto"/>
        <w:rPr>
          <w:sz w:val="24"/>
          <w:szCs w:val="24"/>
        </w:rPr>
      </w:pPr>
      <w:bookmarkStart w:id="100" w:name="_Toc524512218"/>
      <w:bookmarkStart w:id="101" w:name="_Toc524512266"/>
      <w:bookmarkStart w:id="102" w:name="_Toc536524905"/>
      <w:bookmarkStart w:id="103"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W analizie finansowej niezbędne jest zatem 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sidR="00CA7985">
        <w:rPr>
          <w:sz w:val="24"/>
          <w:szCs w:val="24"/>
        </w:rPr>
        <w:t>:</w:t>
      </w:r>
      <w:r w:rsidR="00CA7985" w:rsidRPr="00CA7985">
        <w:rPr>
          <w:sz w:val="24"/>
          <w:szCs w:val="24"/>
        </w:rPr>
        <w:t xml:space="preserve">   </w:t>
      </w:r>
      <w:hyperlink r:id="rId34"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w:t>
      </w:r>
      <w:r w:rsidRPr="004D35EE">
        <w:rPr>
          <w:sz w:val="24"/>
          <w:szCs w:val="24"/>
        </w:rPr>
        <w:lastRenderedPageBreak/>
        <w:t xml:space="preserve">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D45FCB" w:rsidP="0077235E">
      <w:pPr>
        <w:spacing w:after="0" w:line="360" w:lineRule="auto"/>
        <w:rPr>
          <w:rStyle w:val="Hipercze"/>
          <w:rFonts w:cs="Calibri"/>
          <w:sz w:val="24"/>
          <w:szCs w:val="24"/>
        </w:rPr>
      </w:pPr>
      <w:hyperlink r:id="rId3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04" w:name="_Toc11144842"/>
      <w:r w:rsidRPr="004D35EE">
        <w:rPr>
          <w:rFonts w:asciiTheme="minorHAnsi" w:hAnsiTheme="minorHAnsi"/>
        </w:rPr>
        <w:t xml:space="preserve">Wskaźniki produktu </w:t>
      </w:r>
      <w:r w:rsidR="00364C8F" w:rsidRPr="004D35EE">
        <w:rPr>
          <w:rFonts w:asciiTheme="minorHAnsi" w:hAnsiTheme="minorHAnsi"/>
        </w:rPr>
        <w:t>i rezultatu</w:t>
      </w:r>
      <w:bookmarkEnd w:id="100"/>
      <w:bookmarkEnd w:id="101"/>
      <w:bookmarkEnd w:id="102"/>
      <w:bookmarkEnd w:id="103"/>
      <w:bookmarkEnd w:id="104"/>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05" w:name="_Toc524512219"/>
      <w:bookmarkStart w:id="106" w:name="_Toc524512267"/>
      <w:bookmarkStart w:id="107" w:name="_Toc536524906"/>
      <w:bookmarkStart w:id="108" w:name="_Toc536525099"/>
      <w:bookmarkStart w:id="109"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05"/>
      <w:bookmarkEnd w:id="106"/>
      <w:bookmarkEnd w:id="107"/>
      <w:bookmarkEnd w:id="108"/>
      <w:bookmarkEnd w:id="109"/>
    </w:p>
    <w:p w14:paraId="421CA07A" w14:textId="77777777" w:rsidR="00D05EC0" w:rsidRPr="00CC0332" w:rsidRDefault="00D05EC0" w:rsidP="00D05EC0">
      <w:pPr>
        <w:spacing w:after="0" w:line="360" w:lineRule="auto"/>
        <w:contextualSpacing/>
        <w:rPr>
          <w:sz w:val="24"/>
          <w:szCs w:val="24"/>
        </w:rPr>
      </w:pPr>
      <w:bookmarkStart w:id="110" w:name="_Toc524512220"/>
      <w:bookmarkStart w:id="111" w:name="_Toc524512268"/>
      <w:bookmarkStart w:id="112" w:name="_Toc536524907"/>
      <w:bookmarkStart w:id="113" w:name="_Toc536525100"/>
      <w:bookmarkStart w:id="114"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F45362B" w14:textId="77777777" w:rsidR="00D05EC0" w:rsidRDefault="00D05EC0" w:rsidP="00D05EC0">
      <w:pPr>
        <w:spacing w:after="0" w:line="360" w:lineRule="auto"/>
        <w:rPr>
          <w:sz w:val="24"/>
          <w:szCs w:val="24"/>
        </w:rPr>
      </w:pPr>
      <w:r w:rsidRPr="00CC0332">
        <w:rPr>
          <w:sz w:val="24"/>
          <w:szCs w:val="24"/>
        </w:rPr>
        <w:t xml:space="preserve">- bezpośrednio do IZ RPO WD </w:t>
      </w:r>
      <w:r>
        <w:rPr>
          <w:sz w:val="24"/>
          <w:szCs w:val="24"/>
        </w:rPr>
        <w:t>lub</w:t>
      </w:r>
    </w:p>
    <w:p w14:paraId="7D3C0541" w14:textId="77777777" w:rsidR="00D05EC0" w:rsidRPr="00CC0332" w:rsidRDefault="00D05EC0" w:rsidP="00D05EC0">
      <w:pPr>
        <w:spacing w:after="0" w:line="360" w:lineRule="auto"/>
        <w:contextualSpacing/>
        <w:rPr>
          <w:sz w:val="24"/>
          <w:szCs w:val="24"/>
        </w:rPr>
      </w:pPr>
      <w:r>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 xml:space="preserve"> (</w:t>
      </w:r>
      <w:r w:rsidRPr="00337F6D">
        <w:rPr>
          <w:rFonts w:eastAsia="Times New Roman" w:cs="Times New Roman"/>
          <w:sz w:val="24"/>
          <w:szCs w:val="24"/>
        </w:rPr>
        <w:t xml:space="preserve">w przypadku oceny </w:t>
      </w:r>
      <w:r>
        <w:rPr>
          <w:rFonts w:eastAsia="Times New Roman" w:cs="Times New Roman"/>
          <w:sz w:val="24"/>
          <w:szCs w:val="24"/>
        </w:rPr>
        <w:t>strategicznej</w:t>
      </w:r>
      <w:r w:rsidRPr="00337F6D">
        <w:rPr>
          <w:rFonts w:eastAsia="Times New Roman" w:cs="Times New Roman"/>
          <w:sz w:val="24"/>
          <w:szCs w:val="24"/>
        </w:rPr>
        <w:t xml:space="preserve"> ZIT</w:t>
      </w:r>
      <w:r>
        <w:rPr>
          <w:rFonts w:eastAsia="Times New Roman" w:cs="Times New Roman"/>
          <w:sz w:val="24"/>
          <w:szCs w:val="24"/>
        </w:rPr>
        <w:t>)</w:t>
      </w:r>
      <w:r>
        <w:rPr>
          <w:sz w:val="24"/>
          <w:szCs w:val="24"/>
        </w:rPr>
        <w:t>,</w:t>
      </w:r>
    </w:p>
    <w:p w14:paraId="02A29590" w14:textId="77777777" w:rsidR="00D05EC0" w:rsidRPr="00CC0332" w:rsidRDefault="00D05EC0" w:rsidP="00D05EC0">
      <w:pPr>
        <w:spacing w:after="0" w:line="360" w:lineRule="auto"/>
        <w:contextualSpacing/>
        <w:rPr>
          <w:sz w:val="24"/>
          <w:szCs w:val="24"/>
        </w:rPr>
      </w:pPr>
      <w:r w:rsidRPr="00CC0332">
        <w:rPr>
          <w:sz w:val="24"/>
          <w:szCs w:val="24"/>
        </w:rPr>
        <w:t>na zasadach i w trybie, o którym mowa w art. 53</w:t>
      </w:r>
      <w:r>
        <w:rPr>
          <w:sz w:val="24"/>
          <w:szCs w:val="24"/>
        </w:rPr>
        <w:t>,</w:t>
      </w:r>
      <w:r w:rsidRPr="00CC0332">
        <w:rPr>
          <w:sz w:val="24"/>
          <w:szCs w:val="24"/>
        </w:rPr>
        <w:t xml:space="preserve">  art. 54 </w:t>
      </w:r>
      <w:r>
        <w:rPr>
          <w:sz w:val="24"/>
          <w:szCs w:val="24"/>
        </w:rPr>
        <w:t xml:space="preserve">oraz art. 56 </w:t>
      </w:r>
      <w:r w:rsidRPr="00CC0332">
        <w:rPr>
          <w:sz w:val="24"/>
          <w:szCs w:val="24"/>
        </w:rPr>
        <w:t xml:space="preserve">ustawy wdrożeniowej. </w:t>
      </w:r>
    </w:p>
    <w:p w14:paraId="32506E09" w14:textId="77777777" w:rsidR="00D05EC0" w:rsidRPr="00CC0332" w:rsidRDefault="00D05EC0" w:rsidP="00D05EC0">
      <w:pPr>
        <w:spacing w:line="360" w:lineRule="auto"/>
        <w:contextualSpacing/>
        <w:rPr>
          <w:sz w:val="24"/>
          <w:szCs w:val="24"/>
        </w:rPr>
      </w:pPr>
      <w:r w:rsidRPr="00CC0332">
        <w:rPr>
          <w:sz w:val="24"/>
          <w:szCs w:val="24"/>
        </w:rPr>
        <w:t>W pisemnej informacji dla Wnioskodawcy o negatywnej ocenie projektu, IZ RPO WD</w:t>
      </w:r>
      <w:r>
        <w:rPr>
          <w:sz w:val="24"/>
          <w:szCs w:val="24"/>
        </w:rPr>
        <w:t>/IZ RPO WD</w:t>
      </w:r>
      <w:r w:rsidRPr="00CC0332">
        <w:rPr>
          <w:sz w:val="24"/>
          <w:szCs w:val="24"/>
        </w:rPr>
        <w:t xml:space="preserve"> </w:t>
      </w:r>
      <w:r>
        <w:rPr>
          <w:sz w:val="24"/>
          <w:szCs w:val="24"/>
        </w:rPr>
        <w:t>za pośrednictwem IP</w:t>
      </w:r>
      <w:r w:rsidRPr="005043BF">
        <w:rPr>
          <w:sz w:val="24"/>
          <w:szCs w:val="24"/>
        </w:rPr>
        <w:t xml:space="preserve"> RPO WD</w:t>
      </w:r>
      <w:r w:rsidRPr="00CC0332">
        <w:rPr>
          <w:sz w:val="24"/>
          <w:szCs w:val="24"/>
        </w:rPr>
        <w:t xml:space="preserve"> zamieszcza szczegółowe uzasadnienie wyników oceny projektu oraz pouczenie o</w:t>
      </w:r>
      <w:r>
        <w:rPr>
          <w:sz w:val="24"/>
          <w:szCs w:val="24"/>
        </w:rPr>
        <w:t xml:space="preserve"> </w:t>
      </w:r>
      <w:r w:rsidRPr="00CC0332">
        <w:rPr>
          <w:sz w:val="24"/>
          <w:szCs w:val="24"/>
        </w:rPr>
        <w:t>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529A1601"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w:t>
      </w:r>
      <w:r>
        <w:rPr>
          <w:rFonts w:asciiTheme="minorHAnsi" w:hAnsiTheme="minorHAnsi"/>
          <w:sz w:val="24"/>
          <w:szCs w:val="24"/>
        </w:rPr>
        <w:t xml:space="preserve">lub </w:t>
      </w:r>
      <w:r w:rsidRPr="000E12CA">
        <w:rPr>
          <w:sz w:val="24"/>
          <w:szCs w:val="24"/>
        </w:rPr>
        <w:t xml:space="preserve">IZ RPO WD </w:t>
      </w:r>
      <w:r>
        <w:rPr>
          <w:sz w:val="24"/>
          <w:szCs w:val="24"/>
        </w:rPr>
        <w:t>za pośrednictwem IP</w:t>
      </w:r>
      <w:r w:rsidRPr="005043BF">
        <w:rPr>
          <w:sz w:val="24"/>
          <w:szCs w:val="24"/>
        </w:rPr>
        <w:t xml:space="preserve"> RPO WD</w:t>
      </w:r>
      <w:r w:rsidRPr="0077235E">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IZ RPO WD o negatywnej ocenie projektu. </w:t>
      </w:r>
      <w:r w:rsidRPr="005724D9">
        <w:rPr>
          <w:rFonts w:cs="Calibri"/>
          <w:sz w:val="24"/>
          <w:szCs w:val="24"/>
        </w:rPr>
        <w:t xml:space="preserve">Protest </w:t>
      </w:r>
      <w:r w:rsidRPr="005724D9">
        <w:rPr>
          <w:rFonts w:cs="Arial"/>
          <w:sz w:val="24"/>
          <w:szCs w:val="24"/>
        </w:rPr>
        <w:t xml:space="preserve">od negatywnego wyniku oceny formalnej/merytorycznej wniosku o dofinansowanie lub od niewybrania projektu do dofinansowania w wyniku zakończenia oceny projektu </w:t>
      </w:r>
      <w:r w:rsidRPr="005724D9">
        <w:rPr>
          <w:rFonts w:cs="Calibri"/>
          <w:sz w:val="24"/>
          <w:szCs w:val="24"/>
        </w:rPr>
        <w:t xml:space="preserve">wnoszony jest bezpośrednio do IZ RPO WD. Protest od negatywnego wyniku oceny </w:t>
      </w:r>
      <w:r>
        <w:rPr>
          <w:rFonts w:cs="Calibri"/>
          <w:sz w:val="24"/>
          <w:szCs w:val="24"/>
        </w:rPr>
        <w:t>strategicznej</w:t>
      </w:r>
      <w:r w:rsidRPr="005724D9">
        <w:rPr>
          <w:rFonts w:cs="Calibri"/>
          <w:sz w:val="24"/>
          <w:szCs w:val="24"/>
        </w:rPr>
        <w:t xml:space="preserve"> ZIT wnoszony jest do IZ RPO WD za pośrednictwem IP </w:t>
      </w:r>
      <w:r>
        <w:rPr>
          <w:rFonts w:cs="Calibri"/>
          <w:sz w:val="24"/>
          <w:szCs w:val="24"/>
        </w:rPr>
        <w:t>RPO WD</w:t>
      </w:r>
      <w:r w:rsidRPr="005724D9">
        <w:rPr>
          <w:rFonts w:cs="Calibri"/>
          <w:sz w:val="24"/>
          <w:szCs w:val="24"/>
        </w:rPr>
        <w:t>.</w:t>
      </w:r>
    </w:p>
    <w:p w14:paraId="7C4B00D2" w14:textId="77777777" w:rsidR="00D05EC0" w:rsidRPr="00CC0332" w:rsidRDefault="00D05EC0" w:rsidP="00D05EC0">
      <w:pPr>
        <w:spacing w:before="240" w:after="0" w:line="360" w:lineRule="auto"/>
        <w:rPr>
          <w:sz w:val="24"/>
          <w:szCs w:val="24"/>
        </w:rPr>
      </w:pPr>
      <w:r w:rsidRPr="00CC0332">
        <w:rPr>
          <w:sz w:val="24"/>
          <w:szCs w:val="24"/>
        </w:rPr>
        <w:t>Publikacja wyników oceny projektów na stronie internetowej IZ RPO WD</w:t>
      </w:r>
      <w:r>
        <w:rPr>
          <w:sz w:val="24"/>
          <w:szCs w:val="24"/>
        </w:rPr>
        <w:t>/IP RPO WD</w:t>
      </w:r>
      <w:r w:rsidRPr="00CC0332">
        <w:rPr>
          <w:sz w:val="24"/>
          <w:szCs w:val="24"/>
        </w:rPr>
        <w:t xml:space="preserve"> nie jest podstawą do wniesienia protestu.</w:t>
      </w:r>
    </w:p>
    <w:p w14:paraId="646B7E09" w14:textId="77777777" w:rsidR="00D05EC0" w:rsidRPr="00CC0332" w:rsidRDefault="00D05EC0" w:rsidP="00D05EC0">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 IZ RPO WD,</w:t>
      </w:r>
      <w:r w:rsidRPr="005E5C81">
        <w:rPr>
          <w:rFonts w:asciiTheme="minorHAnsi" w:eastAsia="Times New Roman" w:hAnsiTheme="minorHAnsi" w:cs="Times New Roman"/>
          <w:sz w:val="24"/>
          <w:szCs w:val="24"/>
        </w:rPr>
        <w:t xml:space="preserve"> </w:t>
      </w:r>
      <w:r w:rsidRPr="00337F6D">
        <w:rPr>
          <w:rFonts w:asciiTheme="minorHAnsi" w:eastAsia="Times New Roman" w:hAnsiTheme="minorHAnsi" w:cs="Times New Roman"/>
          <w:sz w:val="24"/>
          <w:szCs w:val="24"/>
        </w:rPr>
        <w:t xml:space="preserve">a w przypadku oceny </w:t>
      </w:r>
      <w:r>
        <w:rPr>
          <w:rFonts w:asciiTheme="minorHAnsi" w:eastAsia="Times New Roman" w:hAnsiTheme="minorHAnsi" w:cs="Times New Roman"/>
          <w:sz w:val="24"/>
          <w:szCs w:val="24"/>
        </w:rPr>
        <w:t>strategicznej</w:t>
      </w:r>
      <w:r w:rsidRPr="00337F6D">
        <w:rPr>
          <w:rFonts w:asciiTheme="minorHAnsi" w:eastAsia="Times New Roman" w:hAnsiTheme="minorHAnsi" w:cs="Times New Roman"/>
          <w:sz w:val="24"/>
          <w:szCs w:val="24"/>
        </w:rPr>
        <w:t xml:space="preserve"> ZIT do IZ RPO WD za pośrednictwem IP RPO WD</w:t>
      </w:r>
      <w:r w:rsidRPr="00CC0332">
        <w:rPr>
          <w:rFonts w:asciiTheme="minorHAnsi" w:eastAsia="Times New Roman" w:hAnsiTheme="minorHAnsi" w:cs="Times New Roman"/>
          <w:sz w:val="24"/>
          <w:szCs w:val="24"/>
        </w:rPr>
        <w:t xml:space="preserve">. Zgodnie z art. 54 ust. 2 ustawy wdrożeniowej, </w:t>
      </w:r>
      <w:r w:rsidRPr="00CC0332">
        <w:rPr>
          <w:rFonts w:asciiTheme="minorHAnsi" w:eastAsia="Times New Roman" w:hAnsiTheme="minorHAnsi" w:cs="Arial"/>
          <w:sz w:val="24"/>
          <w:szCs w:val="24"/>
        </w:rPr>
        <w:t xml:space="preserve">protest zawiera: </w:t>
      </w:r>
      <w:r w:rsidRPr="00CC0332">
        <w:rPr>
          <w:rFonts w:asciiTheme="minorHAnsi" w:eastAsia="Times New Roman" w:hAnsiTheme="minorHAnsi" w:cs="Arial"/>
          <w:sz w:val="24"/>
          <w:szCs w:val="24"/>
        </w:rPr>
        <w:lastRenderedPageBreak/>
        <w:t>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428AA995" w14:textId="77777777" w:rsidR="00D05EC0" w:rsidRPr="00CC0332" w:rsidRDefault="00D05EC0" w:rsidP="00D05EC0">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Dopuszczalne jest wycofanie przez wnioskodawcę protestu wniesionego do IZ RPO WD</w:t>
      </w:r>
      <w:r>
        <w:rPr>
          <w:rFonts w:asciiTheme="minorHAnsi" w:eastAsia="Times New Roman" w:hAnsiTheme="minorHAnsi" w:cs="Times New Roman"/>
          <w:sz w:val="24"/>
          <w:szCs w:val="24"/>
        </w:rPr>
        <w:t>/</w:t>
      </w:r>
      <w:r w:rsidRPr="007F7DA9">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eastAsia="Times New Roman" w:hAnsiTheme="minorHAnsi" w:cs="Times New Roman"/>
          <w:sz w:val="24"/>
          <w:szCs w:val="24"/>
        </w:rPr>
        <w:t xml:space="preserve">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5C989EF4"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w:t>
      </w:r>
      <w:r>
        <w:rPr>
          <w:rFonts w:asciiTheme="minorHAnsi" w:hAnsiTheme="minorHAnsi"/>
          <w:sz w:val="24"/>
          <w:szCs w:val="24"/>
        </w:rPr>
        <w:t>/IP RPO WD</w:t>
      </w:r>
      <w:r w:rsidRPr="0077235E">
        <w:rPr>
          <w:rFonts w:asciiTheme="minorHAnsi" w:hAnsiTheme="minorHAnsi"/>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r>
        <w:rPr>
          <w:rFonts w:asciiTheme="minorHAnsi" w:hAnsiTheme="minorHAnsi"/>
          <w:sz w:val="24"/>
          <w:szCs w:val="24"/>
        </w:rPr>
        <w:t>/</w:t>
      </w:r>
      <w:r w:rsidRPr="00521253">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hAnsiTheme="minorHAnsi"/>
          <w:sz w:val="24"/>
          <w:szCs w:val="24"/>
        </w:rPr>
        <w:t>:</w:t>
      </w:r>
    </w:p>
    <w:p w14:paraId="6616F112"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192B381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2A13FAE3"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3F03F5A1"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W powyższych przypadkach IZ RPO WD</w:t>
      </w:r>
      <w:r>
        <w:rPr>
          <w:sz w:val="24"/>
          <w:szCs w:val="24"/>
        </w:rPr>
        <w:t>/IP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protest bez rozpatrzenia.</w:t>
      </w:r>
    </w:p>
    <w:p w14:paraId="259AD773"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lastRenderedPageBreak/>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pozostawia protest bez rozpatrzenia, informując o tym wnioskodawcę na piśmie – zgodnie z  art. 66 ust. 2 ustawy wdrożeniowej.</w:t>
      </w:r>
    </w:p>
    <w:p w14:paraId="27E923D6" w14:textId="77777777" w:rsidR="00D05EC0" w:rsidRPr="00CC0332" w:rsidRDefault="00D05EC0" w:rsidP="00D05EC0">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Pr>
          <w:rFonts w:asciiTheme="minorHAnsi" w:eastAsia="Calibri" w:hAnsiTheme="minorHAnsi" w:cs="Arial"/>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6109B8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362BCBF5"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493C5324"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IZ RPO WD</w:t>
      </w:r>
      <w:r>
        <w:rPr>
          <w:sz w:val="24"/>
          <w:szCs w:val="24"/>
        </w:rPr>
        <w:t>/ 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środek odwoławczy bez rozpatrzenia.</w:t>
      </w:r>
    </w:p>
    <w:p w14:paraId="2A4E5D74" w14:textId="77777777" w:rsidR="00D05EC0" w:rsidRPr="00CC0332" w:rsidRDefault="00D05EC0" w:rsidP="00D05EC0">
      <w:pPr>
        <w:pStyle w:val="Standard"/>
        <w:tabs>
          <w:tab w:val="left" w:pos="0"/>
          <w:tab w:val="left" w:pos="1276"/>
        </w:tabs>
        <w:spacing w:after="0" w:line="360" w:lineRule="auto"/>
        <w:rPr>
          <w:rFonts w:asciiTheme="minorHAnsi" w:eastAsia="Calibri" w:hAnsiTheme="minorHAnsi" w:cs="Arial"/>
          <w:sz w:val="24"/>
          <w:szCs w:val="24"/>
        </w:rPr>
      </w:pPr>
    </w:p>
    <w:p w14:paraId="1B63E8A9" w14:textId="77777777" w:rsidR="00D05EC0" w:rsidRDefault="00D05EC0" w:rsidP="00D05EC0">
      <w:pPr>
        <w:pStyle w:val="Standard"/>
        <w:spacing w:after="0" w:line="360" w:lineRule="auto"/>
        <w:rPr>
          <w:rFonts w:asciiTheme="minorHAnsi" w:eastAsia="Calibri" w:hAnsiTheme="minorHAnsi" w:cs="Arial"/>
          <w:sz w:val="24"/>
          <w:szCs w:val="24"/>
        </w:rPr>
      </w:pPr>
      <w:r w:rsidRPr="00CC0332">
        <w:rPr>
          <w:rFonts w:asciiTheme="minorHAnsi" w:eastAsia="Calibri" w:hAnsiTheme="minorHAnsi" w:cs="Arial"/>
          <w:sz w:val="24"/>
          <w:szCs w:val="24"/>
        </w:rPr>
        <w:t>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eastAsia="Calibri" w:hAnsiTheme="minorHAnsi" w:cs="Arial"/>
          <w:sz w:val="24"/>
          <w:szCs w:val="24"/>
        </w:rPr>
        <w:t xml:space="preserve"> pisemnie informuje wnioskodawcę o pozostawieniu protestu bez rozpatrzenia, wskazując przesłankę / przesłanki będące przyczyną odmowy rozstrzygnięcia środka odwoławczego.</w:t>
      </w:r>
      <w:r w:rsidRPr="005E5C81">
        <w:rPr>
          <w:rFonts w:asciiTheme="minorHAnsi" w:eastAsia="Calibri" w:hAnsiTheme="minorHAnsi" w:cs="Arial"/>
          <w:sz w:val="24"/>
          <w:szCs w:val="24"/>
        </w:rPr>
        <w:t xml:space="preserve"> </w:t>
      </w:r>
      <w:r w:rsidRPr="005724D9">
        <w:rPr>
          <w:rFonts w:asciiTheme="minorHAnsi" w:eastAsia="Calibri" w:hAnsiTheme="minorHAnsi" w:cs="Arial"/>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w:t>
      </w:r>
      <w:r>
        <w:rPr>
          <w:rFonts w:asciiTheme="minorHAnsi" w:eastAsia="Calibri" w:hAnsiTheme="minorHAnsi" w:cs="Arial"/>
          <w:sz w:val="24"/>
          <w:szCs w:val="24"/>
        </w:rPr>
        <w:t>IP RPO WD.</w:t>
      </w:r>
    </w:p>
    <w:p w14:paraId="62E153BD"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Pr>
          <w:rFonts w:asciiTheme="minorHAnsi" w:hAnsiTheme="minorHAnsi" w:cs="Arial"/>
          <w:sz w:val="24"/>
          <w:szCs w:val="24"/>
        </w:rPr>
        <w:t>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Pr>
          <w:rFonts w:asciiTheme="minorHAnsi" w:hAnsiTheme="minorHAnsi" w:cs="Arial"/>
          <w:sz w:val="24"/>
          <w:szCs w:val="24"/>
        </w:rPr>
        <w:br/>
      </w:r>
      <w:r w:rsidRPr="00B038E9">
        <w:rPr>
          <w:rFonts w:asciiTheme="minorHAnsi" w:hAnsiTheme="minorHAnsi" w:cs="Arial"/>
          <w:sz w:val="24"/>
          <w:szCs w:val="24"/>
        </w:rPr>
        <w:t>W wyniku dokonanej weryfikacji IP RPO WD:</w:t>
      </w:r>
    </w:p>
    <w:p w14:paraId="79566A46"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lastRenderedPageBreak/>
        <w:t>- dokonuje zmiany wyniku negatywnej oceny projektu, co skutkuje aktualizacją</w:t>
      </w:r>
      <w:r>
        <w:rPr>
          <w:rFonts w:asciiTheme="minorHAnsi" w:hAnsiTheme="minorHAnsi" w:cs="Arial"/>
          <w:sz w:val="24"/>
          <w:szCs w:val="24"/>
        </w:rPr>
        <w:t xml:space="preserve"> przez IZ RPO listy</w:t>
      </w:r>
      <w:r w:rsidRPr="00B038E9">
        <w:rPr>
          <w:rFonts w:asciiTheme="minorHAnsi" w:hAnsiTheme="minorHAnsi" w:cs="Arial"/>
          <w:sz w:val="24"/>
          <w:szCs w:val="24"/>
        </w:rPr>
        <w:t xml:space="preserve"> projektów, które spełniły kryteria, z wyróżnieniem projektów wybranych do dofinansowania, albo</w:t>
      </w:r>
    </w:p>
    <w:p w14:paraId="0337FFDC" w14:textId="77777777" w:rsidR="00D05EC0" w:rsidRPr="00CC0332" w:rsidRDefault="00D05EC0" w:rsidP="00D05EC0">
      <w:pPr>
        <w:pStyle w:val="Standard"/>
        <w:widowControl w:val="0"/>
        <w:spacing w:after="0" w:line="360" w:lineRule="auto"/>
        <w:rPr>
          <w:rFonts w:asciiTheme="minorHAnsi" w:eastAsia="Times New Roman" w:hAnsiTheme="minorHAnsi" w:cs="Times New Roman"/>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165F5B4A"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p>
    <w:p w14:paraId="633DDA7C"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6F3A528"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13CEC4"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7EF009DE" w14:textId="77777777" w:rsidR="00D05EC0" w:rsidRPr="00CC0332" w:rsidRDefault="00D05EC0" w:rsidP="00D05EC0">
      <w:pPr>
        <w:pStyle w:val="Standard"/>
        <w:spacing w:after="0" w:line="360" w:lineRule="auto"/>
        <w:rPr>
          <w:rFonts w:asciiTheme="minorHAnsi" w:hAnsiTheme="minorHAnsi"/>
          <w:sz w:val="24"/>
          <w:szCs w:val="24"/>
        </w:rPr>
      </w:pPr>
    </w:p>
    <w:p w14:paraId="59B79397" w14:textId="77777777" w:rsidR="00D05EC0" w:rsidRDefault="00D05EC0" w:rsidP="00D05EC0">
      <w:pPr>
        <w:spacing w:after="0" w:line="360" w:lineRule="auto"/>
        <w:rPr>
          <w:sz w:val="24"/>
          <w:szCs w:val="24"/>
        </w:rPr>
      </w:pPr>
      <w:r w:rsidRPr="00CC0332">
        <w:rPr>
          <w:rFonts w:eastAsia="SimSun" w:cs="Tahoma"/>
          <w:kern w:val="3"/>
          <w:sz w:val="24"/>
          <w:szCs w:val="24"/>
        </w:rPr>
        <w:t xml:space="preserve">W przypadku uwzględnienia protestu IZ RPO WD </w:t>
      </w:r>
      <w:r w:rsidRPr="00CC0332">
        <w:rPr>
          <w:sz w:val="24"/>
          <w:szCs w:val="24"/>
        </w:rPr>
        <w:t>przekazuje projekt do właściwego etapu oceny lub dokonuje aktualizacji listy o której mowa w art. 46 ust. 3 ustawy wdrożeniowej, informując o tym wnioskodawcę</w:t>
      </w:r>
      <w:r>
        <w:rPr>
          <w:sz w:val="24"/>
          <w:szCs w:val="24"/>
        </w:rPr>
        <w:t>, albo</w:t>
      </w:r>
    </w:p>
    <w:p w14:paraId="72A5F120" w14:textId="77777777" w:rsidR="00D05EC0" w:rsidRPr="00CC0332" w:rsidRDefault="00D05EC0" w:rsidP="00D05EC0">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32060B1" w14:textId="77777777" w:rsidR="00D05EC0" w:rsidRPr="00CC0332" w:rsidRDefault="00D05EC0" w:rsidP="00D05EC0">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C2A611B" w14:textId="77777777" w:rsidR="00D05EC0" w:rsidRPr="00CC0332" w:rsidRDefault="00D05EC0" w:rsidP="00D05EC0">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lastRenderedPageBreak/>
        <w:t xml:space="preserve">Prawo do wniesienia skargi kasacyjnej do Naczelnego Sądu Administracyjnego od wyroku Wojewódzkiego Sądu Administracyjnego we Wrocławiu posiada wnioskodawca, jak również IZ RPO WD </w:t>
      </w:r>
    </w:p>
    <w:p w14:paraId="14C716F1" w14:textId="30DC3DD9" w:rsidR="00E12204" w:rsidRPr="00CC0332" w:rsidRDefault="00D05EC0" w:rsidP="00D05EC0">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10"/>
      <w:bookmarkEnd w:id="111"/>
      <w:bookmarkEnd w:id="112"/>
      <w:bookmarkEnd w:id="113"/>
      <w:bookmarkEnd w:id="114"/>
    </w:p>
    <w:p w14:paraId="613E8DFF" w14:textId="4D764694"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36" w:history="1">
        <w:r w:rsidR="00CE2308" w:rsidRPr="004D35EE">
          <w:rPr>
            <w:rStyle w:val="Hipercze"/>
            <w:sz w:val="24"/>
            <w:szCs w:val="24"/>
          </w:rPr>
          <w:t>www.rpo.dolnyslask.pl</w:t>
        </w:r>
      </w:hyperlink>
      <w:r w:rsidR="00B407E7" w:rsidRPr="004D35EE">
        <w:rPr>
          <w:sz w:val="24"/>
          <w:szCs w:val="24"/>
        </w:rPr>
        <w:t xml:space="preserve">  </w:t>
      </w:r>
      <w:r w:rsidR="003D725F">
        <w:rPr>
          <w:sz w:val="24"/>
          <w:szCs w:val="24"/>
        </w:rPr>
        <w:t xml:space="preserve">oraz </w:t>
      </w:r>
      <w:hyperlink r:id="rId37"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8" w:history="1">
        <w:r w:rsidR="003D725F" w:rsidRPr="003D432E">
          <w:rPr>
            <w:rStyle w:val="Hipercze"/>
            <w:sz w:val="24"/>
            <w:szCs w:val="24"/>
          </w:rPr>
          <w:t>http://zitaj.jeleniagora.pl</w:t>
        </w:r>
      </w:hyperlink>
      <w:r w:rsidR="003D725F">
        <w:rPr>
          <w:rStyle w:val="Hipercze"/>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97DB572"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9" w:history="1">
        <w:r w:rsidR="00207851" w:rsidRPr="004D35EE">
          <w:rPr>
            <w:rStyle w:val="Hipercze"/>
            <w:sz w:val="24"/>
            <w:szCs w:val="24"/>
          </w:rPr>
          <w:t>www.rpo.dolnyslask.pl</w:t>
        </w:r>
      </w:hyperlink>
      <w:r w:rsidR="003D725F">
        <w:rPr>
          <w:rStyle w:val="Hipercze"/>
          <w:sz w:val="24"/>
          <w:szCs w:val="24"/>
        </w:rPr>
        <w:t xml:space="preserve">, </w:t>
      </w:r>
      <w:hyperlink r:id="rId40"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41" w:history="1">
        <w:r w:rsidR="003D725F" w:rsidRPr="003D432E">
          <w:rPr>
            <w:rStyle w:val="Hipercze"/>
            <w:sz w:val="24"/>
            <w:szCs w:val="24"/>
          </w:rPr>
          <w:t>http://zitaj.jeleniagora.pl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09E9F0D8" w14:textId="77777777" w:rsidR="00217A20" w:rsidRPr="004D35EE" w:rsidRDefault="00217A20" w:rsidP="00217A20">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i podaniem liczby punktów otrzymanych przez projekt. W przypadku oceny negatywnej ww. informacja zawiera dodatkowo</w:t>
      </w:r>
      <w:r w:rsidRPr="00606ECB">
        <w:rPr>
          <w:rFonts w:asciiTheme="minorHAnsi" w:hAnsiTheme="minorHAnsi"/>
          <w:sz w:val="24"/>
          <w:szCs w:val="24"/>
        </w:rPr>
        <w:t xml:space="preserve"> </w:t>
      </w:r>
      <w:r w:rsidRPr="004D35EE">
        <w:rPr>
          <w:rFonts w:asciiTheme="minorHAnsi" w:hAnsiTheme="minorHAnsi"/>
          <w:sz w:val="24"/>
          <w:szCs w:val="24"/>
        </w:rPr>
        <w:t>uzasadnienie</w:t>
      </w:r>
      <w:r>
        <w:rPr>
          <w:rFonts w:asciiTheme="minorHAnsi" w:hAnsiTheme="minorHAnsi"/>
          <w:sz w:val="24"/>
          <w:szCs w:val="24"/>
        </w:rPr>
        <w:t xml:space="preserve"> oceny oraz</w:t>
      </w:r>
      <w:r w:rsidRPr="004D35EE">
        <w:rPr>
          <w:rFonts w:asciiTheme="minorHAnsi" w:hAnsiTheme="minorHAnsi"/>
          <w:sz w:val="24"/>
          <w:szCs w:val="24"/>
        </w:rPr>
        <w:t xml:space="preserve"> pouczenie o możliwości wniesienia środka odwoławczego do właściwej instytucji.</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lastRenderedPageBreak/>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15" w:name="_Toc524512221"/>
      <w:bookmarkStart w:id="116" w:name="_Toc524512269"/>
      <w:bookmarkStart w:id="117" w:name="_Toc536524908"/>
      <w:bookmarkStart w:id="118" w:name="_Toc536525101"/>
      <w:bookmarkStart w:id="119" w:name="_Toc11144845"/>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15"/>
      <w:bookmarkEnd w:id="116"/>
      <w:bookmarkEnd w:id="117"/>
      <w:bookmarkEnd w:id="118"/>
      <w:bookmarkEnd w:id="119"/>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20" w:name="_Toc524512222"/>
      <w:bookmarkStart w:id="121" w:name="_Toc524512270"/>
      <w:bookmarkStart w:id="122" w:name="_Toc536524909"/>
      <w:bookmarkStart w:id="123" w:name="_Toc536525102"/>
      <w:bookmarkStart w:id="124" w:name="_Toc11144846"/>
      <w:r w:rsidR="003C4247" w:rsidRPr="004D35EE">
        <w:rPr>
          <w:rFonts w:asciiTheme="minorHAnsi" w:hAnsiTheme="minorHAnsi"/>
        </w:rPr>
        <w:t>Forma i sposób udzielania wnioskodawcy wyjaśnień w kwestiach dotyczących konkursu</w:t>
      </w:r>
      <w:bookmarkEnd w:id="120"/>
      <w:bookmarkEnd w:id="121"/>
      <w:bookmarkEnd w:id="122"/>
      <w:bookmarkEnd w:id="123"/>
      <w:bookmarkEnd w:id="124"/>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D45FCB" w:rsidP="0077235E">
      <w:pPr>
        <w:spacing w:line="360" w:lineRule="auto"/>
        <w:rPr>
          <w:b/>
          <w:sz w:val="24"/>
          <w:szCs w:val="24"/>
        </w:rPr>
      </w:pPr>
      <w:hyperlink r:id="rId42"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D45FCB" w:rsidP="0077235E">
      <w:pPr>
        <w:spacing w:line="360" w:lineRule="auto"/>
        <w:rPr>
          <w:b/>
          <w:sz w:val="24"/>
          <w:szCs w:val="24"/>
        </w:rPr>
      </w:pPr>
      <w:hyperlink r:id="rId43"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D45FCB" w:rsidP="0077235E">
      <w:pPr>
        <w:spacing w:line="360" w:lineRule="auto"/>
        <w:rPr>
          <w:b/>
          <w:sz w:val="24"/>
          <w:szCs w:val="24"/>
        </w:rPr>
      </w:pPr>
      <w:hyperlink r:id="rId44"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Default="00D45FCB" w:rsidP="0077235E">
      <w:pPr>
        <w:spacing w:line="360" w:lineRule="auto"/>
        <w:rPr>
          <w:rStyle w:val="Hipercze"/>
          <w:b/>
          <w:sz w:val="24"/>
          <w:szCs w:val="24"/>
        </w:rPr>
      </w:pPr>
      <w:hyperlink r:id="rId45" w:history="1">
        <w:r w:rsidR="00A83048" w:rsidRPr="004D35EE">
          <w:rPr>
            <w:rStyle w:val="Hipercze"/>
            <w:b/>
            <w:sz w:val="24"/>
            <w:szCs w:val="24"/>
          </w:rPr>
          <w:t>pife.walbrzych@dolnyslask.pl</w:t>
        </w:r>
      </w:hyperlink>
    </w:p>
    <w:p w14:paraId="7E11EFED" w14:textId="77777777" w:rsidR="001B4261" w:rsidRPr="00954559" w:rsidRDefault="001B4261" w:rsidP="001B4261">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112E4AF1" w14:textId="13E6D562"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xml:space="preserve">: </w:t>
      </w:r>
      <w:r w:rsidR="002354AD">
        <w:rPr>
          <w:rFonts w:ascii="Calibri" w:eastAsia="Calibri" w:hAnsi="Calibri" w:cs="Times New Roman"/>
          <w:sz w:val="24"/>
          <w:szCs w:val="24"/>
          <w:lang w:val="en-US"/>
        </w:rPr>
        <w:t>b</w:t>
      </w:r>
      <w:r w:rsidRPr="00954559">
        <w:rPr>
          <w:rFonts w:ascii="Calibri" w:eastAsia="Calibri" w:hAnsi="Calibri" w:cs="Times New Roman"/>
          <w:sz w:val="24"/>
          <w:szCs w:val="24"/>
          <w:lang w:val="en-US"/>
        </w:rPr>
        <w:t>it@um.wroc.pl</w:t>
      </w:r>
    </w:p>
    <w:p w14:paraId="37FDAC22" w14:textId="2ABAAC2F"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2354AD">
        <w:rPr>
          <w:rFonts w:ascii="Calibri" w:eastAsia="Calibri" w:hAnsi="Calibri" w:cs="Times New Roman"/>
          <w:sz w:val="24"/>
          <w:szCs w:val="24"/>
        </w:rPr>
        <w:t xml:space="preserve"> 664 151 658 </w:t>
      </w:r>
      <w:r>
        <w:rPr>
          <w:rFonts w:ascii="Calibri" w:eastAsia="Calibri" w:hAnsi="Calibri" w:cs="Times New Roman"/>
          <w:sz w:val="24"/>
          <w:szCs w:val="24"/>
        </w:rPr>
        <w:t>w. 20</w:t>
      </w:r>
    </w:p>
    <w:p w14:paraId="19C1711E" w14:textId="77777777"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2D1D3A6E" w14:textId="77777777" w:rsidR="001B4261" w:rsidRPr="00954559" w:rsidRDefault="001B4261" w:rsidP="001B4261">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576015"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140DE278"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3B5CB17"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566C42F1" w14:textId="77777777" w:rsidR="002354AD" w:rsidRDefault="002354AD" w:rsidP="001B4261">
      <w:pPr>
        <w:spacing w:line="360" w:lineRule="auto"/>
        <w:rPr>
          <w:rFonts w:ascii="Calibri" w:eastAsia="Calibri" w:hAnsi="Calibri" w:cs="Times New Roman"/>
          <w:b/>
          <w:sz w:val="24"/>
          <w:szCs w:val="24"/>
        </w:rPr>
      </w:pPr>
    </w:p>
    <w:p w14:paraId="64DCE121" w14:textId="77777777" w:rsidR="001B4261" w:rsidRPr="007F3396" w:rsidRDefault="001B4261" w:rsidP="001B4261">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14:paraId="08B58E4D"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 xml:space="preserve">e – </w:t>
      </w:r>
      <w:proofErr w:type="spellStart"/>
      <w:r w:rsidRPr="00A95463">
        <w:rPr>
          <w:rFonts w:ascii="Calibri" w:eastAsia="Calibri" w:hAnsi="Calibri" w:cs="Times New Roman"/>
          <w:sz w:val="24"/>
          <w:szCs w:val="24"/>
          <w:lang w:val="en-US"/>
        </w:rPr>
        <w:t>maila</w:t>
      </w:r>
      <w:proofErr w:type="spellEnd"/>
      <w:r w:rsidRPr="00A95463">
        <w:rPr>
          <w:rFonts w:ascii="Calibri" w:eastAsia="Calibri" w:hAnsi="Calibri" w:cs="Times New Roman"/>
          <w:sz w:val="24"/>
          <w:szCs w:val="24"/>
          <w:lang w:val="en-US"/>
        </w:rPr>
        <w:t xml:space="preserve">: </w:t>
      </w:r>
      <w:hyperlink r:id="rId46" w:history="1">
        <w:r w:rsidRPr="00A95463">
          <w:rPr>
            <w:rFonts w:cs="Times New Roman"/>
            <w:lang w:val="en-US"/>
          </w:rPr>
          <w:t>zitaj@jeleniagora.pl</w:t>
        </w:r>
      </w:hyperlink>
    </w:p>
    <w:p w14:paraId="3820D53F"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75 75 46 288</w:t>
      </w:r>
    </w:p>
    <w:p w14:paraId="5EA1B158"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14:paraId="7C1D668A" w14:textId="0EF3B9B7" w:rsidR="001B4261" w:rsidRPr="007F3396" w:rsidRDefault="001B4261" w:rsidP="001B4261">
      <w:pPr>
        <w:spacing w:line="360" w:lineRule="auto"/>
        <w:rPr>
          <w:bCs/>
          <w:sz w:val="24"/>
          <w:szCs w:val="24"/>
        </w:rPr>
      </w:pPr>
      <w:r w:rsidRPr="00A95463">
        <w:rPr>
          <w:bCs/>
          <w:sz w:val="24"/>
          <w:szCs w:val="24"/>
        </w:rPr>
        <w:t xml:space="preserve">Wydział Zarządzania ZIT AJ, Jelenia Góra, ul. Okrzei 10, pokój nr 107, </w:t>
      </w:r>
      <w:r>
        <w:rPr>
          <w:bCs/>
          <w:sz w:val="24"/>
          <w:szCs w:val="24"/>
        </w:rPr>
        <w:br/>
      </w:r>
      <w:r w:rsidRPr="00A95463">
        <w:rPr>
          <w:bCs/>
          <w:sz w:val="24"/>
          <w:szCs w:val="24"/>
        </w:rPr>
        <w:t>od</w:t>
      </w:r>
      <w:r>
        <w:rPr>
          <w:bCs/>
          <w:sz w:val="24"/>
          <w:szCs w:val="24"/>
        </w:rPr>
        <w:t xml:space="preserve"> </w:t>
      </w:r>
      <w:r w:rsidRPr="007F3396">
        <w:rPr>
          <w:bCs/>
          <w:sz w:val="24"/>
          <w:szCs w:val="24"/>
        </w:rPr>
        <w:t>poniedziałku do piątku w godzinach od 7.30 do 16.00</w:t>
      </w:r>
      <w:r>
        <w:rPr>
          <w:bCs/>
          <w:sz w:val="24"/>
          <w:szCs w:val="24"/>
        </w:rPr>
        <w:t>.</w:t>
      </w: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4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51C3E360" w:rsidR="003C4247" w:rsidRPr="004D35EE" w:rsidRDefault="003C4247" w:rsidP="0077235E">
      <w:pPr>
        <w:spacing w:line="360" w:lineRule="auto"/>
        <w:rPr>
          <w:rFonts w:cs="Calibri"/>
          <w:sz w:val="24"/>
          <w:szCs w:val="24"/>
        </w:rPr>
      </w:pPr>
      <w:r w:rsidRPr="004D35EE">
        <w:rPr>
          <w:rFonts w:cs="Calibri"/>
          <w:sz w:val="24"/>
          <w:szCs w:val="24"/>
        </w:rPr>
        <w:lastRenderedPageBreak/>
        <w:t>Konkurs</w:t>
      </w:r>
      <w:r w:rsidR="001B4261">
        <w:rPr>
          <w:rFonts w:cs="Calibri"/>
          <w:sz w:val="24"/>
          <w:szCs w:val="24"/>
        </w:rPr>
        <w:t>y</w:t>
      </w:r>
      <w:r w:rsidRPr="004D35EE">
        <w:rPr>
          <w:rFonts w:cs="Calibri"/>
          <w:sz w:val="24"/>
          <w:szCs w:val="24"/>
        </w:rPr>
        <w:t xml:space="preserve"> przeprowadzan</w:t>
      </w:r>
      <w:r w:rsidR="001B4261">
        <w:rPr>
          <w:rFonts w:cs="Calibri"/>
          <w:sz w:val="24"/>
          <w:szCs w:val="24"/>
        </w:rPr>
        <w:t>e</w:t>
      </w:r>
      <w:r w:rsidRPr="004D35EE">
        <w:rPr>
          <w:rFonts w:cs="Calibri"/>
          <w:sz w:val="24"/>
          <w:szCs w:val="24"/>
        </w:rPr>
        <w:t xml:space="preserve"> </w:t>
      </w:r>
      <w:r w:rsidR="001B4261">
        <w:rPr>
          <w:rFonts w:cs="Calibri"/>
          <w:sz w:val="24"/>
          <w:szCs w:val="24"/>
        </w:rPr>
        <w:t>są</w:t>
      </w:r>
      <w:r w:rsidRPr="004D35EE">
        <w:rPr>
          <w:rFonts w:cs="Calibri"/>
          <w:sz w:val="24"/>
          <w:szCs w:val="24"/>
        </w:rPr>
        <w:t xml:space="preserve"> jawnie z zapewnieniem publicznego dostępu do informacji o zasadach </w:t>
      </w:r>
      <w:r w:rsidR="001B4261">
        <w:rPr>
          <w:rFonts w:cs="Calibri"/>
          <w:sz w:val="24"/>
          <w:szCs w:val="24"/>
        </w:rPr>
        <w:t>ich</w:t>
      </w:r>
      <w:r w:rsidRPr="004D35EE">
        <w:rPr>
          <w:rFonts w:cs="Calibri"/>
          <w:sz w:val="24"/>
          <w:szCs w:val="24"/>
        </w:rPr>
        <w:t xml:space="preserve">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25" w:name="_Toc524512223"/>
      <w:bookmarkStart w:id="126" w:name="_Toc524512271"/>
      <w:bookmarkStart w:id="127" w:name="_Toc536524910"/>
      <w:bookmarkStart w:id="128" w:name="_Toc536525103"/>
      <w:bookmarkStart w:id="129" w:name="_Toc11144847"/>
      <w:r w:rsidRPr="004D35EE">
        <w:rPr>
          <w:rFonts w:asciiTheme="minorHAnsi" w:hAnsiTheme="minorHAnsi"/>
        </w:rPr>
        <w:t>Orientacyjny t</w:t>
      </w:r>
      <w:r w:rsidR="00254703" w:rsidRPr="004D35EE">
        <w:rPr>
          <w:rFonts w:asciiTheme="minorHAnsi" w:hAnsiTheme="minorHAnsi"/>
        </w:rPr>
        <w:t>ermin rozstrzygnięcia konkursu</w:t>
      </w:r>
      <w:bookmarkEnd w:id="125"/>
      <w:bookmarkEnd w:id="126"/>
      <w:bookmarkEnd w:id="127"/>
      <w:bookmarkEnd w:id="128"/>
      <w:bookmarkEnd w:id="129"/>
    </w:p>
    <w:p w14:paraId="4CDBFDD6" w14:textId="37BB95CF"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w:t>
      </w:r>
      <w:r w:rsidR="001B4261">
        <w:rPr>
          <w:rFonts w:asciiTheme="minorHAnsi" w:hAnsiTheme="minorHAnsi"/>
        </w:rPr>
        <w:t>ów</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w:t>
      </w:r>
      <w:r w:rsidR="001B4261">
        <w:rPr>
          <w:rFonts w:asciiTheme="minorHAnsi" w:hAnsiTheme="minorHAnsi"/>
        </w:rPr>
        <w:t>ów</w:t>
      </w:r>
      <w:r w:rsidR="00066148" w:rsidRPr="004D35EE">
        <w:rPr>
          <w:rFonts w:asciiTheme="minorHAnsi" w:hAnsiTheme="minorHAnsi"/>
        </w:rPr>
        <w:t>.</w:t>
      </w:r>
    </w:p>
    <w:p w14:paraId="2EA5D3E9" w14:textId="77777777" w:rsidR="003C4247" w:rsidRPr="004D35EE" w:rsidRDefault="003C4247" w:rsidP="0077235E">
      <w:pPr>
        <w:pStyle w:val="Nagwek1"/>
        <w:spacing w:line="360" w:lineRule="auto"/>
        <w:rPr>
          <w:rFonts w:asciiTheme="minorHAnsi" w:hAnsiTheme="minorHAnsi"/>
        </w:rPr>
      </w:pPr>
      <w:bookmarkStart w:id="130" w:name="_Toc524512224"/>
      <w:bookmarkStart w:id="131" w:name="_Toc524512272"/>
      <w:bookmarkStart w:id="132" w:name="_Toc536524911"/>
      <w:bookmarkStart w:id="133" w:name="_Toc536525104"/>
      <w:bookmarkStart w:id="134" w:name="_Toc11144848"/>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30"/>
      <w:bookmarkEnd w:id="131"/>
      <w:bookmarkEnd w:id="132"/>
      <w:bookmarkEnd w:id="133"/>
      <w:bookmarkEnd w:id="134"/>
      <w:r w:rsidR="00254703" w:rsidRPr="004D35EE">
        <w:rPr>
          <w:rFonts w:asciiTheme="minorHAnsi" w:hAnsiTheme="minorHAnsi"/>
        </w:rPr>
        <w:t xml:space="preserve"> </w:t>
      </w:r>
    </w:p>
    <w:p w14:paraId="2ABF4AF7" w14:textId="636D7ED3"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IOK zastrzega sobie prawo do anulowania konkurs</w:t>
      </w:r>
      <w:r w:rsidR="001B4261">
        <w:rPr>
          <w:sz w:val="24"/>
          <w:szCs w:val="24"/>
        </w:rPr>
        <w:t>ów</w:t>
      </w:r>
      <w:r w:rsidR="003C4247" w:rsidRPr="004D35EE">
        <w:rPr>
          <w:sz w:val="24"/>
          <w:szCs w:val="24"/>
        </w:rPr>
        <w:t xml:space="preserve">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16565733"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w:t>
      </w:r>
      <w:r w:rsidR="001B4261">
        <w:rPr>
          <w:rFonts w:asciiTheme="minorHAnsi" w:hAnsiTheme="minorHAnsi"/>
          <w:sz w:val="24"/>
          <w:szCs w:val="24"/>
        </w:rPr>
        <w:t>ów</w:t>
      </w:r>
      <w:r w:rsidR="003C4247" w:rsidRPr="004D35EE">
        <w:rPr>
          <w:rFonts w:asciiTheme="minorHAnsi" w:hAnsiTheme="minorHAnsi"/>
          <w:sz w:val="24"/>
          <w:szCs w:val="24"/>
        </w:rPr>
        <w:t>,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2AF2F798"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trakcie trwania konkurs</w:t>
      </w:r>
      <w:r w:rsidR="001B4261">
        <w:rPr>
          <w:rFonts w:cs="Calibri"/>
          <w:sz w:val="24"/>
          <w:szCs w:val="24"/>
        </w:rPr>
        <w:t>ów</w:t>
      </w:r>
      <w:r w:rsidRPr="004D35EE">
        <w:rPr>
          <w:rFonts w:cs="Calibri"/>
          <w:sz w:val="24"/>
          <w:szCs w:val="24"/>
        </w:rPr>
        <w:t xml:space="preserve">,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3B6DF37F" w:rsidR="003C4247" w:rsidRPr="004D35EE" w:rsidRDefault="003C4247" w:rsidP="0077235E">
      <w:pPr>
        <w:spacing w:line="360" w:lineRule="auto"/>
        <w:rPr>
          <w:rFonts w:cs="Calibri"/>
          <w:sz w:val="24"/>
          <w:szCs w:val="24"/>
        </w:rPr>
      </w:pPr>
      <w:r w:rsidRPr="004D35EE">
        <w:rPr>
          <w:rFonts w:cs="Arial"/>
          <w:sz w:val="24"/>
          <w:szCs w:val="24"/>
        </w:rPr>
        <w:lastRenderedPageBreak/>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3D725F">
        <w:rPr>
          <w:sz w:val="24"/>
          <w:szCs w:val="24"/>
        </w:rPr>
        <w:t>ach</w:t>
      </w:r>
      <w:r w:rsidR="00F40BEE" w:rsidRPr="004D35EE">
        <w:rPr>
          <w:sz w:val="24"/>
          <w:szCs w:val="24"/>
        </w:rPr>
        <w:t xml:space="preserve"> </w:t>
      </w:r>
      <w:bookmarkStart w:id="135" w:name="_Toc425494883"/>
      <w:bookmarkEnd w:id="135"/>
      <w:r w:rsidRPr="004D35EE">
        <w:rPr>
          <w:sz w:val="24"/>
          <w:szCs w:val="24"/>
        </w:rPr>
        <w:t>internetow</w:t>
      </w:r>
      <w:r w:rsidR="003D725F">
        <w:rPr>
          <w:sz w:val="24"/>
          <w:szCs w:val="24"/>
        </w:rPr>
        <w:t xml:space="preserve">ych </w:t>
      </w:r>
      <w:hyperlink r:id="rId48" w:history="1">
        <w:r w:rsidR="00602A53" w:rsidRPr="004D35EE">
          <w:rPr>
            <w:rStyle w:val="Hipercze"/>
            <w:rFonts w:cs="Calibri"/>
            <w:sz w:val="24"/>
            <w:szCs w:val="24"/>
          </w:rPr>
          <w:t>www.rpo.dolnyslask.pl</w:t>
        </w:r>
      </w:hyperlink>
      <w:r w:rsidR="003D725F">
        <w:rPr>
          <w:rStyle w:val="Hipercze"/>
          <w:rFonts w:cs="Calibri"/>
          <w:sz w:val="24"/>
          <w:szCs w:val="24"/>
        </w:rPr>
        <w:t xml:space="preserve">, </w:t>
      </w:r>
      <w:hyperlink r:id="rId49"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50" w:history="1">
        <w:r w:rsidR="003D725F" w:rsidRPr="003D432E">
          <w:rPr>
            <w:rStyle w:val="Hipercze"/>
            <w:sz w:val="24"/>
            <w:szCs w:val="24"/>
          </w:rPr>
          <w:t>http://zitaj.jeleniagora.pl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36" w:name="_Toc524512225"/>
      <w:bookmarkStart w:id="137" w:name="_Toc524512273"/>
      <w:bookmarkStart w:id="138" w:name="_Toc536524912"/>
      <w:bookmarkStart w:id="139" w:name="_Toc536525105"/>
      <w:bookmarkStart w:id="140" w:name="_Toc11144849"/>
      <w:r w:rsidRPr="004D35EE">
        <w:rPr>
          <w:rFonts w:asciiTheme="minorHAnsi" w:hAnsiTheme="minorHAnsi"/>
        </w:rPr>
        <w:t>Kwalifikowalność wydatków</w:t>
      </w:r>
      <w:bookmarkEnd w:id="136"/>
      <w:bookmarkEnd w:id="137"/>
      <w:bookmarkEnd w:id="138"/>
      <w:bookmarkEnd w:id="139"/>
      <w:bookmarkEnd w:id="140"/>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7BF91108"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w:t>
      </w:r>
      <w:r w:rsidR="006B3B73">
        <w:rPr>
          <w:rFonts w:cs="Calibri"/>
          <w:b/>
          <w:color w:val="000000"/>
          <w:sz w:val="24"/>
          <w:szCs w:val="24"/>
        </w:rPr>
        <w:t>1</w:t>
      </w:r>
      <w:r w:rsidRPr="004D35EE">
        <w:rPr>
          <w:rFonts w:cs="Calibri"/>
          <w:b/>
          <w:color w:val="000000"/>
          <w:sz w:val="24"/>
          <w:szCs w:val="24"/>
        </w:rPr>
        <w:t xml:space="preserve"> </w:t>
      </w:r>
      <w:r w:rsidR="006B3B73">
        <w:rPr>
          <w:rFonts w:cs="Calibri"/>
          <w:b/>
          <w:color w:val="000000"/>
          <w:sz w:val="24"/>
          <w:szCs w:val="24"/>
        </w:rPr>
        <w:t xml:space="preserve">października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 xml:space="preserve">Należy pamiętać, iż zgodnie z art. 37 ust. 3 ustawy wdrożeniowej nie może zostać wybrany do dofinansowania projekt, który został fizycznie ukończony lub w pełni </w:t>
      </w:r>
      <w:r>
        <w:rPr>
          <w:rFonts w:cs="Calibri"/>
          <w:color w:val="000000"/>
          <w:sz w:val="24"/>
          <w:szCs w:val="24"/>
        </w:rPr>
        <w:lastRenderedPageBreak/>
        <w:t>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D45FCB" w:rsidP="0077235E">
      <w:pPr>
        <w:spacing w:line="360" w:lineRule="auto"/>
        <w:rPr>
          <w:rFonts w:cs="Calibri"/>
          <w:color w:val="000000"/>
          <w:sz w:val="24"/>
          <w:szCs w:val="24"/>
        </w:rPr>
      </w:pPr>
      <w:hyperlink r:id="rId51"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52"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lastRenderedPageBreak/>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41" w:name="_Toc524512226"/>
      <w:bookmarkStart w:id="142" w:name="_Toc524512274"/>
      <w:bookmarkStart w:id="143" w:name="_Toc536524913"/>
      <w:bookmarkStart w:id="144" w:name="_Toc536525106"/>
      <w:bookmarkStart w:id="145" w:name="_Toc11144850"/>
      <w:r w:rsidRPr="004D35EE">
        <w:rPr>
          <w:rFonts w:asciiTheme="minorHAnsi" w:hAnsiTheme="minorHAnsi"/>
        </w:rPr>
        <w:t>Kwalifikowalność podatku VAT</w:t>
      </w:r>
      <w:bookmarkEnd w:id="141"/>
      <w:bookmarkEnd w:id="142"/>
      <w:bookmarkEnd w:id="143"/>
      <w:bookmarkEnd w:id="144"/>
      <w:bookmarkEnd w:id="145"/>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t>
      </w:r>
      <w:r w:rsidRPr="004D35EE">
        <w:rPr>
          <w:rFonts w:eastAsia="SimSun" w:cs="Arial"/>
          <w:kern w:val="3"/>
          <w:sz w:val="24"/>
          <w:szCs w:val="24"/>
          <w:lang w:eastAsia="pl-PL"/>
        </w:rPr>
        <w:lastRenderedPageBreak/>
        <w:t>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w:t>
      </w:r>
      <w:r w:rsidR="00CA2DA2" w:rsidRPr="004D35EE">
        <w:rPr>
          <w:rFonts w:asciiTheme="minorHAnsi" w:hAnsiTheme="minorHAnsi" w:cs="Arial"/>
          <w:color w:val="auto"/>
        </w:rPr>
        <w:lastRenderedPageBreak/>
        <w:t>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46" w:name="_Toc524512227"/>
      <w:bookmarkStart w:id="147" w:name="_Toc524512275"/>
      <w:bookmarkStart w:id="148" w:name="_Toc536524914"/>
      <w:bookmarkStart w:id="149" w:name="_Toc536525107"/>
      <w:bookmarkStart w:id="150" w:name="_Toc11144851"/>
      <w:r w:rsidRPr="004D35EE">
        <w:rPr>
          <w:rFonts w:asciiTheme="minorHAnsi" w:hAnsiTheme="minorHAnsi"/>
        </w:rPr>
        <w:t>Polityka ochrony środowiska</w:t>
      </w:r>
      <w:bookmarkEnd w:id="146"/>
      <w:bookmarkEnd w:id="147"/>
      <w:bookmarkEnd w:id="148"/>
      <w:bookmarkEnd w:id="149"/>
      <w:bookmarkEnd w:id="150"/>
    </w:p>
    <w:p w14:paraId="5C0F1100" w14:textId="77777777" w:rsidR="009442AF" w:rsidRPr="004D35EE" w:rsidRDefault="009442AF" w:rsidP="009442AF">
      <w:pPr>
        <w:spacing w:line="360" w:lineRule="auto"/>
        <w:rPr>
          <w:sz w:val="24"/>
          <w:szCs w:val="24"/>
        </w:rPr>
      </w:pPr>
      <w:bookmarkStart w:id="151" w:name="_Toc426632923"/>
      <w:bookmarkStart w:id="152" w:name="_Toc430826827"/>
      <w:bookmarkStart w:id="153" w:name="_Toc432758975"/>
      <w:bookmarkStart w:id="154" w:name="_Toc524512228"/>
      <w:bookmarkStart w:id="155" w:name="_Toc524512276"/>
      <w:bookmarkStart w:id="156" w:name="_Toc536524915"/>
      <w:bookmarkStart w:id="157" w:name="_Toc536525108"/>
      <w:bookmarkStart w:id="158" w:name="_Toc11144852"/>
      <w:r w:rsidRPr="004D35EE">
        <w:rPr>
          <w:sz w:val="24"/>
          <w:szCs w:val="24"/>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490C153A" w14:textId="77777777" w:rsidR="009442AF" w:rsidRPr="004D35EE" w:rsidRDefault="009442AF" w:rsidP="009442AF">
      <w:pPr>
        <w:spacing w:line="360" w:lineRule="auto"/>
        <w:rPr>
          <w:sz w:val="24"/>
          <w:szCs w:val="24"/>
        </w:rPr>
      </w:pPr>
      <w:r w:rsidRPr="004D35EE">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F971EF2" w14:textId="77777777" w:rsidR="009442AF" w:rsidRPr="004D35EE" w:rsidRDefault="009442AF" w:rsidP="009442AF">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 ostatecznej decyzji o środowiskowych uwarunkowaniach</w:t>
      </w:r>
      <w:r>
        <w:rPr>
          <w:sz w:val="24"/>
          <w:szCs w:val="24"/>
        </w:rPr>
        <w:t xml:space="preserve">. Ponadto </w:t>
      </w:r>
      <w:r w:rsidRPr="004D35EE">
        <w:rPr>
          <w:sz w:val="24"/>
          <w:szCs w:val="24"/>
        </w:rPr>
        <w:t xml:space="preserve"> jeżeli organ, który wydał zgodę na realizację przedsięwzięcia, stwierdził występowanie negatywnego oddziaływania na obszar Natura 2000</w:t>
      </w:r>
      <w:r>
        <w:rPr>
          <w:sz w:val="24"/>
          <w:szCs w:val="24"/>
        </w:rPr>
        <w:t xml:space="preserve"> należy dołączyć </w:t>
      </w:r>
      <w:r w:rsidRPr="004D35EE">
        <w:rPr>
          <w:sz w:val="24"/>
          <w:szCs w:val="24"/>
        </w:rPr>
        <w:t xml:space="preserve">kopię formularza „Informacja na temat projektów, które mogą wywierać istotny negatywny wpływ na obszary Natura 2000, zgłoszone Komisji (Dyrekcja Generalna ds. Środowiska) na mocy dyrektywy 92/43/EWG”, </w:t>
      </w:r>
    </w:p>
    <w:p w14:paraId="138B11B1" w14:textId="77777777" w:rsidR="009442AF" w:rsidRPr="004D35EE" w:rsidRDefault="009442AF" w:rsidP="009442AF">
      <w:pPr>
        <w:spacing w:line="360" w:lineRule="auto"/>
        <w:rPr>
          <w:sz w:val="24"/>
          <w:szCs w:val="24"/>
        </w:rPr>
      </w:pPr>
      <w:r w:rsidRPr="004D35EE">
        <w:rPr>
          <w:sz w:val="24"/>
          <w:szCs w:val="24"/>
        </w:rPr>
        <w:lastRenderedPageBreak/>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59327CCE" w14:textId="77777777" w:rsidR="009442AF" w:rsidRPr="004D35EE" w:rsidRDefault="009442AF" w:rsidP="009442AF">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00EACBF2" w14:textId="77777777" w:rsidR="009442AF" w:rsidRPr="004D35EE" w:rsidRDefault="009442AF" w:rsidP="009442AF">
      <w:pPr>
        <w:spacing w:line="360" w:lineRule="auto"/>
        <w:rPr>
          <w:sz w:val="24"/>
          <w:szCs w:val="24"/>
        </w:rPr>
      </w:pPr>
      <w:r w:rsidRPr="004D35EE">
        <w:rPr>
          <w:sz w:val="24"/>
          <w:szCs w:val="24"/>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4A9EC5F9" w14:textId="77777777" w:rsidR="009442AF" w:rsidRPr="004D35EE" w:rsidRDefault="009442AF" w:rsidP="009442AF">
      <w:pPr>
        <w:spacing w:line="360" w:lineRule="auto"/>
        <w:rPr>
          <w:sz w:val="24"/>
          <w:szCs w:val="24"/>
        </w:rPr>
      </w:pPr>
      <w:r w:rsidRPr="004D35EE">
        <w:rPr>
          <w:sz w:val="24"/>
          <w:szCs w:val="24"/>
        </w:rPr>
        <w:t>W przypadku, gdy Wnioskodawca dochował wszelkich starań w związku z koniecznością pozyskania deklaracji dotyczącej obszarów Natura 2000, jednakże ze względu na opóźnienie przez niego niezawinione nie jest w stanie dołączyć ww. deklaracji do</w:t>
      </w:r>
      <w:r w:rsidRPr="00124786">
        <w:t xml:space="preserve"> </w:t>
      </w:r>
      <w:r w:rsidRPr="00124786">
        <w:rPr>
          <w:sz w:val="24"/>
          <w:szCs w:val="24"/>
        </w:rPr>
        <w:t xml:space="preserve">pierwszej wersji </w:t>
      </w:r>
      <w:r w:rsidRPr="004D35EE">
        <w:rPr>
          <w:sz w:val="24"/>
          <w:szCs w:val="24"/>
        </w:rPr>
        <w:t>wniosku o dofinansowanie, 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D35EE">
        <w:rPr>
          <w:sz w:val="24"/>
          <w:szCs w:val="24"/>
        </w:rPr>
        <w:t>puap</w:t>
      </w:r>
      <w:proofErr w:type="spellEnd"/>
      <w:r w:rsidRPr="004D35EE">
        <w:rPr>
          <w:sz w:val="24"/>
          <w:szCs w:val="24"/>
        </w:rPr>
        <w:t>).</w:t>
      </w:r>
    </w:p>
    <w:p w14:paraId="481DD11A" w14:textId="77777777" w:rsidR="009442AF" w:rsidRPr="004D35EE" w:rsidRDefault="009442AF" w:rsidP="009442AF">
      <w:pPr>
        <w:spacing w:line="360" w:lineRule="auto"/>
        <w:rPr>
          <w:sz w:val="24"/>
          <w:szCs w:val="24"/>
        </w:rPr>
      </w:pPr>
      <w:r w:rsidRPr="004D35EE">
        <w:rPr>
          <w:sz w:val="24"/>
          <w:szCs w:val="24"/>
        </w:rPr>
        <w:t>Przedmiotow</w:t>
      </w:r>
      <w:r>
        <w:rPr>
          <w:sz w:val="24"/>
          <w:szCs w:val="24"/>
        </w:rPr>
        <w:t>ą</w:t>
      </w:r>
      <w:r w:rsidRPr="004D35EE">
        <w:rPr>
          <w:sz w:val="24"/>
          <w:szCs w:val="24"/>
        </w:rPr>
        <w:t xml:space="preserve"> deklaracj</w:t>
      </w:r>
      <w:r>
        <w:rPr>
          <w:sz w:val="24"/>
          <w:szCs w:val="24"/>
        </w:rPr>
        <w:t>ę</w:t>
      </w:r>
      <w:r w:rsidRPr="004D35EE">
        <w:rPr>
          <w:sz w:val="24"/>
          <w:szCs w:val="24"/>
        </w:rPr>
        <w:t xml:space="preserve">, w zależności od terminu jej pozyskania, </w:t>
      </w:r>
      <w:r>
        <w:rPr>
          <w:sz w:val="24"/>
          <w:szCs w:val="24"/>
        </w:rPr>
        <w:t>Wnioskodawca powinien</w:t>
      </w:r>
      <w:r w:rsidRPr="004D35EE">
        <w:rPr>
          <w:sz w:val="24"/>
          <w:szCs w:val="24"/>
        </w:rPr>
        <w:t xml:space="preserve"> dołącz</w:t>
      </w:r>
      <w:r>
        <w:rPr>
          <w:sz w:val="24"/>
          <w:szCs w:val="24"/>
        </w:rPr>
        <w:t>yć</w:t>
      </w:r>
      <w:r w:rsidRPr="004D35EE">
        <w:rPr>
          <w:sz w:val="24"/>
          <w:szCs w:val="24"/>
        </w:rPr>
        <w:t xml:space="preserve"> podczas składania uzupełnionego / poprawionego wniosku</w:t>
      </w:r>
      <w:r w:rsidRPr="004D35EE">
        <w:rPr>
          <w:sz w:val="24"/>
          <w:szCs w:val="24"/>
        </w:rPr>
        <w:br/>
        <w:t>o dofinansowanie</w:t>
      </w:r>
      <w:r>
        <w:rPr>
          <w:sz w:val="24"/>
          <w:szCs w:val="24"/>
        </w:rPr>
        <w:t xml:space="preserve"> na etapie poprawy wniosku w zakresie kryteriów formalnych</w:t>
      </w:r>
      <w:r w:rsidRPr="004D35EE">
        <w:rPr>
          <w:sz w:val="24"/>
          <w:szCs w:val="24"/>
        </w:rPr>
        <w:t>.</w:t>
      </w:r>
    </w:p>
    <w:p w14:paraId="3AEBAA1D" w14:textId="77777777" w:rsidR="009442AF" w:rsidRPr="004D35EE" w:rsidRDefault="009442AF" w:rsidP="009442AF">
      <w:pPr>
        <w:spacing w:line="360" w:lineRule="auto"/>
        <w:rPr>
          <w:sz w:val="24"/>
          <w:szCs w:val="24"/>
        </w:rPr>
      </w:pPr>
      <w:r w:rsidRPr="004D35EE">
        <w:rPr>
          <w:sz w:val="24"/>
          <w:szCs w:val="24"/>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w:t>
      </w:r>
      <w:r w:rsidRPr="004D35EE">
        <w:rPr>
          <w:sz w:val="24"/>
          <w:szCs w:val="24"/>
        </w:rPr>
        <w:lastRenderedPageBreak/>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r w:rsidRPr="004D35EE">
        <w:rPr>
          <w:rFonts w:asciiTheme="minorHAnsi" w:hAnsiTheme="minorHAnsi"/>
        </w:rPr>
        <w:t>Wymagania w zakresie realizacji projektu partnerskiego</w:t>
      </w:r>
      <w:bookmarkEnd w:id="151"/>
      <w:bookmarkEnd w:id="152"/>
      <w:bookmarkEnd w:id="153"/>
      <w:bookmarkEnd w:id="154"/>
      <w:bookmarkEnd w:id="155"/>
      <w:bookmarkEnd w:id="156"/>
      <w:bookmarkEnd w:id="157"/>
      <w:bookmarkEnd w:id="158"/>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w:t>
      </w:r>
      <w:r w:rsidR="00000DF2" w:rsidRPr="004D35EE">
        <w:rPr>
          <w:rFonts w:eastAsia="SimSun" w:cs="Arial"/>
          <w:kern w:val="3"/>
          <w:sz w:val="24"/>
          <w:szCs w:val="24"/>
          <w:lang w:eastAsia="pl-PL"/>
        </w:rPr>
        <w:lastRenderedPageBreak/>
        <w:t xml:space="preserve">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59" w:name="_Toc524512229"/>
      <w:bookmarkStart w:id="160" w:name="_Toc524512277"/>
      <w:bookmarkStart w:id="161" w:name="_Toc536524916"/>
      <w:bookmarkStart w:id="162" w:name="_Toc536525109"/>
      <w:bookmarkStart w:id="163" w:name="_Toc11144853"/>
      <w:r w:rsidRPr="004D35EE">
        <w:rPr>
          <w:rFonts w:asciiTheme="minorHAnsi" w:hAnsiTheme="minorHAnsi"/>
        </w:rPr>
        <w:t>Wykaz załączników do wniosku o dofinansowanie</w:t>
      </w:r>
      <w:bookmarkEnd w:id="159"/>
      <w:bookmarkEnd w:id="160"/>
      <w:bookmarkEnd w:id="161"/>
      <w:bookmarkEnd w:id="162"/>
      <w:bookmarkEnd w:id="163"/>
    </w:p>
    <w:p w14:paraId="1380CEBB" w14:textId="77777777" w:rsidR="003479D1" w:rsidRPr="004D35EE" w:rsidRDefault="003479D1" w:rsidP="0077235E">
      <w:pPr>
        <w:spacing w:after="0" w:line="360" w:lineRule="auto"/>
        <w:rPr>
          <w:sz w:val="24"/>
          <w:szCs w:val="24"/>
        </w:rPr>
      </w:pPr>
      <w:bookmarkStart w:id="164" w:name="_Toc524512230"/>
      <w:bookmarkStart w:id="165" w:name="_Toc524512278"/>
      <w:bookmarkStart w:id="166" w:name="_Toc536524917"/>
      <w:bookmarkStart w:id="167"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577B38BF"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2F744F89" w14:textId="2D3CE66F"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Oświadczenie Wnioskodawcy dotyczące wpływu projektu na ochronę obszarów cennych przyrodniczo</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lastRenderedPageBreak/>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w:t>
      </w:r>
      <w:r w:rsidRPr="004D35EE">
        <w:rPr>
          <w:rFonts w:asciiTheme="minorHAnsi" w:hAnsiTheme="minorHAnsi"/>
          <w:sz w:val="24"/>
          <w:szCs w:val="24"/>
        </w:rPr>
        <w:lastRenderedPageBreak/>
        <w:t xml:space="preserve">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68" w:name="_Toc11144854"/>
      <w:r w:rsidRPr="004D35EE">
        <w:rPr>
          <w:rFonts w:asciiTheme="minorHAnsi" w:hAnsiTheme="minorHAnsi"/>
        </w:rPr>
        <w:t>Załączniki do regulaminu</w:t>
      </w:r>
      <w:bookmarkEnd w:id="164"/>
      <w:bookmarkEnd w:id="165"/>
      <w:bookmarkEnd w:id="166"/>
      <w:bookmarkEnd w:id="167"/>
      <w:bookmarkEnd w:id="168"/>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lastRenderedPageBreak/>
        <w:t>Lista sprawdzająca projekt zgłoszony do dofinansowania w zakresie warunków formalnych i oczywistych omyłek w trybie art. 43. ustawy wdrożeniowej.</w:t>
      </w:r>
    </w:p>
    <w:sectPr w:rsidR="006B2139" w:rsidRPr="00D11C0F" w:rsidSect="006B7D33">
      <w:footerReference w:type="default" r:id="rId53"/>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175AF5" w:rsidRDefault="00175AF5" w:rsidP="003C4247">
      <w:pPr>
        <w:spacing w:after="0" w:line="240" w:lineRule="auto"/>
      </w:pPr>
      <w:r>
        <w:separator/>
      </w:r>
    </w:p>
  </w:endnote>
  <w:endnote w:type="continuationSeparator" w:id="0">
    <w:p w14:paraId="454BA36A" w14:textId="77777777" w:rsidR="00175AF5" w:rsidRDefault="00175AF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175AF5" w:rsidRDefault="00175AF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D45FCB">
              <w:rPr>
                <w:b/>
                <w:bCs/>
                <w:noProof/>
                <w:sz w:val="18"/>
                <w:szCs w:val="18"/>
              </w:rPr>
              <w:t>30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D45FCB">
              <w:rPr>
                <w:b/>
                <w:bCs/>
                <w:noProof/>
                <w:sz w:val="18"/>
                <w:szCs w:val="18"/>
              </w:rPr>
              <w:t>75</w:t>
            </w:r>
            <w:r w:rsidRPr="008C4AF0">
              <w:rPr>
                <w:b/>
                <w:bCs/>
                <w:sz w:val="18"/>
                <w:szCs w:val="18"/>
              </w:rPr>
              <w:fldChar w:fldCharType="end"/>
            </w:r>
          </w:p>
        </w:sdtContent>
      </w:sdt>
    </w:sdtContent>
  </w:sdt>
  <w:p w14:paraId="240574DA" w14:textId="77777777" w:rsidR="00175AF5" w:rsidRDefault="00175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175AF5" w:rsidRDefault="00175AF5" w:rsidP="003C4247">
      <w:pPr>
        <w:spacing w:after="0" w:line="240" w:lineRule="auto"/>
      </w:pPr>
      <w:r>
        <w:separator/>
      </w:r>
    </w:p>
  </w:footnote>
  <w:footnote w:type="continuationSeparator" w:id="0">
    <w:p w14:paraId="58888F19" w14:textId="77777777" w:rsidR="00175AF5" w:rsidRDefault="00175AF5" w:rsidP="003C4247">
      <w:pPr>
        <w:spacing w:after="0" w:line="240" w:lineRule="auto"/>
      </w:pPr>
      <w:r>
        <w:continuationSeparator/>
      </w:r>
    </w:p>
  </w:footnote>
  <w:footnote w:id="1">
    <w:p w14:paraId="7FA2D6F5" w14:textId="3CE55ED4" w:rsidR="00175AF5" w:rsidRDefault="00175AF5" w:rsidP="00622FF3">
      <w:pPr>
        <w:pStyle w:val="Tekstprzypisudolnego"/>
        <w:rPr>
          <w:rFonts w:asciiTheme="minorHAnsi" w:hAnsiTheme="minorHAnsi" w:cs="Calibri"/>
          <w:sz w:val="18"/>
          <w:szCs w:val="18"/>
        </w:rPr>
      </w:pPr>
      <w:r w:rsidRPr="00622FF3">
        <w:rPr>
          <w:rStyle w:val="Odwoanieprzypisudolnego"/>
          <w:rFonts w:asciiTheme="minorHAnsi" w:hAnsiTheme="minorHAnsi"/>
          <w:sz w:val="18"/>
          <w:szCs w:val="18"/>
        </w:rPr>
        <w:footnoteRef/>
      </w:r>
      <w:r w:rsidRPr="00622FF3">
        <w:rPr>
          <w:rFonts w:asciiTheme="minorHAnsi" w:hAnsiTheme="minorHAnsi"/>
          <w:sz w:val="18"/>
          <w:szCs w:val="18"/>
        </w:rPr>
        <w:t xml:space="preserve"> W skład </w:t>
      </w:r>
      <w:r w:rsidRPr="00622FF3">
        <w:rPr>
          <w:rFonts w:asciiTheme="minorHAnsi" w:hAnsiTheme="minorHAnsi" w:cs="Arial"/>
          <w:sz w:val="18"/>
          <w:szCs w:val="18"/>
          <w:u w:val="single"/>
        </w:rPr>
        <w:t xml:space="preserve">Wrocławskiego Obszaru Funkcjonalnego określonego w Strategii ZIT </w:t>
      </w:r>
      <w:proofErr w:type="spellStart"/>
      <w:r w:rsidRPr="00622FF3">
        <w:rPr>
          <w:rFonts w:asciiTheme="minorHAnsi" w:hAnsiTheme="minorHAnsi" w:cs="Arial"/>
          <w:sz w:val="18"/>
          <w:szCs w:val="18"/>
          <w:u w:val="single"/>
        </w:rPr>
        <w:t>WrOF</w:t>
      </w:r>
      <w:proofErr w:type="spellEnd"/>
      <w:r w:rsidRPr="00622FF3">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9DD6799" w14:textId="77777777" w:rsidR="00175AF5" w:rsidRPr="00622FF3" w:rsidRDefault="00175AF5" w:rsidP="00622FF3">
      <w:pPr>
        <w:pStyle w:val="Tekstprzypisudolnego"/>
        <w:rPr>
          <w:rFonts w:asciiTheme="minorHAnsi" w:hAnsiTheme="minorHAnsi"/>
          <w:sz w:val="18"/>
          <w:szCs w:val="18"/>
        </w:rPr>
      </w:pPr>
    </w:p>
  </w:footnote>
  <w:footnote w:id="2">
    <w:p w14:paraId="17811C03" w14:textId="77777777" w:rsidR="00175AF5" w:rsidRPr="00622FF3" w:rsidRDefault="00175AF5" w:rsidP="00622FF3">
      <w:pPr>
        <w:spacing w:after="0" w:line="240" w:lineRule="auto"/>
        <w:rPr>
          <w:rFonts w:cs="Calibri"/>
          <w:sz w:val="18"/>
          <w:szCs w:val="18"/>
        </w:rPr>
      </w:pPr>
      <w:r w:rsidRPr="00622FF3">
        <w:rPr>
          <w:rStyle w:val="Odwoanieprzypisudolnego"/>
          <w:sz w:val="18"/>
          <w:szCs w:val="18"/>
        </w:rPr>
        <w:footnoteRef/>
      </w:r>
      <w:r w:rsidRPr="00622FF3">
        <w:rPr>
          <w:sz w:val="18"/>
          <w:szCs w:val="18"/>
        </w:rPr>
        <w:t xml:space="preserve"> W skład </w:t>
      </w:r>
      <w:r w:rsidRPr="00622FF3">
        <w:rPr>
          <w:rFonts w:cs="Arial"/>
          <w:sz w:val="18"/>
          <w:szCs w:val="18"/>
          <w:u w:val="single"/>
        </w:rPr>
        <w:t>Aglomeracji Jeleniogórskiej określonej w Strategii ZIT AJ wchodzą Miasta i Gminy:</w:t>
      </w:r>
      <w:r w:rsidRPr="00622FF3">
        <w:rPr>
          <w:sz w:val="18"/>
          <w:szCs w:val="18"/>
        </w:rPr>
        <w:t xml:space="preserve"> </w:t>
      </w:r>
      <w:r w:rsidRPr="00622FF3">
        <w:rPr>
          <w:rFonts w:cs="Calibri"/>
          <w:sz w:val="18"/>
          <w:szCs w:val="18"/>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60C16956" w14:textId="5F004F7D" w:rsidR="00175AF5" w:rsidRDefault="00175AF5">
      <w:pPr>
        <w:pStyle w:val="Tekstprzypisudolnego"/>
      </w:pPr>
    </w:p>
  </w:footnote>
  <w:footnote w:id="3">
    <w:p w14:paraId="447206FD" w14:textId="439DACBA" w:rsidR="00175AF5" w:rsidRPr="00921A1F" w:rsidRDefault="00175AF5"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 xml:space="preserve">z </w:t>
      </w:r>
      <w:proofErr w:type="spellStart"/>
      <w:r>
        <w:rPr>
          <w:rFonts w:asciiTheme="minorHAnsi" w:hAnsiTheme="minorHAnsi"/>
        </w:rPr>
        <w:t>późn</w:t>
      </w:r>
      <w:proofErr w:type="spellEnd"/>
      <w:r>
        <w:rPr>
          <w:rFonts w:asciiTheme="minorHAnsi" w:hAnsiTheme="minorHAnsi"/>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7">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6">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28">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9"/>
  </w:num>
  <w:num w:numId="4">
    <w:abstractNumId w:val="33"/>
  </w:num>
  <w:num w:numId="5">
    <w:abstractNumId w:val="17"/>
  </w:num>
  <w:num w:numId="6">
    <w:abstractNumId w:val="37"/>
  </w:num>
  <w:num w:numId="7">
    <w:abstractNumId w:val="12"/>
  </w:num>
  <w:num w:numId="8">
    <w:abstractNumId w:val="8"/>
  </w:num>
  <w:num w:numId="9">
    <w:abstractNumId w:val="20"/>
  </w:num>
  <w:num w:numId="10">
    <w:abstractNumId w:val="28"/>
  </w:num>
  <w:num w:numId="11">
    <w:abstractNumId w:val="21"/>
  </w:num>
  <w:num w:numId="12">
    <w:abstractNumId w:val="14"/>
  </w:num>
  <w:num w:numId="13">
    <w:abstractNumId w:val="34"/>
  </w:num>
  <w:num w:numId="14">
    <w:abstractNumId w:val="22"/>
  </w:num>
  <w:num w:numId="15">
    <w:abstractNumId w:val="31"/>
  </w:num>
  <w:num w:numId="16">
    <w:abstractNumId w:val="24"/>
  </w:num>
  <w:num w:numId="17">
    <w:abstractNumId w:val="16"/>
  </w:num>
  <w:num w:numId="18">
    <w:abstractNumId w:val="23"/>
  </w:num>
  <w:num w:numId="19">
    <w:abstractNumId w:val="26"/>
  </w:num>
  <w:num w:numId="20">
    <w:abstractNumId w:val="2"/>
  </w:num>
  <w:num w:numId="21">
    <w:abstractNumId w:val="18"/>
  </w:num>
  <w:num w:numId="22">
    <w:abstractNumId w:val="25"/>
  </w:num>
  <w:num w:numId="23">
    <w:abstractNumId w:val="4"/>
  </w:num>
  <w:num w:numId="24">
    <w:abstractNumId w:val="30"/>
  </w:num>
  <w:num w:numId="25">
    <w:abstractNumId w:val="15"/>
  </w:num>
  <w:num w:numId="26">
    <w:abstractNumId w:val="10"/>
  </w:num>
  <w:num w:numId="27">
    <w:abstractNumId w:val="36"/>
  </w:num>
  <w:num w:numId="28">
    <w:abstractNumId w:val="27"/>
  </w:num>
  <w:num w:numId="29">
    <w:abstractNumId w:val="6"/>
  </w:num>
  <w:num w:numId="30">
    <w:abstractNumId w:val="35"/>
  </w:num>
  <w:num w:numId="31">
    <w:abstractNumId w:val="29"/>
  </w:num>
  <w:num w:numId="32">
    <w:abstractNumId w:val="11"/>
  </w:num>
  <w:num w:numId="33">
    <w:abstractNumId w:val="32"/>
  </w:num>
  <w:num w:numId="34">
    <w:abstractNumId w:val="0"/>
  </w:num>
  <w:num w:numId="35">
    <w:abstractNumId w:val="38"/>
  </w:num>
  <w:num w:numId="36">
    <w:abstractNumId w:val="7"/>
  </w:num>
  <w:num w:numId="37">
    <w:abstractNumId w:val="9"/>
  </w:num>
  <w:num w:numId="38">
    <w:abstractNumId w:val="3"/>
  </w:num>
  <w:num w:numId="39">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B14"/>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33EA"/>
    <w:rsid w:val="00034C10"/>
    <w:rsid w:val="00035318"/>
    <w:rsid w:val="00035676"/>
    <w:rsid w:val="00035D8D"/>
    <w:rsid w:val="00035F7C"/>
    <w:rsid w:val="00037174"/>
    <w:rsid w:val="00037F60"/>
    <w:rsid w:val="00040C74"/>
    <w:rsid w:val="000418F3"/>
    <w:rsid w:val="00041F25"/>
    <w:rsid w:val="000423DB"/>
    <w:rsid w:val="00043CCA"/>
    <w:rsid w:val="00044BF6"/>
    <w:rsid w:val="0004508A"/>
    <w:rsid w:val="00045796"/>
    <w:rsid w:val="00045971"/>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039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0F88"/>
    <w:rsid w:val="00101893"/>
    <w:rsid w:val="00102057"/>
    <w:rsid w:val="0010291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9D"/>
    <w:rsid w:val="001308BF"/>
    <w:rsid w:val="00131924"/>
    <w:rsid w:val="001326E9"/>
    <w:rsid w:val="00133038"/>
    <w:rsid w:val="001345A6"/>
    <w:rsid w:val="00135660"/>
    <w:rsid w:val="00136D63"/>
    <w:rsid w:val="0014164D"/>
    <w:rsid w:val="0014193E"/>
    <w:rsid w:val="0014195D"/>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7EA"/>
    <w:rsid w:val="00173C73"/>
    <w:rsid w:val="00174C3E"/>
    <w:rsid w:val="001759F0"/>
    <w:rsid w:val="00175AF5"/>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261"/>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6E31"/>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3A66"/>
    <w:rsid w:val="001F4C53"/>
    <w:rsid w:val="001F5E61"/>
    <w:rsid w:val="001F60E1"/>
    <w:rsid w:val="001F78DD"/>
    <w:rsid w:val="001F7A4B"/>
    <w:rsid w:val="00201C6B"/>
    <w:rsid w:val="00203981"/>
    <w:rsid w:val="00203E05"/>
    <w:rsid w:val="0020487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17A20"/>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4AD"/>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5FD"/>
    <w:rsid w:val="00267E86"/>
    <w:rsid w:val="002705EA"/>
    <w:rsid w:val="0027074B"/>
    <w:rsid w:val="002717EF"/>
    <w:rsid w:val="0027246E"/>
    <w:rsid w:val="00272779"/>
    <w:rsid w:val="00272BD4"/>
    <w:rsid w:val="002733F6"/>
    <w:rsid w:val="002752E1"/>
    <w:rsid w:val="002761CD"/>
    <w:rsid w:val="00276D67"/>
    <w:rsid w:val="00277020"/>
    <w:rsid w:val="0027721F"/>
    <w:rsid w:val="00277293"/>
    <w:rsid w:val="0027783F"/>
    <w:rsid w:val="00277D86"/>
    <w:rsid w:val="0028152B"/>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5C98"/>
    <w:rsid w:val="003274FB"/>
    <w:rsid w:val="0032788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0DF"/>
    <w:rsid w:val="00372597"/>
    <w:rsid w:val="00373661"/>
    <w:rsid w:val="003743D4"/>
    <w:rsid w:val="00374D15"/>
    <w:rsid w:val="00375308"/>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319"/>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A763C"/>
    <w:rsid w:val="003B0238"/>
    <w:rsid w:val="003B0D5A"/>
    <w:rsid w:val="003B112B"/>
    <w:rsid w:val="003B11F4"/>
    <w:rsid w:val="003B17F4"/>
    <w:rsid w:val="003B2ADC"/>
    <w:rsid w:val="003B3DD1"/>
    <w:rsid w:val="003B410E"/>
    <w:rsid w:val="003B52CC"/>
    <w:rsid w:val="003B5431"/>
    <w:rsid w:val="003B6B00"/>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821"/>
    <w:rsid w:val="003D5AB9"/>
    <w:rsid w:val="003D725F"/>
    <w:rsid w:val="003E09D1"/>
    <w:rsid w:val="003E0B50"/>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4B5"/>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46F8"/>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79F"/>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2866"/>
    <w:rsid w:val="00493A21"/>
    <w:rsid w:val="0049432B"/>
    <w:rsid w:val="0049486E"/>
    <w:rsid w:val="004949E8"/>
    <w:rsid w:val="00494C98"/>
    <w:rsid w:val="004952B7"/>
    <w:rsid w:val="0049566B"/>
    <w:rsid w:val="004959D8"/>
    <w:rsid w:val="00495B3A"/>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3EA4"/>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5E99"/>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E47"/>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4F2D"/>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351"/>
    <w:rsid w:val="0058359D"/>
    <w:rsid w:val="0058424F"/>
    <w:rsid w:val="00584383"/>
    <w:rsid w:val="00585401"/>
    <w:rsid w:val="0058780F"/>
    <w:rsid w:val="00587B47"/>
    <w:rsid w:val="0059159C"/>
    <w:rsid w:val="005929C1"/>
    <w:rsid w:val="005938A9"/>
    <w:rsid w:val="00595BBD"/>
    <w:rsid w:val="00596AAE"/>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5E1"/>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59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D90"/>
    <w:rsid w:val="006050DF"/>
    <w:rsid w:val="00605B66"/>
    <w:rsid w:val="00606300"/>
    <w:rsid w:val="00606B1F"/>
    <w:rsid w:val="0061065D"/>
    <w:rsid w:val="006107FA"/>
    <w:rsid w:val="00610AE5"/>
    <w:rsid w:val="00612034"/>
    <w:rsid w:val="006122A8"/>
    <w:rsid w:val="00612B8E"/>
    <w:rsid w:val="00613778"/>
    <w:rsid w:val="006138E0"/>
    <w:rsid w:val="00614090"/>
    <w:rsid w:val="00614A05"/>
    <w:rsid w:val="00614FB4"/>
    <w:rsid w:val="00615158"/>
    <w:rsid w:val="00615A50"/>
    <w:rsid w:val="006162D5"/>
    <w:rsid w:val="006165EF"/>
    <w:rsid w:val="00617291"/>
    <w:rsid w:val="00617995"/>
    <w:rsid w:val="006202DA"/>
    <w:rsid w:val="00621331"/>
    <w:rsid w:val="0062186B"/>
    <w:rsid w:val="00621EF3"/>
    <w:rsid w:val="00622FF3"/>
    <w:rsid w:val="0062382B"/>
    <w:rsid w:val="00624877"/>
    <w:rsid w:val="00624A3C"/>
    <w:rsid w:val="00625187"/>
    <w:rsid w:val="00625E92"/>
    <w:rsid w:val="00626121"/>
    <w:rsid w:val="00626229"/>
    <w:rsid w:val="00626AB5"/>
    <w:rsid w:val="00626B7C"/>
    <w:rsid w:val="00627141"/>
    <w:rsid w:val="0063007D"/>
    <w:rsid w:val="006302E0"/>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399B"/>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471F"/>
    <w:rsid w:val="006A589B"/>
    <w:rsid w:val="006A706C"/>
    <w:rsid w:val="006A752A"/>
    <w:rsid w:val="006A77BE"/>
    <w:rsid w:val="006A7856"/>
    <w:rsid w:val="006B0F59"/>
    <w:rsid w:val="006B1C24"/>
    <w:rsid w:val="006B2139"/>
    <w:rsid w:val="006B2C51"/>
    <w:rsid w:val="006B2CDA"/>
    <w:rsid w:val="006B2D5A"/>
    <w:rsid w:val="006B3ADB"/>
    <w:rsid w:val="006B3B73"/>
    <w:rsid w:val="006B42C6"/>
    <w:rsid w:val="006B4748"/>
    <w:rsid w:val="006B71CD"/>
    <w:rsid w:val="006B7D33"/>
    <w:rsid w:val="006C04D9"/>
    <w:rsid w:val="006C17C7"/>
    <w:rsid w:val="006C1ECB"/>
    <w:rsid w:val="006C323C"/>
    <w:rsid w:val="006C3BEE"/>
    <w:rsid w:val="006C4B03"/>
    <w:rsid w:val="006C54E4"/>
    <w:rsid w:val="006C56A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3E18"/>
    <w:rsid w:val="00714B9B"/>
    <w:rsid w:val="007152AB"/>
    <w:rsid w:val="007208F2"/>
    <w:rsid w:val="0072124B"/>
    <w:rsid w:val="0072208E"/>
    <w:rsid w:val="00722DFE"/>
    <w:rsid w:val="0072388D"/>
    <w:rsid w:val="00724DD3"/>
    <w:rsid w:val="007251BB"/>
    <w:rsid w:val="007266E0"/>
    <w:rsid w:val="00727FD6"/>
    <w:rsid w:val="007300DE"/>
    <w:rsid w:val="00731A8B"/>
    <w:rsid w:val="00731BAD"/>
    <w:rsid w:val="00736DCE"/>
    <w:rsid w:val="007400E0"/>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3079"/>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95E"/>
    <w:rsid w:val="007B2C1A"/>
    <w:rsid w:val="007B332D"/>
    <w:rsid w:val="007B3B9D"/>
    <w:rsid w:val="007B4B5A"/>
    <w:rsid w:val="007B5297"/>
    <w:rsid w:val="007B5D4A"/>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2B7C"/>
    <w:rsid w:val="007D441D"/>
    <w:rsid w:val="007D4450"/>
    <w:rsid w:val="007D69E8"/>
    <w:rsid w:val="007D78B0"/>
    <w:rsid w:val="007E4E15"/>
    <w:rsid w:val="007E5CA2"/>
    <w:rsid w:val="007E5F2B"/>
    <w:rsid w:val="007E633F"/>
    <w:rsid w:val="007E677E"/>
    <w:rsid w:val="007E6F3C"/>
    <w:rsid w:val="007E7F73"/>
    <w:rsid w:val="007E7F84"/>
    <w:rsid w:val="007F05E4"/>
    <w:rsid w:val="007F105E"/>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4322"/>
    <w:rsid w:val="00816AD6"/>
    <w:rsid w:val="00816CAC"/>
    <w:rsid w:val="00820222"/>
    <w:rsid w:val="00820D1A"/>
    <w:rsid w:val="00821248"/>
    <w:rsid w:val="00821DA7"/>
    <w:rsid w:val="008222CF"/>
    <w:rsid w:val="00822C72"/>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18C8"/>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59F1"/>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4426"/>
    <w:rsid w:val="008D518C"/>
    <w:rsid w:val="008D5F22"/>
    <w:rsid w:val="008D7088"/>
    <w:rsid w:val="008E0068"/>
    <w:rsid w:val="008E130C"/>
    <w:rsid w:val="008E18A0"/>
    <w:rsid w:val="008E1A60"/>
    <w:rsid w:val="008E211A"/>
    <w:rsid w:val="008E2396"/>
    <w:rsid w:val="008E2657"/>
    <w:rsid w:val="008E53C7"/>
    <w:rsid w:val="008E5F96"/>
    <w:rsid w:val="008E78A6"/>
    <w:rsid w:val="008F038D"/>
    <w:rsid w:val="008F1359"/>
    <w:rsid w:val="008F208B"/>
    <w:rsid w:val="008F2526"/>
    <w:rsid w:val="008F2A9B"/>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0F0"/>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A5"/>
    <w:rsid w:val="00931BBC"/>
    <w:rsid w:val="00931F1D"/>
    <w:rsid w:val="009328C3"/>
    <w:rsid w:val="00932BB6"/>
    <w:rsid w:val="009339D3"/>
    <w:rsid w:val="009342E5"/>
    <w:rsid w:val="00934304"/>
    <w:rsid w:val="009344C6"/>
    <w:rsid w:val="009352FB"/>
    <w:rsid w:val="009356B5"/>
    <w:rsid w:val="00937195"/>
    <w:rsid w:val="00937B64"/>
    <w:rsid w:val="00940C2E"/>
    <w:rsid w:val="00941A34"/>
    <w:rsid w:val="00943311"/>
    <w:rsid w:val="009435D0"/>
    <w:rsid w:val="009441AB"/>
    <w:rsid w:val="009442AF"/>
    <w:rsid w:val="00944C4B"/>
    <w:rsid w:val="009467B7"/>
    <w:rsid w:val="00946A19"/>
    <w:rsid w:val="0095012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3E92"/>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B32"/>
    <w:rsid w:val="00A0490E"/>
    <w:rsid w:val="00A07D14"/>
    <w:rsid w:val="00A103C2"/>
    <w:rsid w:val="00A104D8"/>
    <w:rsid w:val="00A111B4"/>
    <w:rsid w:val="00A115AC"/>
    <w:rsid w:val="00A12353"/>
    <w:rsid w:val="00A1281F"/>
    <w:rsid w:val="00A13F59"/>
    <w:rsid w:val="00A14374"/>
    <w:rsid w:val="00A15477"/>
    <w:rsid w:val="00A15CEC"/>
    <w:rsid w:val="00A15EBA"/>
    <w:rsid w:val="00A17485"/>
    <w:rsid w:val="00A20A4F"/>
    <w:rsid w:val="00A21929"/>
    <w:rsid w:val="00A224C7"/>
    <w:rsid w:val="00A23453"/>
    <w:rsid w:val="00A23ED2"/>
    <w:rsid w:val="00A242A3"/>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5D29"/>
    <w:rsid w:val="00A563B8"/>
    <w:rsid w:val="00A563BF"/>
    <w:rsid w:val="00A569FA"/>
    <w:rsid w:val="00A57463"/>
    <w:rsid w:val="00A57B1A"/>
    <w:rsid w:val="00A606C5"/>
    <w:rsid w:val="00A607C2"/>
    <w:rsid w:val="00A63544"/>
    <w:rsid w:val="00A646ED"/>
    <w:rsid w:val="00A65A6D"/>
    <w:rsid w:val="00A65EEB"/>
    <w:rsid w:val="00A6600C"/>
    <w:rsid w:val="00A67AB0"/>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439"/>
    <w:rsid w:val="00AB2FEF"/>
    <w:rsid w:val="00AB3A7D"/>
    <w:rsid w:val="00AB43E1"/>
    <w:rsid w:val="00AB4745"/>
    <w:rsid w:val="00AB5F1D"/>
    <w:rsid w:val="00AB732C"/>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5524"/>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29E"/>
    <w:rsid w:val="00B56B52"/>
    <w:rsid w:val="00B56E1A"/>
    <w:rsid w:val="00B56F2D"/>
    <w:rsid w:val="00B57ACD"/>
    <w:rsid w:val="00B57BD2"/>
    <w:rsid w:val="00B606E1"/>
    <w:rsid w:val="00B6235C"/>
    <w:rsid w:val="00B630D8"/>
    <w:rsid w:val="00B635A3"/>
    <w:rsid w:val="00B6518D"/>
    <w:rsid w:val="00B669D5"/>
    <w:rsid w:val="00B669F3"/>
    <w:rsid w:val="00B702DE"/>
    <w:rsid w:val="00B7057E"/>
    <w:rsid w:val="00B70B14"/>
    <w:rsid w:val="00B70DB1"/>
    <w:rsid w:val="00B70FBC"/>
    <w:rsid w:val="00B719C1"/>
    <w:rsid w:val="00B71A84"/>
    <w:rsid w:val="00B72BB0"/>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0AEA"/>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6B"/>
    <w:rsid w:val="00BC047C"/>
    <w:rsid w:val="00BC13EE"/>
    <w:rsid w:val="00BC1522"/>
    <w:rsid w:val="00BC240C"/>
    <w:rsid w:val="00BC2A86"/>
    <w:rsid w:val="00BC315E"/>
    <w:rsid w:val="00BC495C"/>
    <w:rsid w:val="00BC54EF"/>
    <w:rsid w:val="00BC6321"/>
    <w:rsid w:val="00BC662F"/>
    <w:rsid w:val="00BC6B12"/>
    <w:rsid w:val="00BC7A5E"/>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DF9"/>
    <w:rsid w:val="00C06F4A"/>
    <w:rsid w:val="00C07A57"/>
    <w:rsid w:val="00C10241"/>
    <w:rsid w:val="00C10528"/>
    <w:rsid w:val="00C12898"/>
    <w:rsid w:val="00C12DD2"/>
    <w:rsid w:val="00C16F91"/>
    <w:rsid w:val="00C2034E"/>
    <w:rsid w:val="00C211D5"/>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6D5"/>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77631"/>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5EC0"/>
    <w:rsid w:val="00D0670D"/>
    <w:rsid w:val="00D06B7E"/>
    <w:rsid w:val="00D07300"/>
    <w:rsid w:val="00D07E98"/>
    <w:rsid w:val="00D117E6"/>
    <w:rsid w:val="00D11C0F"/>
    <w:rsid w:val="00D13F1C"/>
    <w:rsid w:val="00D14A04"/>
    <w:rsid w:val="00D159B1"/>
    <w:rsid w:val="00D1689A"/>
    <w:rsid w:val="00D1698F"/>
    <w:rsid w:val="00D17A60"/>
    <w:rsid w:val="00D17AF7"/>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3456D"/>
    <w:rsid w:val="00D41590"/>
    <w:rsid w:val="00D41842"/>
    <w:rsid w:val="00D41D2F"/>
    <w:rsid w:val="00D41F56"/>
    <w:rsid w:val="00D42394"/>
    <w:rsid w:val="00D4254E"/>
    <w:rsid w:val="00D42560"/>
    <w:rsid w:val="00D42750"/>
    <w:rsid w:val="00D43B95"/>
    <w:rsid w:val="00D43DEB"/>
    <w:rsid w:val="00D44127"/>
    <w:rsid w:val="00D446E4"/>
    <w:rsid w:val="00D45FCB"/>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2854"/>
    <w:rsid w:val="00D94D5F"/>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A7962"/>
    <w:rsid w:val="00DB0EEB"/>
    <w:rsid w:val="00DB106F"/>
    <w:rsid w:val="00DB1C93"/>
    <w:rsid w:val="00DB2462"/>
    <w:rsid w:val="00DB365C"/>
    <w:rsid w:val="00DB53AF"/>
    <w:rsid w:val="00DB58CF"/>
    <w:rsid w:val="00DB59C2"/>
    <w:rsid w:val="00DB6584"/>
    <w:rsid w:val="00DB6F0D"/>
    <w:rsid w:val="00DC0105"/>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34E2"/>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7F"/>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5BEF"/>
    <w:rsid w:val="00EB6C90"/>
    <w:rsid w:val="00EB749D"/>
    <w:rsid w:val="00EC223B"/>
    <w:rsid w:val="00EC2BD2"/>
    <w:rsid w:val="00EC32CF"/>
    <w:rsid w:val="00EC43E6"/>
    <w:rsid w:val="00EC6E42"/>
    <w:rsid w:val="00ED16C0"/>
    <w:rsid w:val="00ED26C9"/>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57DFB"/>
    <w:rsid w:val="00F61025"/>
    <w:rsid w:val="00F6137C"/>
    <w:rsid w:val="00F62D99"/>
    <w:rsid w:val="00F646BD"/>
    <w:rsid w:val="00F64FBB"/>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4BF"/>
    <w:rsid w:val="00FC78B8"/>
    <w:rsid w:val="00FD0044"/>
    <w:rsid w:val="00FD0C58"/>
    <w:rsid w:val="00FD0C7A"/>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06189989">
      <w:bodyDiv w:val="1"/>
      <w:marLeft w:val="0"/>
      <w:marRight w:val="0"/>
      <w:marTop w:val="0"/>
      <w:marBottom w:val="0"/>
      <w:divBdr>
        <w:top w:val="none" w:sz="0" w:space="0" w:color="auto"/>
        <w:left w:val="none" w:sz="0" w:space="0" w:color="auto"/>
        <w:bottom w:val="none" w:sz="0" w:space="0" w:color="auto"/>
        <w:right w:val="none" w:sz="0" w:space="0" w:color="auto"/>
      </w:divBdr>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140532471">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taj.jeleniagora.pl" TargetMode="External"/><Relationship Id="rId18" Type="http://schemas.openxmlformats.org/officeDocument/2006/relationships/hyperlink" Target="http://rpo.dolnyslask.pl/o-projekcie/poznaj-fundusze-europejskie-bez-barier/" TargetMode="External"/><Relationship Id="rId26" Type="http://schemas.openxmlformats.org/officeDocument/2006/relationships/hyperlink" Target="http://zitaj.jeleniagora.pl" TargetMode="External"/><Relationship Id="rId39" Type="http://schemas.openxmlformats.org/officeDocument/2006/relationships/hyperlink" Target="http://www.rpo.dolnyslask.pl" TargetMode="External"/><Relationship Id="rId21" Type="http://schemas.openxmlformats.org/officeDocument/2006/relationships/hyperlink" Target="http://www.rpo.dolnyslask.pl" TargetMode="External"/><Relationship Id="rId34" Type="http://schemas.openxmlformats.org/officeDocument/2006/relationships/hyperlink" Target="https://www.funduszeeuropejskie.gov.pl/media/61152/DC_metodyka_2018.pdf" TargetMode="External"/><Relationship Id="rId42" Type="http://schemas.openxmlformats.org/officeDocument/2006/relationships/hyperlink" Target="mailto:pife@dolnyslask.pl" TargetMode="External"/><Relationship Id="rId47" Type="http://schemas.openxmlformats.org/officeDocument/2006/relationships/hyperlink" Target="http://www.rpo.dolnyslask.pl" TargetMode="External"/><Relationship Id="rId50" Type="http://schemas.openxmlformats.org/officeDocument/2006/relationships/hyperlink" Target="http://zitaj.jeleniagora.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kzgw.gov.pl/files/kposk/01-5akposk/zal2.xls" TargetMode="External"/><Relationship Id="rId25" Type="http://schemas.openxmlformats.org/officeDocument/2006/relationships/hyperlink" Target="http://www.zitwrof.pl" TargetMode="External"/><Relationship Id="rId33" Type="http://schemas.openxmlformats.org/officeDocument/2006/relationships/hyperlink" Target="https://www.gov.pl/web/finanse/wskazniki-dochodow-podatkowych-dla-poszczegolnych-jednostek-samorzadu-terytorialnego-gmin-powiatow-i-wojewodztw" TargetMode="External"/><Relationship Id="rId38" Type="http://schemas.openxmlformats.org/officeDocument/2006/relationships/hyperlink" Target="http://zitaj.jeleniagora.pl" TargetMode="External"/><Relationship Id="rId46" Type="http://schemas.openxmlformats.org/officeDocument/2006/relationships/hyperlink" Target="mailto:zitaj@jeleniagora.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zgw.gov.pl/files/kposk/01-5akposk/zal2.xls" TargetMode="External"/><Relationship Id="rId20" Type="http://schemas.openxmlformats.org/officeDocument/2006/relationships/hyperlink" Target="http://www.rpo.dolnyslask.pl" TargetMode="External"/><Relationship Id="rId29" Type="http://schemas.openxmlformats.org/officeDocument/2006/relationships/hyperlink" Target="http://zitaj.jeleniagora.pl" TargetMode="External"/><Relationship Id="rId41" Type="http://schemas.openxmlformats.org/officeDocument/2006/relationships/hyperlink" Target="http://zitaj.jeleniagor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mf.gov.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walbrzych@dolnyslask.pl"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zitaj.jeleniagora.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zitwrof.pl" TargetMode="External"/><Relationship Id="rId57" Type="http://schemas.microsoft.com/office/2011/relationships/commentsExtended" Target="commentsExtended.xml"/><Relationship Id="rId10" Type="http://schemas.openxmlformats.org/officeDocument/2006/relationships/hyperlink" Target="http://www.rpo.dolnyslask.pl" TargetMode="External"/><Relationship Id="rId19"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31" Type="http://schemas.openxmlformats.org/officeDocument/2006/relationships/hyperlink" Target="http://www.wody.gov.pl" TargetMode="External"/><Relationship Id="rId44" Type="http://schemas.openxmlformats.org/officeDocument/2006/relationships/hyperlink" Target="mailto:pife.legnica@dolnyslask.pl" TargetMode="External"/><Relationship Id="rId52"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rpo.dolnyslask.pl/analiza-finansowa-na-potrzeby-aplikacji-o-srodki-europejskiego-funduszu-rozwoju-regionalnego-w-ramach-rpo-wd-2014-2020-przyklady/" TargetMode="External"/><Relationship Id="rId43" Type="http://schemas.openxmlformats.org/officeDocument/2006/relationships/hyperlink" Target="mailto:pife.jeleniagora@dolnyslask.pl" TargetMode="External"/><Relationship Id="rId48" Type="http://schemas.openxmlformats.org/officeDocument/2006/relationships/hyperlink" Target="http://www.rpo.dolnyslask.pl" TargetMode="External"/><Relationship Id="rId8" Type="http://schemas.openxmlformats.org/officeDocument/2006/relationships/endnotes" Target="endnotes.xml"/><Relationship Id="rId51" Type="http://schemas.openxmlformats.org/officeDocument/2006/relationships/hyperlink" Target="http://www.bazakonkurencyjnosci.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D4F7-6832-4A18-9C4E-84D9A901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20335</Words>
  <Characters>122016</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3</cp:revision>
  <cp:lastPrinted>2019-09-06T10:45:00Z</cp:lastPrinted>
  <dcterms:created xsi:type="dcterms:W3CDTF">2019-10-25T12:00:00Z</dcterms:created>
  <dcterms:modified xsi:type="dcterms:W3CDTF">2019-10-25T12:01:00Z</dcterms:modified>
</cp:coreProperties>
</file>