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60EC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47FEDAFA" wp14:editId="17237BC5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E886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CE2054A" w14:textId="77777777"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Miasto Jelenia Góra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767B2B">
        <w:rPr>
          <w:rFonts w:ascii="Calibri" w:hAnsi="Calibri" w:cs="Calibri"/>
          <w:b/>
          <w:bCs/>
          <w:sz w:val="28"/>
          <w:szCs w:val="28"/>
        </w:rPr>
        <w:t>e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</w:t>
      </w:r>
      <w:r w:rsidR="00097A10">
        <w:rPr>
          <w:rFonts w:ascii="Calibri" w:hAnsi="Calibri" w:cs="Calibri"/>
          <w:b/>
          <w:bCs/>
          <w:sz w:val="28"/>
          <w:szCs w:val="28"/>
        </w:rPr>
        <w:br/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>Aglomeracji Jeleniogórskiej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65F1D2F4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0936CA23" w14:textId="77777777" w:rsidR="00242686" w:rsidRPr="003677E7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14:paraId="15F55EFC" w14:textId="77777777" w:rsidR="00D41A98" w:rsidRPr="00C31179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Pr="00C31179">
        <w:rPr>
          <w:rFonts w:ascii="Calibri" w:hAnsi="Calibri" w:cs="Calibri"/>
          <w:b/>
          <w:bCs/>
          <w:sz w:val="28"/>
          <w:szCs w:val="28"/>
        </w:rPr>
        <w:t>10.</w:t>
      </w:r>
      <w:bookmarkEnd w:id="0"/>
      <w:bookmarkEnd w:id="1"/>
      <w:r w:rsidRPr="00C31179">
        <w:rPr>
          <w:rFonts w:ascii="Calibri" w:hAnsi="Calibri" w:cs="Calibri"/>
          <w:b/>
          <w:bCs/>
          <w:sz w:val="28"/>
          <w:szCs w:val="28"/>
        </w:rPr>
        <w:t>1 Zapewnienie równego dostępu do wysokiej jakości edukacji przedszkolnej</w:t>
      </w:r>
    </w:p>
    <w:p w14:paraId="01499ADB" w14:textId="77777777" w:rsidR="00D41A98" w:rsidRPr="00C31179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>Poddziałanie 10.1.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C31179">
        <w:rPr>
          <w:rFonts w:ascii="Calibri" w:hAnsi="Calibri" w:cs="Calibri"/>
          <w:b/>
          <w:bCs/>
          <w:sz w:val="28"/>
          <w:szCs w:val="28"/>
        </w:rPr>
        <w:t xml:space="preserve"> Zapewnienie równego dostępu do wysokiej jakości edukacji przedszkolnej – konkurs </w:t>
      </w:r>
      <w:r>
        <w:rPr>
          <w:rFonts w:ascii="Calibri" w:hAnsi="Calibri" w:cs="Calibri"/>
          <w:b/>
          <w:bCs/>
          <w:sz w:val="28"/>
          <w:szCs w:val="28"/>
        </w:rPr>
        <w:t>dla ZIT AJ</w:t>
      </w:r>
    </w:p>
    <w:p w14:paraId="7FC66499" w14:textId="77777777" w:rsidR="00D41A98" w:rsidRPr="00763A7F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51A0F">
        <w:rPr>
          <w:rFonts w:ascii="Calibri" w:hAnsi="Calibri" w:cs="Calibri"/>
          <w:b/>
          <w:bCs/>
          <w:sz w:val="28"/>
          <w:szCs w:val="28"/>
        </w:rPr>
        <w:t>Nr konkursu: RPDS.10.0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D51A0F">
        <w:rPr>
          <w:rFonts w:ascii="Calibri" w:hAnsi="Calibri" w:cs="Calibri"/>
          <w:b/>
          <w:bCs/>
          <w:sz w:val="28"/>
          <w:szCs w:val="28"/>
        </w:rPr>
        <w:t>.0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D51A0F">
        <w:rPr>
          <w:rFonts w:ascii="Calibri" w:hAnsi="Calibri" w:cs="Calibri"/>
          <w:b/>
          <w:bCs/>
          <w:sz w:val="28"/>
          <w:szCs w:val="28"/>
        </w:rPr>
        <w:t>-IZ.00-02-3</w:t>
      </w:r>
      <w:r>
        <w:rPr>
          <w:rFonts w:ascii="Calibri" w:hAnsi="Calibri" w:cs="Calibri"/>
          <w:b/>
          <w:bCs/>
          <w:sz w:val="28"/>
          <w:szCs w:val="28"/>
        </w:rPr>
        <w:t>63</w:t>
      </w:r>
      <w:r w:rsidRPr="00D51A0F">
        <w:rPr>
          <w:rFonts w:ascii="Calibri" w:hAnsi="Calibri" w:cs="Calibri"/>
          <w:b/>
          <w:bCs/>
          <w:sz w:val="28"/>
          <w:szCs w:val="28"/>
        </w:rPr>
        <w:t>/19</w:t>
      </w:r>
    </w:p>
    <w:p w14:paraId="790E45C1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3396F261" w14:textId="77777777" w:rsidR="000C5E84" w:rsidRPr="000C5E84" w:rsidRDefault="000C5E84" w:rsidP="000C5E84">
      <w:pPr>
        <w:rPr>
          <w:lang w:eastAsia="pl-PL"/>
        </w:rPr>
      </w:pPr>
    </w:p>
    <w:p w14:paraId="40DD310E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00AFBA4F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708B2277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.</w:t>
      </w:r>
    </w:p>
    <w:p w14:paraId="24B63129" w14:textId="77777777"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14:paraId="7C88AF8F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22C3ED99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>Aglomeracji Jeleniogórskiej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).</w:t>
      </w:r>
    </w:p>
    <w:p w14:paraId="517EC8BE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14:paraId="07E809C7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6BCBC838" w14:textId="77777777" w:rsidR="00767B2B" w:rsidRPr="00767B2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 xml:space="preserve">we Wrocławiu (50-412), ul. Mazowiecka 17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w Jeleniej Górze (58-500)</w:t>
      </w:r>
      <w:r w:rsidRPr="00F360DB">
        <w:rPr>
          <w:rFonts w:cs="Calibri"/>
          <w:color w:val="000000"/>
          <w:sz w:val="24"/>
          <w:szCs w:val="24"/>
        </w:rPr>
        <w:t xml:space="preserve"> </w:t>
      </w:r>
      <w:r w:rsidR="00767B2B" w:rsidRPr="00767B2B">
        <w:rPr>
          <w:rFonts w:cs="Calibri"/>
          <w:color w:val="000000"/>
          <w:sz w:val="24"/>
          <w:szCs w:val="24"/>
        </w:rPr>
        <w:t>ul. Okrzei 10.</w:t>
      </w:r>
    </w:p>
    <w:p w14:paraId="03CCFDA4" w14:textId="77777777" w:rsidR="00242686" w:rsidRPr="00060565" w:rsidRDefault="00242686" w:rsidP="00242686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t>Przedmiot konkursu, w tym typy projektów podlegające dofinansowaniu:</w:t>
      </w:r>
    </w:p>
    <w:p w14:paraId="6A2B2244" w14:textId="77777777" w:rsidR="00242686" w:rsidRPr="00D254D3" w:rsidRDefault="00242686" w:rsidP="003C1810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14:paraId="13CE728F" w14:textId="77777777" w:rsidR="00D41A98" w:rsidRPr="004847FC" w:rsidRDefault="00D41A98" w:rsidP="003C1810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10.1.A.</w:t>
      </w:r>
      <w:r w:rsidRPr="004847FC">
        <w:rPr>
          <w:sz w:val="24"/>
          <w:szCs w:val="24"/>
        </w:rPr>
        <w:t xml:space="preserve"> Uruchamianie nowych miejsc, w tym dostosowanych do potrzeb dzieci z niepełnosprawnościami, w istniejących lub nowych ośrodkach edukacji przedszkolnej, m.in. specjalnych i integracyjnych oraz uruchomienie nowych miejsc w innych formach wychowania przedszkolnego.</w:t>
      </w:r>
    </w:p>
    <w:p w14:paraId="720D81FB" w14:textId="77777777" w:rsidR="00D41A98" w:rsidRPr="004847FC" w:rsidRDefault="00D41A98" w:rsidP="003C1810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10.1.B.</w:t>
      </w:r>
      <w:r w:rsidRPr="004847FC">
        <w:rPr>
          <w:sz w:val="24"/>
          <w:szCs w:val="24"/>
        </w:rPr>
        <w:t xml:space="preserve"> Dodatkowe zajęcia edukacyjne i specjalistyczne mające na celu rozwój dzieci na wczesnym etapie edukacji, poprzez rozszerzenie oferty ośrodka wychowania przedszkolnego o dodatkowe zajęcia wyrównujące szanse edukacyjne dzieci w zakresie stwierdzonych deficytów oraz zwiększające szanse edukacyjne dzieci. Wykaz dodatkowych zajęć obejmuje:</w:t>
      </w:r>
    </w:p>
    <w:p w14:paraId="0B407691" w14:textId="77777777" w:rsidR="00D41A98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>zajęcia specjalistyczne takie jak: korekcyjno-kompensacyjne, logopedyczne, rozwijające kompetencje emocjonalno-społeczne oraz inne zajęcia o charakterze terapeutycznym;</w:t>
      </w:r>
    </w:p>
    <w:p w14:paraId="4311603C" w14:textId="77777777" w:rsidR="00D41A98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>zajęcia w ramach wczesnego wspomagania rozwoju w rozumieniu Prawa oświatowego;</w:t>
      </w:r>
    </w:p>
    <w:p w14:paraId="0CA5A32F" w14:textId="77777777" w:rsidR="00D41A98" w:rsidRDefault="00D41A98" w:rsidP="003C181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zajęcia stymulujące rozwój psychoruchowy, np. gimnastyka korekcyjna;</w:t>
      </w:r>
    </w:p>
    <w:p w14:paraId="4971FD31" w14:textId="77777777" w:rsidR="00D41A98" w:rsidRPr="004847FC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 xml:space="preserve">zajęcia rozwijające u dzieci w wieku przedszkolnym kompetencje kluczowe </w:t>
      </w:r>
      <w:r w:rsidR="008F0CFC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oraz umiejętności uniwersalne niezbędne na rynku pracy (tj. umiejętności matematyczno-przyrodnicze, umiejętności posługiwania się językami obcymi, TIK, umiejętności rozumienia, kreatywność, innowacyjność, przedsiębiorczość, krytyczne </w:t>
      </w:r>
      <w:r w:rsidRPr="004847FC">
        <w:rPr>
          <w:sz w:val="24"/>
          <w:szCs w:val="24"/>
        </w:rPr>
        <w:lastRenderedPageBreak/>
        <w:t>myślenie, rozwiązywanie problemów, umiejętność uczenia się, umiejętność pracy zespołowej w kontekście środowiska pracy.</w:t>
      </w:r>
    </w:p>
    <w:p w14:paraId="350B26B4" w14:textId="77777777" w:rsidR="00D41A98" w:rsidRPr="004847FC" w:rsidRDefault="00D41A98" w:rsidP="003C1810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10.1.C.</w:t>
      </w:r>
      <w:r w:rsidRPr="004847FC">
        <w:rPr>
          <w:sz w:val="24"/>
          <w:szCs w:val="24"/>
        </w:rPr>
        <w:t xml:space="preserve"> Doskonalenie umiejętności, kompetencji lub kwalifikacji nauczycieli ośrodków wychowania przedszkolnego, niezbędnych do pracy z dziećmi w wieku przedszkolnym, </w:t>
      </w:r>
      <w:r w:rsidR="008F0CFC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 tym z dziećmi ze specjalnymi potrzebami edukacyjnymi i rozwojowymi, w szczególności </w:t>
      </w:r>
      <w:r w:rsidR="008F0CFC">
        <w:rPr>
          <w:sz w:val="24"/>
          <w:szCs w:val="24"/>
        </w:rPr>
        <w:br/>
      </w:r>
      <w:r w:rsidRPr="004847FC">
        <w:rPr>
          <w:sz w:val="24"/>
          <w:szCs w:val="24"/>
        </w:rPr>
        <w:t>w zakresie  współpracy nauczycieli z rodzicami, w tym radzenia sobie w sytuacjach trudnych. Wsparcie może być realizowane zwłaszcza przez:</w:t>
      </w:r>
    </w:p>
    <w:p w14:paraId="07D8A26F" w14:textId="77777777" w:rsidR="00D41A98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 xml:space="preserve">doradztwo, kursy, szkolenia doskonalące, w tym z wykorzystaniem pracy trenerów przeszkolonych w ramach PO WER oraz studia podyplomowe spełniające wymogi określane w </w:t>
      </w:r>
      <w:bookmarkStart w:id="2" w:name="_Hlk524074190"/>
      <w:r w:rsidRPr="004847FC">
        <w:rPr>
          <w:sz w:val="24"/>
          <w:szCs w:val="24"/>
        </w:rPr>
        <w:t>rozporządzeniu Ministra Nauki i Szkolnictwa Wyższego z dnia 17 stycznia 2012 r. w sprawie standardów kształcenia przygotowującego do wykonywania zawodu nauczyciela</w:t>
      </w:r>
      <w:bookmarkEnd w:id="2"/>
      <w:r w:rsidRPr="004847FC">
        <w:rPr>
          <w:sz w:val="24"/>
          <w:szCs w:val="24"/>
        </w:rPr>
        <w:t xml:space="preserve"> oraz inne formy podwyższenia kwalifikacji pod kątem rozwijania u dzieci </w:t>
      </w:r>
      <w:r w:rsidR="008F0CFC">
        <w:rPr>
          <w:sz w:val="24"/>
          <w:szCs w:val="24"/>
        </w:rPr>
        <w:br/>
      </w:r>
      <w:r w:rsidRPr="004847FC">
        <w:rPr>
          <w:sz w:val="24"/>
          <w:szCs w:val="24"/>
        </w:rPr>
        <w:t>w wieku przedszkolnym kompetencji kluczowych oraz umiejętności uniwersalnych niezbędnych na rynku pracy, jak też właściwego wykorzystania narzędzi wspierających pomoc psychologiczno-pedagogiczną;</w:t>
      </w:r>
    </w:p>
    <w:p w14:paraId="1CDC240A" w14:textId="77777777" w:rsidR="00D41A98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 xml:space="preserve">wspieranie istniejących, budowanie nowych i moderowanie sieci współpracy </w:t>
      </w:r>
      <w:r w:rsidR="008F0CFC">
        <w:rPr>
          <w:sz w:val="24"/>
          <w:szCs w:val="24"/>
        </w:rPr>
        <w:br/>
      </w:r>
      <w:bookmarkStart w:id="3" w:name="_GoBack"/>
      <w:bookmarkEnd w:id="3"/>
      <w:r w:rsidRPr="004847FC">
        <w:rPr>
          <w:sz w:val="24"/>
          <w:szCs w:val="24"/>
        </w:rPr>
        <w:t>i samokształcenia nauczycieli;</w:t>
      </w:r>
    </w:p>
    <w:p w14:paraId="445F5173" w14:textId="77777777" w:rsidR="00D41A98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współpracę ze specjalistycznymi ośrodkami, np. specjalnymi ośrodkami szkolno-wychowawczymi, poradniami psychologiczno-pedagogicznymi, ośrodkami wychowania przedszkolnego i szkołami kształcącymi dzieci i młodzież z niepełnosprawnościami (m.in. praktyki, staże);</w:t>
      </w:r>
    </w:p>
    <w:p w14:paraId="17C47D00" w14:textId="77777777" w:rsidR="00D41A98" w:rsidRPr="004847FC" w:rsidRDefault="00D41A98" w:rsidP="003C1810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>staże i praktyki nauczycieli realizowane we współpracy z podmiotami z otoczenia szkoły lub placówki systemu oświaty albo instytucjami wspomagającymi przedszkola.</w:t>
      </w:r>
    </w:p>
    <w:p w14:paraId="67FC22C5" w14:textId="77777777" w:rsidR="00D41A98" w:rsidRPr="00D254D3" w:rsidRDefault="00D41A98" w:rsidP="00D41A98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14:paraId="4ECEBB21" w14:textId="77777777" w:rsidR="00D41A98" w:rsidRDefault="00D41A98" w:rsidP="00D41A98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sz w:val="24"/>
          <w:szCs w:val="24"/>
        </w:rPr>
        <w:t xml:space="preserve">Kategorią interwencji dla ogłaszanych konkursów jest kategoria interwencji 115, która odpowiada bezpośrednio celowi dążącemu do ograniczania i zapobiegania przedwczesnemu kończeniu nauki, zapewnianiu równego dostępu do dobrej jakości wczesnej edukacji elementarnej oraz kształcenia podstawowego, gimnazjalnego i ponadgimnazjalnego, </w:t>
      </w:r>
      <w:r w:rsidRPr="00763A7F">
        <w:rPr>
          <w:sz w:val="24"/>
          <w:szCs w:val="24"/>
        </w:rPr>
        <w:br/>
        <w:t xml:space="preserve">z uwzględnieniem formalnych, nieformalnych i </w:t>
      </w:r>
      <w:proofErr w:type="spellStart"/>
      <w:r w:rsidRPr="00763A7F">
        <w:rPr>
          <w:sz w:val="24"/>
          <w:szCs w:val="24"/>
        </w:rPr>
        <w:t>pozaformalnych</w:t>
      </w:r>
      <w:proofErr w:type="spellEnd"/>
      <w:r w:rsidRPr="00763A7F">
        <w:rPr>
          <w:sz w:val="24"/>
          <w:szCs w:val="24"/>
        </w:rPr>
        <w:t xml:space="preserve"> ścieżek kształcenia umożliwiających ponowne podjęcie kształcenia i szkolenia.</w:t>
      </w:r>
    </w:p>
    <w:p w14:paraId="6BEDB97A" w14:textId="77777777" w:rsidR="00242686" w:rsidRPr="002C178B" w:rsidRDefault="003C1810" w:rsidP="00242686">
      <w:pPr>
        <w:spacing w:after="0" w:line="360" w:lineRule="auto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br w:type="column"/>
      </w:r>
      <w:r w:rsidR="00242686" w:rsidRPr="00763A7F">
        <w:rPr>
          <w:rFonts w:cs="Calibri"/>
          <w:b/>
          <w:bCs/>
          <w:color w:val="000000"/>
          <w:sz w:val="24"/>
          <w:szCs w:val="24"/>
        </w:rPr>
        <w:lastRenderedPageBreak/>
        <w:t>Termin, od którego można składać wnioski</w:t>
      </w:r>
      <w:r w:rsidR="00242686">
        <w:rPr>
          <w:rFonts w:cs="Calibri"/>
          <w:b/>
          <w:bCs/>
          <w:color w:val="000000"/>
          <w:sz w:val="24"/>
          <w:szCs w:val="24"/>
        </w:rPr>
        <w:t>:</w:t>
      </w:r>
    </w:p>
    <w:p w14:paraId="19F16B05" w14:textId="77777777" w:rsidR="00242686" w:rsidRPr="00763A7F" w:rsidRDefault="00D41A98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24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września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201</w:t>
      </w:r>
      <w:r w:rsidR="00242686">
        <w:rPr>
          <w:rFonts w:asciiTheme="minorHAnsi" w:eastAsia="Calibri" w:hAnsiTheme="minorHAnsi" w:cstheme="minorBidi"/>
          <w:color w:val="auto"/>
        </w:rPr>
        <w:t>9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5DA34F4B" w14:textId="77777777" w:rsidR="00242686" w:rsidRPr="00763A7F" w:rsidRDefault="00242686" w:rsidP="00242686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5D25DE17" w14:textId="77777777" w:rsidR="00242686" w:rsidRPr="00763A7F" w:rsidRDefault="00D41A98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10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października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201</w:t>
      </w:r>
      <w:r w:rsidR="00242686">
        <w:rPr>
          <w:rFonts w:asciiTheme="minorHAnsi" w:eastAsia="Calibri" w:hAnsiTheme="minorHAnsi" w:cstheme="minorBidi"/>
          <w:color w:val="auto"/>
        </w:rPr>
        <w:t>9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10C5FD23" w14:textId="77777777" w:rsidR="00242686" w:rsidRPr="00763A7F" w:rsidRDefault="00242686" w:rsidP="0024268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168CE6F5" w14:textId="77777777" w:rsidR="00242686" w:rsidRDefault="00242686" w:rsidP="00242686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3685042B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samorządu terytorialnego, ich związki i stowarzyszenia; </w:t>
      </w:r>
    </w:p>
    <w:p w14:paraId="27FDC42F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organizacyjne </w:t>
      </w:r>
      <w:proofErr w:type="spellStart"/>
      <w:r w:rsidRPr="00E012A2">
        <w:rPr>
          <w:rFonts w:asciiTheme="minorHAnsi" w:hAnsiTheme="minorHAnsi"/>
        </w:rPr>
        <w:t>jst</w:t>
      </w:r>
      <w:proofErr w:type="spellEnd"/>
      <w:r w:rsidRPr="00E012A2">
        <w:rPr>
          <w:rFonts w:asciiTheme="minorHAnsi" w:hAnsiTheme="minorHAnsi"/>
        </w:rPr>
        <w:t xml:space="preserve">; </w:t>
      </w:r>
    </w:p>
    <w:p w14:paraId="4D5BFB64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organizacje pozarządowe; </w:t>
      </w:r>
    </w:p>
    <w:p w14:paraId="5CC80DA2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organy prowadzące publiczne i niepubliczne przedszkola i inne form</w:t>
      </w:r>
      <w:r>
        <w:rPr>
          <w:rFonts w:asciiTheme="minorHAnsi" w:hAnsiTheme="minorHAnsi"/>
        </w:rPr>
        <w:t>y</w:t>
      </w:r>
      <w:r w:rsidRPr="00E012A2">
        <w:rPr>
          <w:rFonts w:asciiTheme="minorHAnsi" w:hAnsiTheme="minorHAnsi"/>
        </w:rPr>
        <w:t xml:space="preserve"> wychowania przedszkolnego; </w:t>
      </w:r>
    </w:p>
    <w:p w14:paraId="01BFE5AF" w14:textId="77777777" w:rsidR="00D41A98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przedsiębiorcy.</w:t>
      </w:r>
    </w:p>
    <w:p w14:paraId="39DB1848" w14:textId="77777777" w:rsidR="000C5E84" w:rsidRPr="00D41A98" w:rsidRDefault="00242686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14:paraId="253F545B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0993FB82" w14:textId="77777777" w:rsidR="00763A7F" w:rsidRPr="005E1170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E1170">
        <w:rPr>
          <w:sz w:val="24"/>
          <w:szCs w:val="24"/>
        </w:rPr>
        <w:t>Kwota środków europejskich przeznaczona na konkurs nr RPDS.10.0</w:t>
      </w:r>
      <w:r w:rsidR="00D41A98">
        <w:rPr>
          <w:sz w:val="24"/>
          <w:szCs w:val="24"/>
        </w:rPr>
        <w:t>1</w:t>
      </w:r>
      <w:r w:rsidRPr="005E1170">
        <w:rPr>
          <w:sz w:val="24"/>
          <w:szCs w:val="24"/>
        </w:rPr>
        <w:t>.0</w:t>
      </w:r>
      <w:r w:rsidR="00767B2B" w:rsidRPr="005E1170">
        <w:rPr>
          <w:sz w:val="24"/>
          <w:szCs w:val="24"/>
        </w:rPr>
        <w:t>3</w:t>
      </w:r>
      <w:r w:rsidRPr="005E1170">
        <w:rPr>
          <w:sz w:val="24"/>
          <w:szCs w:val="24"/>
        </w:rPr>
        <w:t>-IZ.00-02-</w:t>
      </w:r>
      <w:r w:rsidR="005202CF" w:rsidRPr="005E1170">
        <w:rPr>
          <w:sz w:val="24"/>
          <w:szCs w:val="24"/>
        </w:rPr>
        <w:t>3</w:t>
      </w:r>
      <w:r w:rsidR="00D41A98">
        <w:rPr>
          <w:sz w:val="24"/>
          <w:szCs w:val="24"/>
        </w:rPr>
        <w:t>63</w:t>
      </w:r>
      <w:r w:rsidRPr="005E1170">
        <w:rPr>
          <w:sz w:val="24"/>
          <w:szCs w:val="24"/>
        </w:rPr>
        <w:t>/1</w:t>
      </w:r>
      <w:r w:rsidR="00242686" w:rsidRPr="005E1170">
        <w:rPr>
          <w:sz w:val="24"/>
          <w:szCs w:val="24"/>
        </w:rPr>
        <w:t>9</w:t>
      </w:r>
      <w:r w:rsidRPr="005E1170">
        <w:rPr>
          <w:sz w:val="24"/>
          <w:szCs w:val="24"/>
        </w:rPr>
        <w:t xml:space="preserve"> wynosi: </w:t>
      </w:r>
      <w:r w:rsidR="00D41A98" w:rsidRPr="00F01A9D">
        <w:rPr>
          <w:sz w:val="24"/>
          <w:szCs w:val="24"/>
        </w:rPr>
        <w:t>1 221</w:t>
      </w:r>
      <w:r w:rsidR="00D41A98">
        <w:rPr>
          <w:sz w:val="24"/>
          <w:szCs w:val="24"/>
        </w:rPr>
        <w:t> </w:t>
      </w:r>
      <w:r w:rsidR="00D41A98" w:rsidRPr="00F01A9D">
        <w:rPr>
          <w:sz w:val="24"/>
          <w:szCs w:val="24"/>
        </w:rPr>
        <w:t>536</w:t>
      </w:r>
      <w:r w:rsidR="00D41A98">
        <w:rPr>
          <w:sz w:val="24"/>
          <w:szCs w:val="24"/>
        </w:rPr>
        <w:t xml:space="preserve"> </w:t>
      </w:r>
      <w:r w:rsidRPr="005E1170">
        <w:rPr>
          <w:sz w:val="24"/>
          <w:szCs w:val="24"/>
        </w:rPr>
        <w:t xml:space="preserve">EUR tj. </w:t>
      </w:r>
      <w:r w:rsidR="006E3C3F">
        <w:rPr>
          <w:sz w:val="24"/>
          <w:szCs w:val="24"/>
        </w:rPr>
        <w:t>5 241 855</w:t>
      </w:r>
      <w:r w:rsidR="00554EBD" w:rsidRPr="005E1170">
        <w:rPr>
          <w:sz w:val="24"/>
          <w:szCs w:val="24"/>
        </w:rPr>
        <w:t xml:space="preserve"> </w:t>
      </w:r>
      <w:r w:rsidRPr="005E1170">
        <w:rPr>
          <w:sz w:val="24"/>
          <w:szCs w:val="24"/>
        </w:rPr>
        <w:t>PLN.</w:t>
      </w:r>
    </w:p>
    <w:p w14:paraId="0D24528B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E1170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D41A98">
        <w:rPr>
          <w:sz w:val="24"/>
          <w:szCs w:val="24"/>
        </w:rPr>
        <w:t>30</w:t>
      </w:r>
      <w:r w:rsidRPr="005E1170">
        <w:rPr>
          <w:sz w:val="24"/>
          <w:szCs w:val="24"/>
        </w:rPr>
        <w:t xml:space="preserve"> </w:t>
      </w:r>
      <w:r w:rsidR="00D41A98">
        <w:rPr>
          <w:sz w:val="24"/>
          <w:szCs w:val="24"/>
        </w:rPr>
        <w:t>lipca</w:t>
      </w:r>
      <w:r w:rsidRPr="005E1170">
        <w:rPr>
          <w:sz w:val="24"/>
          <w:szCs w:val="24"/>
        </w:rPr>
        <w:t xml:space="preserve"> 201</w:t>
      </w:r>
      <w:r w:rsidR="00242686" w:rsidRPr="005E1170">
        <w:rPr>
          <w:sz w:val="24"/>
          <w:szCs w:val="24"/>
        </w:rPr>
        <w:t>9</w:t>
      </w:r>
      <w:r w:rsidRPr="005E1170">
        <w:rPr>
          <w:sz w:val="24"/>
          <w:szCs w:val="24"/>
        </w:rPr>
        <w:t xml:space="preserve"> r. (1 euro = </w:t>
      </w:r>
      <w:r w:rsidR="00554EBD" w:rsidRPr="005E1170">
        <w:rPr>
          <w:sz w:val="24"/>
          <w:szCs w:val="24"/>
        </w:rPr>
        <w:t>4,</w:t>
      </w:r>
      <w:r w:rsidR="006E3C3F">
        <w:rPr>
          <w:sz w:val="24"/>
          <w:szCs w:val="24"/>
        </w:rPr>
        <w:t>2912</w:t>
      </w:r>
      <w:r w:rsidRPr="005E1170">
        <w:rPr>
          <w:sz w:val="24"/>
          <w:szCs w:val="24"/>
        </w:rPr>
        <w:t xml:space="preserve"> PLN).</w:t>
      </w:r>
    </w:p>
    <w:p w14:paraId="457F4755" w14:textId="77777777" w:rsidR="00763A7F" w:rsidRPr="003C1810" w:rsidRDefault="00763A7F" w:rsidP="003C181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Ze względu na kurs euro limit dostępnych środków może ulec zmianie. Z tego powodu dokładna kwota dofinansowania zostanie określona na etapie zatwierdzania listy rankingowej.</w:t>
      </w:r>
    </w:p>
    <w:p w14:paraId="3EE0617E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410901E7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D41A98">
        <w:rPr>
          <w:rFonts w:cs="Calibri"/>
          <w:bCs/>
          <w:color w:val="000000"/>
          <w:sz w:val="24"/>
          <w:szCs w:val="24"/>
        </w:rPr>
        <w:t>30</w:t>
      </w:r>
      <w:r w:rsidRPr="002C178B">
        <w:rPr>
          <w:rFonts w:cs="Calibri"/>
          <w:bCs/>
          <w:color w:val="000000"/>
          <w:sz w:val="24"/>
          <w:szCs w:val="24"/>
        </w:rPr>
        <w:t>0 000,00 PLN.</w:t>
      </w:r>
    </w:p>
    <w:p w14:paraId="119AE0AC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7DA9F395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7BF297CE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14:paraId="24B6C3A2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14:paraId="127BD2D4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lastRenderedPageBreak/>
        <w:t xml:space="preserve">Maksymalny poziom dofinansowania całkowitego wydatków kwalifikowalnych na poziomie projektu (środki UE) wynosi </w:t>
      </w:r>
      <w:r w:rsidR="00242686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14:paraId="3353D29A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31C331A4" w14:textId="77777777"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242686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14:paraId="2854364C" w14:textId="77777777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41B3D3A8" w14:textId="77777777"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D41A98">
        <w:rPr>
          <w:b/>
          <w:sz w:val="24"/>
          <w:szCs w:val="24"/>
        </w:rPr>
        <w:t>24 września</w:t>
      </w:r>
      <w:r w:rsidRPr="00763A7F">
        <w:rPr>
          <w:b/>
          <w:sz w:val="24"/>
          <w:szCs w:val="24"/>
        </w:rPr>
        <w:t xml:space="preserve"> </w:t>
      </w:r>
      <w:r w:rsidR="00242686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242686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D41A98">
        <w:rPr>
          <w:b/>
          <w:sz w:val="24"/>
          <w:szCs w:val="24"/>
        </w:rPr>
        <w:t>10</w:t>
      </w:r>
      <w:r w:rsidRPr="00763A7F">
        <w:rPr>
          <w:b/>
          <w:sz w:val="24"/>
          <w:szCs w:val="24"/>
        </w:rPr>
        <w:t xml:space="preserve"> </w:t>
      </w:r>
      <w:r w:rsidR="00D41A98">
        <w:rPr>
          <w:b/>
          <w:sz w:val="24"/>
          <w:szCs w:val="24"/>
        </w:rPr>
        <w:t>października</w:t>
      </w:r>
      <w:r w:rsidRPr="00763A7F">
        <w:rPr>
          <w:b/>
          <w:sz w:val="24"/>
          <w:szCs w:val="24"/>
        </w:rPr>
        <w:t xml:space="preserve"> 201</w:t>
      </w:r>
      <w:r w:rsidR="00242686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14:paraId="2ACBA9E7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6241BC89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6D44A2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0EEAC7C3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5FFE3E35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37A56433" w14:textId="77777777" w:rsidR="00763A7F" w:rsidRPr="00763A7F" w:rsidRDefault="003C1810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="00763A7F" w:rsidRPr="00763A7F">
        <w:rPr>
          <w:rFonts w:asciiTheme="minorHAnsi" w:hAnsiTheme="minorHAnsi"/>
          <w:b/>
          <w:bCs/>
        </w:rPr>
        <w:lastRenderedPageBreak/>
        <w:t>Sposób i miejsce udostępnienia regulaminu konkursu:</w:t>
      </w:r>
    </w:p>
    <w:p w14:paraId="5F01D669" w14:textId="77777777" w:rsidR="00763A7F" w:rsidRPr="00767B2B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23552F">
        <w:rPr>
          <w:rFonts w:cs="Calibri"/>
          <w:sz w:val="24"/>
          <w:szCs w:val="24"/>
        </w:rPr>
        <w:t xml:space="preserve">,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cs="Calibri"/>
          <w:color w:val="auto"/>
          <w:sz w:val="24"/>
          <w:szCs w:val="24"/>
          <w:u w:val="none"/>
        </w:rPr>
        <w:t xml:space="preserve"> oraz na stronie ZIT </w:t>
      </w:r>
      <w:r w:rsidR="00767B2B">
        <w:rPr>
          <w:rStyle w:val="Hipercze"/>
          <w:rFonts w:cs="Calibri"/>
          <w:color w:val="auto"/>
          <w:sz w:val="24"/>
          <w:szCs w:val="24"/>
          <w:u w:val="none"/>
        </w:rPr>
        <w:t>AJ</w:t>
      </w:r>
      <w:r w:rsidR="0023552F" w:rsidRPr="0023552F">
        <w:rPr>
          <w:rStyle w:val="tabulatory"/>
          <w:rFonts w:eastAsia="Calibri" w:cs="Arial"/>
          <w:sz w:val="24"/>
          <w:szCs w:val="24"/>
        </w:rPr>
        <w:t xml:space="preserve"> </w:t>
      </w:r>
      <w:hyperlink r:id="rId13" w:history="1">
        <w:r w:rsidR="00767B2B" w:rsidRPr="00767B2B">
          <w:rPr>
            <w:rStyle w:val="Hipercze"/>
            <w:rFonts w:eastAsia="Calibri" w:cs="Arial"/>
            <w:color w:val="auto"/>
            <w:sz w:val="24"/>
            <w:szCs w:val="24"/>
            <w:u w:val="none"/>
          </w:rPr>
          <w:t>www.zitaj.jeleniagora.pl</w:t>
        </w:r>
      </w:hyperlink>
      <w:r w:rsidR="00767B2B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14:paraId="648B6AD6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38E74C6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1B22B263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14:paraId="1D224D5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EC7D" w14:textId="77777777" w:rsidR="00343BC6" w:rsidRDefault="00343BC6" w:rsidP="00E873C4">
      <w:pPr>
        <w:spacing w:after="0" w:line="240" w:lineRule="auto"/>
      </w:pPr>
      <w:r>
        <w:separator/>
      </w:r>
    </w:p>
  </w:endnote>
  <w:endnote w:type="continuationSeparator" w:id="0">
    <w:p w14:paraId="058FAD68" w14:textId="77777777" w:rsidR="00343BC6" w:rsidRDefault="00343BC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14:paraId="2B256ADD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817AB9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DA9F" w14:textId="77777777" w:rsidR="00343BC6" w:rsidRDefault="00343BC6" w:rsidP="00E873C4">
      <w:pPr>
        <w:spacing w:after="0" w:line="240" w:lineRule="auto"/>
      </w:pPr>
      <w:r>
        <w:separator/>
      </w:r>
    </w:p>
  </w:footnote>
  <w:footnote w:type="continuationSeparator" w:id="0">
    <w:p w14:paraId="6DB693B8" w14:textId="77777777" w:rsidR="00343BC6" w:rsidRDefault="00343BC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20"/>
    <w:multiLevelType w:val="hybridMultilevel"/>
    <w:tmpl w:val="315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13"/>
  </w:num>
  <w:num w:numId="8">
    <w:abstractNumId w:val="4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7"/>
  </w:num>
  <w:num w:numId="19">
    <w:abstractNumId w:val="12"/>
  </w:num>
  <w:num w:numId="20">
    <w:abstractNumId w:val="20"/>
  </w:num>
  <w:num w:numId="21">
    <w:abstractNumId w:val="19"/>
  </w:num>
  <w:num w:numId="22">
    <w:abstractNumId w:val="2"/>
  </w:num>
  <w:num w:numId="23">
    <w:abstractNumId w:val="16"/>
  </w:num>
  <w:num w:numId="24">
    <w:abstractNumId w:val="21"/>
  </w:num>
  <w:num w:numId="25">
    <w:abstractNumId w:val="8"/>
  </w:num>
  <w:num w:numId="26">
    <w:abstractNumId w:val="15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7A10"/>
    <w:rsid w:val="000A0974"/>
    <w:rsid w:val="000A59C8"/>
    <w:rsid w:val="000A5A8B"/>
    <w:rsid w:val="000A68B2"/>
    <w:rsid w:val="000B2FB4"/>
    <w:rsid w:val="000C10A2"/>
    <w:rsid w:val="000C47BE"/>
    <w:rsid w:val="000C5E84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2686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3BC6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1810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02CF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1170"/>
    <w:rsid w:val="005E2E99"/>
    <w:rsid w:val="005E3357"/>
    <w:rsid w:val="005E659B"/>
    <w:rsid w:val="005E776A"/>
    <w:rsid w:val="005F65D9"/>
    <w:rsid w:val="00600EB8"/>
    <w:rsid w:val="00604677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44A2"/>
    <w:rsid w:val="006D7C1A"/>
    <w:rsid w:val="006E3C3F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0CFC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089E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2550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B19CD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7E53"/>
    <w:rsid w:val="00D34029"/>
    <w:rsid w:val="00D34BB5"/>
    <w:rsid w:val="00D40D40"/>
    <w:rsid w:val="00D41A98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B0D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42139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53A8A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29DC7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aj.jeleniago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A907-8EB2-40E6-97A1-58BAA67E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38</cp:revision>
  <cp:lastPrinted>2019-08-19T07:58:00Z</cp:lastPrinted>
  <dcterms:created xsi:type="dcterms:W3CDTF">2017-10-05T02:01:00Z</dcterms:created>
  <dcterms:modified xsi:type="dcterms:W3CDTF">2019-08-19T07:58:00Z</dcterms:modified>
</cp:coreProperties>
</file>