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6D" w:rsidRDefault="00B4357D">
      <w:pPr>
        <w:rPr>
          <w:i/>
          <w:sz w:val="24"/>
          <w:szCs w:val="24"/>
        </w:rPr>
      </w:pPr>
      <w:bookmarkStart w:id="0" w:name="_GoBack"/>
      <w:bookmarkEnd w:id="0"/>
      <w:r>
        <w:rPr>
          <w:sz w:val="24"/>
          <w:szCs w:val="24"/>
        </w:rPr>
        <w:t>Załącznik nr 1</w:t>
      </w:r>
      <w:r w:rsidR="001265E5" w:rsidRPr="001265E5">
        <w:rPr>
          <w:sz w:val="24"/>
          <w:szCs w:val="24"/>
        </w:rPr>
        <w:t xml:space="preserve"> </w:t>
      </w:r>
      <w:r w:rsidR="001265E5" w:rsidRPr="001265E5">
        <w:rPr>
          <w:i/>
          <w:sz w:val="24"/>
          <w:szCs w:val="24"/>
        </w:rPr>
        <w:t>Słownik głównych pojęć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11377"/>
      </w:tblGrid>
      <w:tr w:rsidR="00253BD1" w:rsidRPr="001565F7" w:rsidTr="0077284D">
        <w:trPr>
          <w:trHeight w:val="600"/>
        </w:trPr>
        <w:tc>
          <w:tcPr>
            <w:tcW w:w="2710" w:type="dxa"/>
            <w:shd w:val="clear" w:color="auto" w:fill="CCC0D9"/>
            <w:noWrap/>
            <w:vAlign w:val="center"/>
            <w:hideMark/>
          </w:tcPr>
          <w:p w:rsidR="0063091A" w:rsidRPr="0077284D" w:rsidRDefault="0063091A" w:rsidP="00253BD1">
            <w:pPr>
              <w:spacing w:before="120" w:after="120" w:line="240" w:lineRule="auto"/>
              <w:jc w:val="center"/>
              <w:rPr>
                <w:rFonts w:asciiTheme="minorHAnsi" w:hAnsiTheme="minorHAnsi" w:cstheme="minorHAnsi"/>
                <w:b/>
                <w:bCs/>
              </w:rPr>
            </w:pPr>
            <w:r w:rsidRPr="0077284D">
              <w:rPr>
                <w:rFonts w:asciiTheme="minorHAnsi" w:hAnsiTheme="minorHAnsi" w:cstheme="minorHAnsi"/>
                <w:b/>
                <w:bCs/>
              </w:rPr>
              <w:t>Pojęcie</w:t>
            </w:r>
          </w:p>
        </w:tc>
        <w:tc>
          <w:tcPr>
            <w:tcW w:w="12184" w:type="dxa"/>
            <w:shd w:val="clear" w:color="auto" w:fill="CCC0D9"/>
            <w:noWrap/>
            <w:vAlign w:val="center"/>
            <w:hideMark/>
          </w:tcPr>
          <w:p w:rsidR="0063091A" w:rsidRPr="0077284D" w:rsidRDefault="0063091A" w:rsidP="00253BD1">
            <w:pPr>
              <w:spacing w:before="120" w:after="120" w:line="240" w:lineRule="auto"/>
              <w:jc w:val="center"/>
              <w:rPr>
                <w:rFonts w:asciiTheme="minorHAnsi" w:hAnsiTheme="minorHAnsi" w:cstheme="minorHAnsi"/>
                <w:b/>
                <w:bCs/>
              </w:rPr>
            </w:pPr>
            <w:r w:rsidRPr="0077284D">
              <w:rPr>
                <w:rFonts w:asciiTheme="minorHAnsi" w:hAnsiTheme="minorHAnsi" w:cstheme="minorHAnsi"/>
                <w:b/>
                <w:bCs/>
              </w:rPr>
              <w:t>Definicja</w:t>
            </w:r>
          </w:p>
        </w:tc>
      </w:tr>
      <w:tr w:rsidR="00253BD1" w:rsidRPr="001565F7" w:rsidTr="0077284D">
        <w:trPr>
          <w:trHeight w:val="1266"/>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pracująca</w:t>
            </w:r>
          </w:p>
        </w:tc>
        <w:tc>
          <w:tcPr>
            <w:tcW w:w="12184" w:type="dxa"/>
            <w:shd w:val="clear" w:color="auto" w:fill="auto"/>
            <w:hideMark/>
          </w:tcPr>
          <w:p w:rsidR="00366DC0"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Osoba w wieku 15 lat i więcej, która wykonuje pracę, za którą otrzymuje wynagrodzenie, z której czerpie zyski lub korzyści rodzinne lub osoba posiadająca zatrudnienie lub własną działalność, która jednak chwilowo nie prac</w:t>
            </w:r>
            <w:r w:rsidR="00197F44" w:rsidRPr="0077284D">
              <w:rPr>
                <w:rFonts w:asciiTheme="minorHAnsi" w:hAnsiTheme="minorHAnsi" w:cstheme="minorHAnsi"/>
              </w:rPr>
              <w:t>uje</w:t>
            </w:r>
            <w:r w:rsidRPr="0077284D">
              <w:rPr>
                <w:rFonts w:asciiTheme="minorHAnsi" w:hAnsiTheme="minorHAnsi" w:cstheme="minorHAnsi"/>
              </w:rPr>
              <w:t xml:space="preserve"> ze względu na np. chorobę, urlop, spór pracowniczy czy kształcenie się lub szkolenie.</w:t>
            </w:r>
            <w:r w:rsidR="00366DC0" w:rsidRPr="0077284D">
              <w:rPr>
                <w:rFonts w:asciiTheme="minorHAnsi" w:hAnsiTheme="minorHAnsi" w:cstheme="minorHAnsi"/>
              </w:rPr>
              <w:t xml:space="preserve"> </w:t>
            </w:r>
          </w:p>
          <w:p w:rsidR="00366DC0"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u w:val="single"/>
              </w:rPr>
              <w:t>Osoba prowadząca działalność na własny rachunek</w:t>
            </w:r>
            <w:r w:rsidRPr="0077284D">
              <w:rPr>
                <w:rFonts w:asciiTheme="minorHAnsi" w:hAnsiTheme="minorHAnsi" w:cstheme="minorHAnsi"/>
              </w:rPr>
              <w:t xml:space="preserve"> – prowadząca działalność gospodarczą, gospodarstwo rolne lub praktykę zawodową - jest również uznawana za pracującą, o ile spełniony jest jeden z poniższych warunków:</w:t>
            </w:r>
            <w:r w:rsidR="00366DC0" w:rsidRPr="0077284D">
              <w:rPr>
                <w:rFonts w:asciiTheme="minorHAnsi" w:hAnsiTheme="minorHAnsi" w:cstheme="minorHAnsi"/>
              </w:rPr>
              <w:t xml:space="preserve"> </w:t>
            </w:r>
          </w:p>
          <w:p w:rsidR="00366DC0" w:rsidRPr="0077284D" w:rsidRDefault="0063091A" w:rsidP="0077284D">
            <w:pPr>
              <w:pStyle w:val="Akapitzlist"/>
              <w:numPr>
                <w:ilvl w:val="0"/>
                <w:numId w:val="11"/>
              </w:numPr>
              <w:spacing w:after="120" w:line="240" w:lineRule="auto"/>
              <w:ind w:left="714" w:hanging="357"/>
              <w:contextualSpacing w:val="0"/>
              <w:jc w:val="both"/>
              <w:rPr>
                <w:rFonts w:asciiTheme="minorHAnsi" w:hAnsiTheme="minorHAnsi" w:cstheme="minorHAnsi"/>
              </w:rPr>
            </w:pPr>
            <w:r w:rsidRPr="0077284D">
              <w:rPr>
                <w:rFonts w:asciiTheme="minorHAnsi" w:hAnsiTheme="minorHAnsi" w:cstheme="minorHAnsi"/>
              </w:rPr>
              <w:t>Osoba pracuje w swojej działalności, praktyce zawodowej lub gospodarstwie rolnym w celu uzyskania dochodu, nawet jeżeli przedsiębiorstwo nie osiąga zysków.</w:t>
            </w:r>
            <w:r w:rsidR="00366DC0" w:rsidRPr="0077284D">
              <w:rPr>
                <w:rFonts w:asciiTheme="minorHAnsi" w:hAnsiTheme="minorHAnsi" w:cstheme="minorHAnsi"/>
              </w:rPr>
              <w:t xml:space="preserve"> </w:t>
            </w:r>
          </w:p>
          <w:p w:rsidR="00366DC0" w:rsidRPr="0077284D" w:rsidRDefault="0063091A" w:rsidP="0077284D">
            <w:pPr>
              <w:pStyle w:val="Akapitzlist"/>
              <w:numPr>
                <w:ilvl w:val="0"/>
                <w:numId w:val="11"/>
              </w:numPr>
              <w:spacing w:after="120" w:line="240" w:lineRule="auto"/>
              <w:ind w:left="714" w:hanging="357"/>
              <w:contextualSpacing w:val="0"/>
              <w:jc w:val="both"/>
              <w:rPr>
                <w:rFonts w:asciiTheme="minorHAnsi" w:hAnsiTheme="minorHAnsi" w:cstheme="minorHAnsi"/>
              </w:rPr>
            </w:pPr>
            <w:r w:rsidRPr="0077284D">
              <w:rPr>
                <w:rFonts w:asciiTheme="minorHAnsi" w:hAnsiTheme="minorHAnsi" w:cstheme="minorHAnsi"/>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366DC0" w:rsidRPr="0077284D" w:rsidRDefault="0063091A" w:rsidP="0077284D">
            <w:pPr>
              <w:pStyle w:val="Akapitzlist"/>
              <w:numPr>
                <w:ilvl w:val="0"/>
                <w:numId w:val="11"/>
              </w:numPr>
              <w:spacing w:after="120" w:line="240" w:lineRule="auto"/>
              <w:ind w:left="714" w:hanging="357"/>
              <w:contextualSpacing w:val="0"/>
              <w:jc w:val="both"/>
              <w:rPr>
                <w:rFonts w:asciiTheme="minorHAnsi" w:hAnsiTheme="minorHAnsi" w:cstheme="minorHAnsi"/>
              </w:rPr>
            </w:pPr>
            <w:r w:rsidRPr="0077284D">
              <w:rPr>
                <w:rFonts w:asciiTheme="minorHAnsi" w:hAnsiTheme="minorHAnsi" w:cstheme="minorHAnsi"/>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366DC0"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u w:val="single"/>
              </w:rPr>
              <w:t>Bezpłatnie pomagający osobie prowadzącej działalność członek rodziny</w:t>
            </w:r>
            <w:r w:rsidRPr="0077284D">
              <w:rPr>
                <w:rFonts w:asciiTheme="minorHAnsi" w:hAnsiTheme="minorHAnsi" w:cstheme="minorHAnsi"/>
              </w:rPr>
              <w:t xml:space="preserve"> uznawany jest za „osobę prowadzącą działalność na własny rachunek”.</w:t>
            </w:r>
            <w:r w:rsidRPr="0077284D">
              <w:rPr>
                <w:rFonts w:asciiTheme="minorHAnsi" w:hAnsiTheme="minorHAnsi" w:cstheme="minorHAnsi"/>
              </w:rPr>
              <w:br/>
            </w:r>
            <w:r w:rsidRPr="0077284D">
              <w:rPr>
                <w:rFonts w:asciiTheme="minorHAnsi" w:hAnsiTheme="minorHAnsi" w:cstheme="minorHAnsi"/>
                <w:u w:val="single"/>
              </w:rPr>
              <w:t>Żołnierz poborowy</w:t>
            </w:r>
            <w:r w:rsidRPr="0077284D">
              <w:rPr>
                <w:rFonts w:asciiTheme="minorHAnsi" w:hAnsiTheme="minorHAnsi" w:cstheme="minorHAnsi"/>
              </w:rPr>
              <w:t>, który wykon</w:t>
            </w:r>
            <w:r w:rsidR="00197F44" w:rsidRPr="0077284D">
              <w:rPr>
                <w:rFonts w:asciiTheme="minorHAnsi" w:hAnsiTheme="minorHAnsi" w:cstheme="minorHAnsi"/>
              </w:rPr>
              <w:t>uje</w:t>
            </w:r>
            <w:r w:rsidRPr="0077284D">
              <w:rPr>
                <w:rFonts w:asciiTheme="minorHAnsi" w:hAnsiTheme="minorHAnsi" w:cstheme="minorHAnsi"/>
              </w:rPr>
              <w:t xml:space="preserve"> określoną pracę, za którą otrzym</w:t>
            </w:r>
            <w:r w:rsidR="00197F44" w:rsidRPr="0077284D">
              <w:rPr>
                <w:rFonts w:asciiTheme="minorHAnsi" w:hAnsiTheme="minorHAnsi" w:cstheme="minorHAnsi"/>
              </w:rPr>
              <w:t>uje</w:t>
            </w:r>
            <w:r w:rsidRPr="0077284D">
              <w:rPr>
                <w:rFonts w:asciiTheme="minorHAnsi" w:hAnsiTheme="minorHAnsi" w:cstheme="minorHAnsi"/>
              </w:rPr>
              <w:t xml:space="preserve"> wynagrodzenie lub innego rodzaju zysk nie jest uznawany za "osobę pracującą"</w:t>
            </w:r>
            <w:r w:rsidR="00197F44" w:rsidRPr="0077284D">
              <w:rPr>
                <w:rStyle w:val="Odwoanieprzypisudolnego"/>
                <w:rFonts w:asciiTheme="minorHAnsi" w:hAnsiTheme="minorHAnsi" w:cstheme="minorHAnsi"/>
              </w:rPr>
              <w:footnoteReference w:id="1"/>
            </w:r>
            <w:r w:rsidRPr="0077284D">
              <w:rPr>
                <w:rFonts w:asciiTheme="minorHAnsi" w:hAnsiTheme="minorHAnsi" w:cstheme="minorHAnsi"/>
              </w:rPr>
              <w:t>.</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u w:val="single"/>
              </w:rPr>
              <w:t>Osoba przebywająca na urlopie macierzyńskim/ rodzicielskim</w:t>
            </w:r>
            <w:r w:rsidRPr="0077284D">
              <w:rPr>
                <w:rFonts w:asciiTheme="minorHAnsi" w:hAnsiTheme="minorHAnsi" w:cstheme="minorHAnsi"/>
              </w:rPr>
              <w:t xml:space="preserve"> (rozumianym jako świadczenie pracownicze, który zapewnia płatny lub bezpłatny czas wolny od pracy do momentu porodu i obejmuje późniejszą krótkoterminową opiekę nad dzieckiem) jest uznawany za „osobę pracującą”.</w:t>
            </w:r>
          </w:p>
          <w:p w:rsidR="00366DC0"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u w:val="single"/>
              </w:rPr>
              <w:lastRenderedPageBreak/>
              <w:t>Osoba przebywająca na urlopie wychowawczym</w:t>
            </w:r>
            <w:r w:rsidRPr="0077284D">
              <w:rPr>
                <w:rFonts w:asciiTheme="minorHAnsi" w:hAnsiTheme="minorHAnsi" w:cstheme="minorHAnsi"/>
              </w:rPr>
              <w:t xml:space="preserve"> (rozumianym jako nieobecność w pracy, spowodowaną opieką nad dzieckiem w okresie, który nie mieści się w ramach urlopu macierzyńskiego lub rodzicielskiego) jest uznawana za „osobę bierną zawodowo”, chyba że jest zarejestrowana już jako „osoba bezrobotna” (wówczas status bezrobotnego ma pierwszeństwo).</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„Zatrudnienie subsydiowane” jest uznawane za "zatrudnienie”. Należy je rozumieć jako zachętę do zatrudnienia zgodnie z d</w:t>
            </w:r>
            <w:r w:rsidR="00677024" w:rsidRPr="0077284D">
              <w:rPr>
                <w:rFonts w:asciiTheme="minorHAnsi" w:hAnsiTheme="minorHAnsi" w:cstheme="minorHAnsi"/>
              </w:rPr>
              <w:t>efinicjami Polityki Rynku Pracy: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917859" w:rsidRPr="0077284D" w:rsidRDefault="00917859" w:rsidP="00917859">
            <w:pPr>
              <w:spacing w:before="120" w:after="120" w:line="240" w:lineRule="auto"/>
              <w:jc w:val="both"/>
              <w:rPr>
                <w:rFonts w:asciiTheme="minorHAnsi" w:hAnsiTheme="minorHAnsi" w:cstheme="minorHAnsi"/>
              </w:rPr>
            </w:pPr>
            <w:r w:rsidRPr="0077284D">
              <w:rPr>
                <w:rFonts w:asciiTheme="minorHAnsi" w:hAnsiTheme="minorHAnsi" w:cstheme="minorHAnsi"/>
              </w:rPr>
              <w:t>Status na rynku pracy jest określany w dniu rozpoczęcia uczestnictwa w projekcie.</w:t>
            </w:r>
          </w:p>
          <w:p w:rsidR="00917859" w:rsidRPr="0077284D" w:rsidRDefault="00917859" w:rsidP="00917859">
            <w:pPr>
              <w:spacing w:before="120" w:after="120" w:line="240" w:lineRule="auto"/>
              <w:jc w:val="both"/>
              <w:rPr>
                <w:rFonts w:asciiTheme="minorHAnsi" w:hAnsiTheme="minorHAnsi" w:cstheme="minorHAnsi"/>
              </w:rPr>
            </w:pPr>
            <w:r w:rsidRPr="0077284D">
              <w:rPr>
                <w:rFonts w:asciiTheme="minorHAnsi" w:hAnsiTheme="minorHAnsi" w:cstheme="minorHAnsi"/>
              </w:rPr>
              <w:t>Studenci studiów stacjonarnych, którzy są zatrudnieni (również na część etatu) powinni być wykazywani jako osoby pracujące.</w:t>
            </w:r>
          </w:p>
          <w:p w:rsidR="00917859" w:rsidRPr="0077284D" w:rsidRDefault="00917859" w:rsidP="00917859">
            <w:pPr>
              <w:spacing w:before="120" w:after="120" w:line="240" w:lineRule="auto"/>
              <w:jc w:val="both"/>
              <w:rPr>
                <w:rFonts w:asciiTheme="minorHAnsi" w:hAnsiTheme="minorHAnsi" w:cstheme="minorHAnsi"/>
              </w:rPr>
            </w:pPr>
            <w:r w:rsidRPr="0077284D">
              <w:rPr>
                <w:rFonts w:asciiTheme="minorHAnsi" w:hAnsiTheme="minorHAnsi" w:cstheme="minorHAnsi"/>
              </w:rPr>
              <w:t>Osoby przebywające na urlopie rodzicielskim lub wychowawczym w przypadku, gdy jednocześnie pracują w niepełnym wymiarze czasu, uznawane są za osoby pracujące.</w:t>
            </w:r>
          </w:p>
        </w:tc>
      </w:tr>
      <w:tr w:rsidR="00253BD1" w:rsidRPr="001565F7" w:rsidTr="0077284D">
        <w:trPr>
          <w:trHeight w:val="15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Migrant, osoba obcego pochodzenia, mniejszości (w tym społeczności zmarginalizowane takie jak Romowie)</w:t>
            </w:r>
          </w:p>
        </w:tc>
        <w:tc>
          <w:tcPr>
            <w:tcW w:w="12184" w:type="dxa"/>
            <w:shd w:val="clear" w:color="auto" w:fill="auto"/>
            <w:hideMark/>
          </w:tcPr>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Cudzoziemcy na stale mieszkający w danym państwie, obywatele obcego pochodzenia lub obywatele należący do mniejszości.</w:t>
            </w:r>
            <w:r w:rsidRPr="0077284D">
              <w:rPr>
                <w:rFonts w:asciiTheme="minorHAnsi" w:hAnsiTheme="minorHAnsi" w:cstheme="minorHAnsi"/>
              </w:rPr>
              <w:br/>
              <w:t>Zgodnie z prawem krajowym mniejszości narodowe to mniejszość: białoruska, czeska, litewska, niemiecka, ormiańska, rosyjska, słowacka, ukraińska, żydowska.</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u w:val="single"/>
              </w:rPr>
              <w:t>Mniejszości etniczne</w:t>
            </w:r>
            <w:r w:rsidRPr="0077284D">
              <w:rPr>
                <w:rFonts w:asciiTheme="minorHAnsi" w:hAnsiTheme="minorHAnsi" w:cstheme="minorHAnsi"/>
              </w:rPr>
              <w:t>: karaimska, łemkowska, romska, tatarska.</w:t>
            </w:r>
            <w:r w:rsidR="00677024" w:rsidRPr="0077284D">
              <w:rPr>
                <w:rFonts w:asciiTheme="minorHAnsi" w:hAnsiTheme="minorHAnsi" w:cstheme="minorHAnsi"/>
              </w:rPr>
              <w:t xml:space="preserve"> </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u w:val="single"/>
              </w:rPr>
              <w:t>Osoby obcego pochodzenia</w:t>
            </w:r>
            <w:r w:rsidRPr="0077284D">
              <w:rPr>
                <w:rFonts w:asciiTheme="minorHAnsi" w:hAnsiTheme="minorHAnsi" w:cstheme="minorHAnsi"/>
              </w:rPr>
              <w:t xml:space="preserve"> to cudzoziemcy - każda osoba, która nie posiada polskiego obywatelstwa, bez względu na fakt posiadania lub nie obywatelstwa (obywatelstw) innych krajów lub osoba, której co najmniej jeden z rodziców urodził się poza terenem Polski. </w:t>
            </w:r>
          </w:p>
        </w:tc>
      </w:tr>
      <w:tr w:rsidR="00253BD1" w:rsidRPr="001565F7" w:rsidTr="0077284D">
        <w:trPr>
          <w:trHeight w:val="6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pochodząca z obszarów wiejskich</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Osoba przebywające na obszarach słabo zaludnionych zgodnie ze stopniem urbanizacji (DEGURBA kategoria 3). Obszary słabo zaludnione to obszary, na których więcej niż 50% populacji zamieszkuje tereny wiejskie.</w:t>
            </w:r>
          </w:p>
        </w:tc>
      </w:tr>
      <w:tr w:rsidR="00253BD1" w:rsidRPr="001565F7" w:rsidTr="0077284D">
        <w:trPr>
          <w:trHeight w:val="6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Przedsiębiorstwo</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Podmiot prowadzący działalność gospodarczą bez względu na jego formę prawną. Do podmiotu prowadzącego działalność gospodarczą zalicza się również przedsiębiorstwo spółdzielcze i przedsiębiorstwo ekonomii społecznej.</w:t>
            </w:r>
          </w:p>
        </w:tc>
      </w:tr>
      <w:tr w:rsidR="00253BD1" w:rsidRPr="001565F7" w:rsidTr="0077284D">
        <w:trPr>
          <w:trHeight w:val="6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Mikroprzedsiębiorstwo</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Przedsiębiorstwo zatrudniające mniej niż 10 pracowników, którego roczny obrót i/lub roczna suma bilansowa nie przekraczają 2 milionów EUR. W kategorii mikroprzedsiębiorstwa należy uwzględnić również osoby prowadzące działalność na własny rachunek.</w:t>
            </w:r>
          </w:p>
        </w:tc>
      </w:tr>
      <w:tr w:rsidR="00253BD1" w:rsidRPr="001565F7" w:rsidTr="0077284D">
        <w:trPr>
          <w:trHeight w:val="300"/>
        </w:trPr>
        <w:tc>
          <w:tcPr>
            <w:tcW w:w="2710" w:type="dxa"/>
            <w:shd w:val="clear" w:color="auto" w:fill="auto"/>
            <w:noWrap/>
            <w:vAlign w:val="center"/>
            <w:hideMark/>
          </w:tcPr>
          <w:p w:rsidR="0063091A" w:rsidRPr="0077284D" w:rsidRDefault="00677024" w:rsidP="00253BD1">
            <w:pPr>
              <w:spacing w:before="120" w:after="120" w:line="240" w:lineRule="auto"/>
              <w:rPr>
                <w:rFonts w:asciiTheme="minorHAnsi" w:hAnsiTheme="minorHAnsi" w:cstheme="minorHAnsi"/>
                <w:b/>
                <w:bCs/>
              </w:rPr>
            </w:pPr>
            <w:r w:rsidRPr="0077284D">
              <w:rPr>
                <w:rFonts w:asciiTheme="minorHAnsi" w:hAnsiTheme="minorHAnsi" w:cstheme="minorHAnsi"/>
                <w:b/>
                <w:bCs/>
              </w:rPr>
              <w:t>Małe przedsię</w:t>
            </w:r>
            <w:r w:rsidR="0063091A" w:rsidRPr="0077284D">
              <w:rPr>
                <w:rFonts w:asciiTheme="minorHAnsi" w:hAnsiTheme="minorHAnsi" w:cstheme="minorHAnsi"/>
                <w:b/>
                <w:bCs/>
              </w:rPr>
              <w:t>biorstwo</w:t>
            </w:r>
          </w:p>
        </w:tc>
        <w:tc>
          <w:tcPr>
            <w:tcW w:w="12184" w:type="dxa"/>
            <w:shd w:val="clear" w:color="auto" w:fill="auto"/>
            <w:noWrap/>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Przedsiębiorstwo zatrudniające mniej niż 50 pracowników, którego roczny obrót i/lub roczna suma bilansowa nie przekraczają 10 milionów EUR</w:t>
            </w:r>
          </w:p>
        </w:tc>
      </w:tr>
      <w:tr w:rsidR="00253BD1" w:rsidRPr="001565F7" w:rsidTr="0077284D">
        <w:trPr>
          <w:trHeight w:val="3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Średnie przedsiębiorstwo</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Przedsiębiorstwa, które zatrudniają mniej niż 250 pracowników, których roczny obrót nie przekracza 50 milionów EUR i/lub roczna suma bilansowa nie przekracza 43 milionów EUR</w:t>
            </w:r>
          </w:p>
        </w:tc>
      </w:tr>
      <w:tr w:rsidR="00253BD1" w:rsidRPr="001565F7" w:rsidTr="0077284D">
        <w:trPr>
          <w:trHeight w:val="3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 xml:space="preserve">Duże przedsiębiorstwo </w:t>
            </w:r>
          </w:p>
        </w:tc>
        <w:tc>
          <w:tcPr>
            <w:tcW w:w="12184" w:type="dxa"/>
            <w:shd w:val="clear" w:color="auto" w:fill="auto"/>
            <w:noWrap/>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Oznacza przedsiębiorstwo, które nie kwalifikuje się do żadnej z ww. kategorii przedsiębiorstwa.</w:t>
            </w:r>
          </w:p>
        </w:tc>
      </w:tr>
      <w:tr w:rsidR="00253BD1" w:rsidRPr="001565F7" w:rsidTr="0077284D">
        <w:trPr>
          <w:trHeight w:val="9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Outplacement</w:t>
            </w:r>
          </w:p>
        </w:tc>
        <w:tc>
          <w:tcPr>
            <w:tcW w:w="12184" w:type="dxa"/>
            <w:shd w:val="clear" w:color="auto" w:fill="auto"/>
            <w:hideMark/>
          </w:tcPr>
          <w:p w:rsidR="0063091A" w:rsidRPr="0077284D" w:rsidRDefault="0063091A" w:rsidP="00E203E1">
            <w:pPr>
              <w:spacing w:before="120" w:after="120" w:line="240" w:lineRule="auto"/>
              <w:jc w:val="both"/>
              <w:rPr>
                <w:rFonts w:asciiTheme="minorHAnsi" w:hAnsiTheme="minorHAnsi" w:cstheme="minorHAnsi"/>
              </w:rPr>
            </w:pPr>
            <w:r w:rsidRPr="0077284D">
              <w:rPr>
                <w:rFonts w:asciiTheme="minorHAnsi" w:hAnsiTheme="minorHAnsi" w:cstheme="minorHAnsi"/>
              </w:rPr>
              <w:t>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p>
        </w:tc>
      </w:tr>
      <w:tr w:rsidR="00253BD1" w:rsidRPr="001565F7" w:rsidTr="0077284D">
        <w:trPr>
          <w:trHeight w:val="904"/>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Usługa rozwojowa</w:t>
            </w:r>
          </w:p>
        </w:tc>
        <w:tc>
          <w:tcPr>
            <w:tcW w:w="12184" w:type="dxa"/>
            <w:shd w:val="clear" w:color="auto" w:fill="auto"/>
            <w:hideMark/>
          </w:tcPr>
          <w:p w:rsidR="0063091A" w:rsidRPr="0077284D" w:rsidRDefault="00E203E1" w:rsidP="00253BD1">
            <w:pPr>
              <w:spacing w:before="120" w:after="120" w:line="240" w:lineRule="auto"/>
              <w:jc w:val="both"/>
              <w:rPr>
                <w:rFonts w:asciiTheme="minorHAnsi" w:hAnsiTheme="minorHAnsi" w:cstheme="minorHAnsi"/>
              </w:rPr>
            </w:pPr>
            <w:r w:rsidRPr="0077284D">
              <w:rPr>
                <w:rFonts w:asciiTheme="minorHAnsi" w:hAnsiTheme="minorHAnsi" w:cstheme="minorHAnsi"/>
              </w:rPr>
              <w:t>Usługa mająca na celu nabycie, potwierdzenie lub wzrost wiedzy, umiejętności lub kompetencji społecznych przedsiębiorców i ich pracowników, w tym mająca na celu zdobycie kwalifikacji lub pozwalająca na ich rozwój.</w:t>
            </w:r>
          </w:p>
        </w:tc>
      </w:tr>
      <w:tr w:rsidR="00253BD1" w:rsidRPr="001565F7" w:rsidTr="0077284D">
        <w:trPr>
          <w:trHeight w:val="9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z niepełnosprawnośc</w:t>
            </w:r>
            <w:r w:rsidR="008C7802" w:rsidRPr="0077284D">
              <w:rPr>
                <w:rFonts w:asciiTheme="minorHAnsi" w:hAnsiTheme="minorHAnsi" w:cstheme="minorHAnsi"/>
                <w:b/>
                <w:bCs/>
              </w:rPr>
              <w:t>ią</w:t>
            </w:r>
          </w:p>
        </w:tc>
        <w:tc>
          <w:tcPr>
            <w:tcW w:w="12184" w:type="dxa"/>
            <w:shd w:val="clear" w:color="auto" w:fill="auto"/>
            <w:hideMark/>
          </w:tcPr>
          <w:p w:rsidR="0063091A" w:rsidRPr="0077284D" w:rsidRDefault="00202FC5" w:rsidP="00253BD1">
            <w:pPr>
              <w:spacing w:before="120" w:after="120" w:line="240" w:lineRule="auto"/>
              <w:jc w:val="both"/>
              <w:rPr>
                <w:rFonts w:asciiTheme="minorHAnsi" w:hAnsiTheme="minorHAnsi" w:cstheme="minorHAnsi"/>
              </w:rPr>
            </w:pPr>
            <w:r w:rsidRPr="0077284D">
              <w:rPr>
                <w:rFonts w:asciiTheme="minorHAnsi" w:hAnsiTheme="minorHAnsi" w:cstheme="minorHAnsi"/>
              </w:rPr>
              <w:t>Za o</w:t>
            </w:r>
            <w:r w:rsidR="0063091A" w:rsidRPr="0077284D">
              <w:rPr>
                <w:rFonts w:asciiTheme="minorHAnsi" w:hAnsiTheme="minorHAnsi" w:cstheme="minorHAnsi"/>
              </w:rPr>
              <w:t>sob</w:t>
            </w:r>
            <w:r w:rsidR="00803777" w:rsidRPr="0077284D">
              <w:rPr>
                <w:rFonts w:asciiTheme="minorHAnsi" w:hAnsiTheme="minorHAnsi" w:cstheme="minorHAnsi"/>
              </w:rPr>
              <w:t>y</w:t>
            </w:r>
            <w:r w:rsidRPr="0077284D">
              <w:rPr>
                <w:rFonts w:asciiTheme="minorHAnsi" w:hAnsiTheme="minorHAnsi" w:cstheme="minorHAnsi"/>
              </w:rPr>
              <w:t xml:space="preserve"> z</w:t>
            </w:r>
            <w:r w:rsidR="0063091A" w:rsidRPr="0077284D">
              <w:rPr>
                <w:rFonts w:asciiTheme="minorHAnsi" w:hAnsiTheme="minorHAnsi" w:cstheme="minorHAnsi"/>
              </w:rPr>
              <w:t xml:space="preserve"> niepełnosprawn</w:t>
            </w:r>
            <w:r w:rsidRPr="0077284D">
              <w:rPr>
                <w:rFonts w:asciiTheme="minorHAnsi" w:hAnsiTheme="minorHAnsi" w:cstheme="minorHAnsi"/>
              </w:rPr>
              <w:t>ości</w:t>
            </w:r>
            <w:r w:rsidR="00803777" w:rsidRPr="0077284D">
              <w:rPr>
                <w:rFonts w:asciiTheme="minorHAnsi" w:hAnsiTheme="minorHAnsi" w:cstheme="minorHAnsi"/>
              </w:rPr>
              <w:t>ami</w:t>
            </w:r>
            <w:r w:rsidRPr="0077284D">
              <w:rPr>
                <w:rFonts w:asciiTheme="minorHAnsi" w:hAnsiTheme="minorHAnsi" w:cstheme="minorHAnsi"/>
              </w:rPr>
              <w:t xml:space="preserve"> uznaje się osob</w:t>
            </w:r>
            <w:r w:rsidR="00803777" w:rsidRPr="0077284D">
              <w:rPr>
                <w:rFonts w:asciiTheme="minorHAnsi" w:hAnsiTheme="minorHAnsi" w:cstheme="minorHAnsi"/>
              </w:rPr>
              <w:t>y</w:t>
            </w:r>
            <w:r w:rsidRPr="0077284D">
              <w:rPr>
                <w:rFonts w:asciiTheme="minorHAnsi" w:hAnsiTheme="minorHAnsi" w:cstheme="minorHAnsi"/>
              </w:rPr>
              <w:t xml:space="preserve"> w świetle przepisów</w:t>
            </w:r>
            <w:r w:rsidR="0063091A" w:rsidRPr="0077284D">
              <w:rPr>
                <w:rFonts w:asciiTheme="minorHAnsi" w:hAnsiTheme="minorHAnsi" w:cstheme="minorHAnsi"/>
              </w:rPr>
              <w:t xml:space="preserve">  ustawy z dnia 27 sierpnia 1997 r. o rehabilitacji zawodowej i społecznej oraz zatrudnianiu osób niepełnosprawnych (</w:t>
            </w:r>
            <w:r w:rsidR="00D13EA3" w:rsidRPr="0077284D">
              <w:rPr>
                <w:rFonts w:asciiTheme="minorHAnsi" w:hAnsiTheme="minorHAnsi" w:cstheme="minorHAnsi"/>
              </w:rPr>
              <w:t>Dz. U. z 2018 r. poz. 511 z późn. zm.</w:t>
            </w:r>
            <w:r w:rsidR="0063091A" w:rsidRPr="0077284D">
              <w:rPr>
                <w:rFonts w:asciiTheme="minorHAnsi" w:hAnsiTheme="minorHAnsi" w:cstheme="minorHAnsi"/>
              </w:rPr>
              <w:t>), a także osob</w:t>
            </w:r>
            <w:r w:rsidRPr="0077284D">
              <w:rPr>
                <w:rFonts w:asciiTheme="minorHAnsi" w:hAnsiTheme="minorHAnsi" w:cstheme="minorHAnsi"/>
              </w:rPr>
              <w:t>y</w:t>
            </w:r>
            <w:r w:rsidR="0063091A" w:rsidRPr="0077284D">
              <w:rPr>
                <w:rFonts w:asciiTheme="minorHAnsi" w:hAnsiTheme="minorHAnsi" w:cstheme="minorHAnsi"/>
              </w:rPr>
              <w:t xml:space="preserve"> z zaburzeniami psychicznymi, o których mowa w ustawie z dnia 19 sierpnia 1994 r. o ochronie zdrowia psychicznego (Dz. U. </w:t>
            </w:r>
            <w:r w:rsidR="00F02028" w:rsidRPr="0077284D">
              <w:rPr>
                <w:rFonts w:asciiTheme="minorHAnsi" w:hAnsiTheme="minorHAnsi" w:cstheme="minorHAnsi"/>
              </w:rPr>
              <w:t>2017</w:t>
            </w:r>
            <w:r w:rsidR="0063091A" w:rsidRPr="0077284D">
              <w:rPr>
                <w:rFonts w:asciiTheme="minorHAnsi" w:hAnsiTheme="minorHAnsi" w:cstheme="minorHAnsi"/>
              </w:rPr>
              <w:t xml:space="preserve">  poz. </w:t>
            </w:r>
            <w:r w:rsidR="00F02028" w:rsidRPr="0077284D">
              <w:rPr>
                <w:rFonts w:asciiTheme="minorHAnsi" w:hAnsiTheme="minorHAnsi" w:cstheme="minorHAnsi"/>
              </w:rPr>
              <w:t>882</w:t>
            </w:r>
            <w:r w:rsidRPr="0077284D">
              <w:rPr>
                <w:rFonts w:asciiTheme="minorHAnsi" w:hAnsiTheme="minorHAnsi" w:cstheme="minorHAnsi"/>
              </w:rPr>
              <w:t>, z późn. zm.</w:t>
            </w:r>
            <w:r w:rsidR="0063091A" w:rsidRPr="0077284D">
              <w:rPr>
                <w:rFonts w:asciiTheme="minorHAnsi" w:hAnsiTheme="minorHAnsi" w:cstheme="minorHAnsi"/>
              </w:rPr>
              <w:t>), tj. osob</w:t>
            </w:r>
            <w:r w:rsidRPr="0077284D">
              <w:rPr>
                <w:rFonts w:asciiTheme="minorHAnsi" w:hAnsiTheme="minorHAnsi" w:cstheme="minorHAnsi"/>
              </w:rPr>
              <w:t>y</w:t>
            </w:r>
            <w:r w:rsidR="0063091A" w:rsidRPr="0077284D">
              <w:rPr>
                <w:rFonts w:asciiTheme="minorHAnsi" w:hAnsiTheme="minorHAnsi" w:cstheme="minorHAnsi"/>
              </w:rPr>
              <w:t xml:space="preserve"> z odpowiednim orzeczeniem lub innym dokumentem poświadczającym stan zdrowia</w:t>
            </w:r>
            <w:r w:rsidR="00F02028" w:rsidRPr="0077284D">
              <w:rPr>
                <w:rFonts w:asciiTheme="minorHAnsi" w:hAnsiTheme="minorHAnsi" w:cstheme="minorHAnsi"/>
              </w:rPr>
              <w:t>.</w:t>
            </w:r>
          </w:p>
          <w:p w:rsidR="00F02028" w:rsidRPr="0077284D" w:rsidRDefault="00F02028" w:rsidP="00F02028">
            <w:pPr>
              <w:pStyle w:val="Tekstkomentarza"/>
              <w:spacing w:after="120"/>
              <w:jc w:val="both"/>
              <w:rPr>
                <w:rFonts w:asciiTheme="minorHAnsi" w:hAnsiTheme="minorHAnsi" w:cstheme="minorHAnsi"/>
                <w:sz w:val="22"/>
                <w:szCs w:val="22"/>
              </w:rPr>
            </w:pPr>
            <w:r w:rsidRPr="0077284D">
              <w:rPr>
                <w:rFonts w:asciiTheme="minorHAnsi" w:hAnsiTheme="minorHAnsi" w:cstheme="minorHAnsi"/>
                <w:sz w:val="22"/>
                <w:szCs w:val="22"/>
              </w:rPr>
              <w:t>Potwierdzeniem statusu osoby z niepełnosprawnością jest w szczególności:</w:t>
            </w:r>
          </w:p>
          <w:p w:rsidR="00F02028" w:rsidRPr="0077284D" w:rsidRDefault="00F02028" w:rsidP="00F02028">
            <w:pPr>
              <w:pStyle w:val="Tekstkomentarza"/>
              <w:numPr>
                <w:ilvl w:val="0"/>
                <w:numId w:val="3"/>
              </w:numPr>
              <w:spacing w:after="120"/>
              <w:jc w:val="both"/>
              <w:rPr>
                <w:rFonts w:asciiTheme="minorHAnsi" w:hAnsiTheme="minorHAnsi" w:cstheme="minorHAnsi"/>
                <w:sz w:val="22"/>
                <w:szCs w:val="22"/>
              </w:rPr>
            </w:pPr>
            <w:r w:rsidRPr="0077284D">
              <w:rPr>
                <w:rFonts w:asciiTheme="minorHAnsi" w:hAnsiTheme="minorHAnsi" w:cstheme="minorHAnsi"/>
                <w:sz w:val="22"/>
                <w:szCs w:val="22"/>
              </w:rPr>
              <w:t>orzeczenie o stopniu niepełnosprawności lekkim, umiarkowanym i znacznym,</w:t>
            </w:r>
          </w:p>
          <w:p w:rsidR="00F02028" w:rsidRPr="0077284D" w:rsidRDefault="00F02028" w:rsidP="00F02028">
            <w:pPr>
              <w:pStyle w:val="Tekstkomentarza"/>
              <w:numPr>
                <w:ilvl w:val="0"/>
                <w:numId w:val="3"/>
              </w:numPr>
              <w:spacing w:after="120"/>
              <w:jc w:val="both"/>
              <w:rPr>
                <w:rFonts w:asciiTheme="minorHAnsi" w:hAnsiTheme="minorHAnsi" w:cstheme="minorHAnsi"/>
                <w:sz w:val="22"/>
                <w:szCs w:val="22"/>
              </w:rPr>
            </w:pPr>
            <w:r w:rsidRPr="0077284D">
              <w:rPr>
                <w:rFonts w:asciiTheme="minorHAnsi" w:hAnsiTheme="minorHAnsi" w:cstheme="minorHAnsi"/>
                <w:sz w:val="22"/>
                <w:szCs w:val="22"/>
              </w:rPr>
              <w:t xml:space="preserve">orzeczenie o niepełnosprawności wydane w stosunku do osób, które nie ukończyły 16 roku życia, </w:t>
            </w:r>
          </w:p>
          <w:p w:rsidR="00F02028" w:rsidRPr="0077284D" w:rsidRDefault="00F02028" w:rsidP="00F02028">
            <w:pPr>
              <w:pStyle w:val="Tekstkomentarza"/>
              <w:numPr>
                <w:ilvl w:val="0"/>
                <w:numId w:val="3"/>
              </w:numPr>
              <w:spacing w:after="120"/>
              <w:jc w:val="both"/>
              <w:rPr>
                <w:rFonts w:asciiTheme="minorHAnsi" w:hAnsiTheme="minorHAnsi" w:cstheme="minorHAnsi"/>
                <w:sz w:val="22"/>
                <w:szCs w:val="22"/>
              </w:rPr>
            </w:pPr>
            <w:r w:rsidRPr="0077284D">
              <w:rPr>
                <w:rFonts w:asciiTheme="minorHAnsi" w:hAnsiTheme="minorHAnsi" w:cstheme="minorHAnsi"/>
                <w:sz w:val="22"/>
                <w:szCs w:val="22"/>
              </w:rPr>
              <w:t>orzeczenie o niezdolności do pracy,</w:t>
            </w:r>
          </w:p>
          <w:p w:rsidR="00F02028" w:rsidRPr="0077284D" w:rsidRDefault="00F02028" w:rsidP="00F02028">
            <w:pPr>
              <w:pStyle w:val="Tekstkomentarza"/>
              <w:numPr>
                <w:ilvl w:val="0"/>
                <w:numId w:val="3"/>
              </w:numPr>
              <w:spacing w:after="120"/>
              <w:jc w:val="both"/>
              <w:rPr>
                <w:rFonts w:asciiTheme="minorHAnsi" w:hAnsiTheme="minorHAnsi" w:cstheme="minorHAnsi"/>
                <w:sz w:val="22"/>
                <w:szCs w:val="22"/>
              </w:rPr>
            </w:pPr>
            <w:r w:rsidRPr="0077284D">
              <w:rPr>
                <w:rFonts w:asciiTheme="minorHAnsi" w:hAnsiTheme="minorHAnsi" w:cstheme="minorHAnsi"/>
                <w:sz w:val="22"/>
                <w:szCs w:val="22"/>
              </w:rPr>
              <w:t>orzeczenie o potrzebie kształcenia specjalnego wydane ze względu na dany rodzaj niepełnosprawności,</w:t>
            </w:r>
          </w:p>
          <w:p w:rsidR="00F02028" w:rsidRPr="0077284D" w:rsidRDefault="00F02028" w:rsidP="00F02028">
            <w:pPr>
              <w:pStyle w:val="Tekstkomentarza"/>
              <w:numPr>
                <w:ilvl w:val="0"/>
                <w:numId w:val="3"/>
              </w:numPr>
              <w:spacing w:after="120"/>
              <w:jc w:val="both"/>
              <w:rPr>
                <w:rFonts w:asciiTheme="minorHAnsi" w:hAnsiTheme="minorHAnsi" w:cstheme="minorHAnsi"/>
                <w:sz w:val="22"/>
                <w:szCs w:val="22"/>
              </w:rPr>
            </w:pPr>
            <w:r w:rsidRPr="0077284D">
              <w:rPr>
                <w:rFonts w:asciiTheme="minorHAnsi" w:hAnsiTheme="minorHAnsi" w:cstheme="minorHAnsi"/>
                <w:sz w:val="22"/>
                <w:szCs w:val="22"/>
              </w:rPr>
              <w:lastRenderedPageBreak/>
              <w:t>orzeczenie o potrzebie zajęć rewalidacyjno-wychowawczych wydane ze względu na niepełnosprawność intelektualną w stopniu głębokim,</w:t>
            </w:r>
          </w:p>
          <w:p w:rsidR="00F02028" w:rsidRPr="0077284D" w:rsidRDefault="00F02028" w:rsidP="00F02028">
            <w:pPr>
              <w:pStyle w:val="Tekstkomentarza"/>
              <w:numPr>
                <w:ilvl w:val="0"/>
                <w:numId w:val="3"/>
              </w:numPr>
              <w:spacing w:after="120"/>
              <w:jc w:val="both"/>
              <w:rPr>
                <w:rFonts w:asciiTheme="minorHAnsi" w:hAnsiTheme="minorHAnsi" w:cstheme="minorHAnsi"/>
                <w:sz w:val="22"/>
                <w:szCs w:val="22"/>
              </w:rPr>
            </w:pPr>
            <w:r w:rsidRPr="0077284D">
              <w:rPr>
                <w:rFonts w:asciiTheme="minorHAnsi" w:hAnsiTheme="minorHAnsi" w:cstheme="minorHAnsi"/>
                <w:sz w:val="22"/>
                <w:szCs w:val="22"/>
              </w:rPr>
              <w:t>inne równoważne orzeczenia (KRUS, służby mundurowe itd.),</w:t>
            </w:r>
          </w:p>
          <w:p w:rsidR="00F02028" w:rsidRPr="0077284D" w:rsidRDefault="00F02028" w:rsidP="0077284D">
            <w:pPr>
              <w:pStyle w:val="Tekstkomentarza"/>
              <w:numPr>
                <w:ilvl w:val="0"/>
                <w:numId w:val="3"/>
              </w:numPr>
              <w:spacing w:after="120"/>
              <w:jc w:val="both"/>
              <w:rPr>
                <w:rFonts w:asciiTheme="minorHAnsi" w:hAnsiTheme="minorHAnsi" w:cstheme="minorHAnsi"/>
              </w:rPr>
            </w:pPr>
            <w:r w:rsidRPr="0077284D">
              <w:rPr>
                <w:rFonts w:asciiTheme="minorHAnsi" w:hAnsiTheme="minorHAnsi" w:cstheme="minorHAnsi"/>
                <w:sz w:val="22"/>
                <w:szCs w:val="22"/>
              </w:rPr>
              <w:t>w przypadku osoby z zaburzeniami psychicznymi dokument potwierdzający stan zdrowia wydany przez lekarza, np. orzeczenie o stanie zdrowia lub opinia.</w:t>
            </w:r>
          </w:p>
        </w:tc>
      </w:tr>
      <w:tr w:rsidR="00253BD1" w:rsidRPr="001565F7" w:rsidTr="0077284D">
        <w:trPr>
          <w:trHeight w:val="1185"/>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Partnerzy społeczni</w:t>
            </w:r>
          </w:p>
        </w:tc>
        <w:tc>
          <w:tcPr>
            <w:tcW w:w="12184" w:type="dxa"/>
            <w:shd w:val="clear" w:color="auto" w:fill="auto"/>
            <w:hideMark/>
          </w:tcPr>
          <w:p w:rsidR="00F02028" w:rsidRPr="0077284D" w:rsidRDefault="00F02028" w:rsidP="00F02028">
            <w:pPr>
              <w:spacing w:before="120" w:after="120" w:line="240" w:lineRule="auto"/>
              <w:jc w:val="both"/>
              <w:rPr>
                <w:rFonts w:asciiTheme="minorHAnsi" w:hAnsiTheme="minorHAnsi" w:cstheme="minorHAnsi"/>
              </w:rPr>
            </w:pPr>
            <w:r w:rsidRPr="0077284D">
              <w:rPr>
                <w:rFonts w:asciiTheme="minorHAnsi" w:hAnsiTheme="minorHAnsi" w:cstheme="minorHAnsi"/>
              </w:rPr>
              <w:t>Za partnerów społecznych uważani są przedstawiciele pracodawców i pracowników (organizacji pracodawców i związków zawodowych</w:t>
            </w:r>
            <w:r w:rsidR="0060495E">
              <w:rPr>
                <w:rFonts w:asciiTheme="minorHAnsi" w:hAnsiTheme="minorHAnsi" w:cstheme="minorHAnsi"/>
              </w:rPr>
              <w:t>).</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Reprezentatywne organizacje pracodawców i pracowników w rozumieniu ustawy z dnia 6 lipca 2001 r. o Trójstronnej Komisji do Spraw Społeczno-Gospodarczych i wojewódzkich komisjach dialogu społecznego (Dz. U. Nr 100, poz. 1080, z późn. zm.) oraz branżowe i regionalne organizacje pracodawców i pracowników w rozumieniu ustawy z dnia 23 maja 1991 r. o organizacjach pracodawców (Dz. U. Nr 55, poz. 235, z późn. zm.), ustawy z dnia 22 marca 1989 r. o rzemiośle (Dz. U. z 2002 r. Nr 112, poz. 979, z późn. zm.) i ustawy z dnia 23 maja 1991 r. o związkach zawodowych (Dz. U. z 2014 r. poz. 167)</w:t>
            </w:r>
          </w:p>
        </w:tc>
      </w:tr>
      <w:tr w:rsidR="00253BD1" w:rsidRPr="001565F7" w:rsidTr="0077284D">
        <w:trPr>
          <w:trHeight w:val="123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Organizacja pozarządowa</w:t>
            </w:r>
          </w:p>
        </w:tc>
        <w:tc>
          <w:tcPr>
            <w:tcW w:w="12184" w:type="dxa"/>
            <w:shd w:val="clear" w:color="auto" w:fill="auto"/>
            <w:hideMark/>
          </w:tcPr>
          <w:p w:rsidR="00F02028" w:rsidRPr="0077284D" w:rsidRDefault="00F02028"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Organizacja pozarządowa (NGO) to organizacja założona przez obywateli z własnej inicjatywy, która nie działa dla osiągnięcia zysku i jest zorganizowana na szczeblu lokalnym, krajowym lub międzynarodowym. Organizacje pozarządowe </w:t>
            </w:r>
            <w:r w:rsidR="0060495E" w:rsidRPr="007B2498">
              <w:rPr>
                <w:rFonts w:asciiTheme="minorHAnsi" w:hAnsiTheme="minorHAnsi" w:cstheme="minorHAnsi"/>
              </w:rPr>
              <w:t>–</w:t>
            </w:r>
            <w:r w:rsidRPr="0077284D">
              <w:rPr>
                <w:rFonts w:asciiTheme="minorHAnsi" w:hAnsiTheme="minorHAnsi" w:cstheme="minorHAnsi"/>
              </w:rPr>
              <w:t xml:space="preserve">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Organizacje zdefiniowane w ustawie z dnia 24 kwietnia 2003 r. o działalności pożytku publicznego i o wolontariacie (Dz.U. 2003 nr 96 poz. 873) jako osoby prawne lub jednostki organizacyjne nieposiadające osobowości prawnej, niebędące jednostkami sektora finansów publicznych oraz niedziałające w celu osiągnięcia zysku, w tym fundacje i stowarzyszenia, z wyłączeniem m.in. partii politycznych, związków zawodowych i organizacji pracodawców, samorządów zawodowych, fundacji utworzonych przez partie polityczne</w:t>
            </w:r>
            <w:r w:rsidR="00677024" w:rsidRPr="0077284D">
              <w:rPr>
                <w:rFonts w:asciiTheme="minorHAnsi" w:hAnsiTheme="minorHAnsi" w:cstheme="minorHAnsi"/>
              </w:rPr>
              <w:t>.</w:t>
            </w:r>
          </w:p>
        </w:tc>
      </w:tr>
      <w:tr w:rsidR="00253BD1" w:rsidRPr="001565F7" w:rsidTr="0077284D">
        <w:trPr>
          <w:trHeight w:val="6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Służby publiczne</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Publiczne lub prywatne podmioty, które świadczą usługi publiczne (w przypadku usług publicznych zlecanych przez państwo podmiotom prywatnym lub świadczonych w ramach partnerstwa publiczno-prywatnego)</w:t>
            </w:r>
          </w:p>
        </w:tc>
      </w:tr>
      <w:tr w:rsidR="00253BD1" w:rsidRPr="001565F7" w:rsidTr="0077284D">
        <w:trPr>
          <w:trHeight w:val="600"/>
        </w:trPr>
        <w:tc>
          <w:tcPr>
            <w:tcW w:w="2710" w:type="dxa"/>
            <w:shd w:val="clear" w:color="auto" w:fill="auto"/>
            <w:vAlign w:val="center"/>
            <w:hideMark/>
          </w:tcPr>
          <w:p w:rsidR="0063091A" w:rsidRPr="0077284D" w:rsidRDefault="000B1492" w:rsidP="00253BD1">
            <w:pPr>
              <w:spacing w:before="120" w:after="120" w:line="240" w:lineRule="auto"/>
              <w:rPr>
                <w:rFonts w:asciiTheme="minorHAnsi" w:hAnsiTheme="minorHAnsi" w:cstheme="minorHAnsi"/>
                <w:b/>
                <w:bCs/>
              </w:rPr>
            </w:pPr>
            <w:r w:rsidRPr="0077284D">
              <w:rPr>
                <w:rFonts w:asciiTheme="minorHAnsi" w:hAnsiTheme="minorHAnsi" w:cstheme="minorHAnsi"/>
                <w:b/>
                <w:bCs/>
              </w:rPr>
              <w:t>Koszt</w:t>
            </w:r>
            <w:r w:rsidR="0063091A" w:rsidRPr="0077284D">
              <w:rPr>
                <w:rFonts w:asciiTheme="minorHAnsi" w:hAnsiTheme="minorHAnsi" w:cstheme="minorHAnsi"/>
                <w:b/>
                <w:bCs/>
              </w:rPr>
              <w:t xml:space="preserve"> racjonalnych usprawnień</w:t>
            </w:r>
          </w:p>
        </w:tc>
        <w:tc>
          <w:tcPr>
            <w:tcW w:w="12184" w:type="dxa"/>
            <w:shd w:val="clear" w:color="auto" w:fill="auto"/>
            <w:hideMark/>
          </w:tcPr>
          <w:p w:rsidR="000B1492" w:rsidRPr="0077284D" w:rsidRDefault="000B1492"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Racjonalne usprawnienie oznacza </w:t>
            </w:r>
            <w:r w:rsidR="00803777" w:rsidRPr="0077284D">
              <w:rPr>
                <w:rFonts w:asciiTheme="minorHAnsi" w:hAnsiTheme="minorHAnsi" w:cstheme="minorHAnsi"/>
              </w:rPr>
              <w:t>k</w:t>
            </w:r>
            <w:r w:rsidR="0063091A" w:rsidRPr="0077284D">
              <w:rPr>
                <w:rFonts w:asciiTheme="minorHAnsi" w:hAnsiTheme="minorHAnsi" w:cstheme="minorHAnsi"/>
              </w:rPr>
              <w:t>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r w:rsidRPr="0077284D">
              <w:rPr>
                <w:rFonts w:asciiTheme="minorHAnsi" w:hAnsiTheme="minorHAnsi" w:cstheme="minorHAnsi"/>
              </w:rPr>
              <w:t xml:space="preserve">. Oznacza także możliwość sfinansowania specyficznych działań dostosowawczych, </w:t>
            </w:r>
            <w:r w:rsidRPr="0077284D">
              <w:rPr>
                <w:rFonts w:asciiTheme="minorHAnsi" w:hAnsiTheme="minorHAnsi" w:cstheme="minorHAnsi"/>
              </w:rPr>
              <w:lastRenderedPageBreak/>
              <w:t>uruchamianych wraz z pojawieniem się w projektach realizowanych z polityki spójności (w charakterze uczestnika lub personelu) osoby z niepełnosprawnością.</w:t>
            </w:r>
          </w:p>
          <w:p w:rsidR="0063091A" w:rsidRPr="0077284D" w:rsidRDefault="000B1492" w:rsidP="00253BD1">
            <w:pPr>
              <w:spacing w:before="120" w:after="120" w:line="240" w:lineRule="auto"/>
              <w:jc w:val="both"/>
              <w:rPr>
                <w:rFonts w:asciiTheme="minorHAnsi" w:hAnsiTheme="minorHAnsi" w:cstheme="minorHAnsi"/>
              </w:rPr>
            </w:pPr>
            <w:r w:rsidRPr="0077284D">
              <w:rPr>
                <w:rFonts w:asciiTheme="minorHAnsi" w:hAnsiTheme="minorHAnsi"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tc>
      </w:tr>
      <w:tr w:rsidR="00253BD1" w:rsidRPr="001565F7" w:rsidTr="0077284D">
        <w:trPr>
          <w:trHeight w:val="15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Osoba bezrobotna zarejestrowana w ewidencji urzędów pracy</w:t>
            </w:r>
          </w:p>
        </w:tc>
        <w:tc>
          <w:tcPr>
            <w:tcW w:w="12184" w:type="dxa"/>
            <w:shd w:val="clear" w:color="auto" w:fill="auto"/>
            <w:hideMark/>
          </w:tcPr>
          <w:p w:rsidR="0063091A" w:rsidRPr="0077284D" w:rsidRDefault="0063091A" w:rsidP="0077284D">
            <w:pPr>
              <w:spacing w:before="120" w:after="120" w:line="240" w:lineRule="auto"/>
              <w:rPr>
                <w:rFonts w:asciiTheme="minorHAnsi" w:hAnsiTheme="minorHAnsi" w:cstheme="minorHAnsi"/>
              </w:rPr>
            </w:pPr>
            <w:r w:rsidRPr="0077284D">
              <w:rPr>
                <w:rFonts w:asciiTheme="minorHAnsi" w:hAnsiTheme="minorHAnsi" w:cstheme="minorHAnsi"/>
              </w:rPr>
              <w:t>Osoba pozostająca bez pracy, gotowa do podjęcia pracy i aktywn</w:t>
            </w:r>
            <w:r w:rsidR="00677024" w:rsidRPr="0077284D">
              <w:rPr>
                <w:rFonts w:asciiTheme="minorHAnsi" w:hAnsiTheme="minorHAnsi" w:cstheme="minorHAnsi"/>
              </w:rPr>
              <w:t>ie poszukująca zatrudnienia, kt</w:t>
            </w:r>
            <w:r w:rsidRPr="0077284D">
              <w:rPr>
                <w:rFonts w:asciiTheme="minorHAnsi" w:hAnsiTheme="minorHAnsi" w:cstheme="minorHAnsi"/>
              </w:rPr>
              <w:t>óra jest zarejestrowana w rejestrze urzędu pracy jako bezrobotna, zgodnie z zapi</w:t>
            </w:r>
            <w:r w:rsidR="00677024" w:rsidRPr="0077284D">
              <w:rPr>
                <w:rFonts w:asciiTheme="minorHAnsi" w:hAnsiTheme="minorHAnsi" w:cstheme="minorHAnsi"/>
              </w:rPr>
              <w:t>sami ustawy</w:t>
            </w:r>
            <w:r w:rsidR="00684F7F" w:rsidRPr="0077284D">
              <w:rPr>
                <w:rFonts w:asciiTheme="minorHAnsi" w:hAnsiTheme="minorHAnsi" w:cstheme="minorHAnsi"/>
              </w:rPr>
              <w:t xml:space="preserve"> z dnia 20 kwietnia 2004 r. </w:t>
            </w:r>
            <w:r w:rsidR="00677024" w:rsidRPr="0077284D">
              <w:rPr>
                <w:rFonts w:asciiTheme="minorHAnsi" w:hAnsiTheme="minorHAnsi" w:cstheme="minorHAnsi"/>
              </w:rPr>
              <w:t xml:space="preserve"> o promocji zatrudnie</w:t>
            </w:r>
            <w:r w:rsidRPr="0077284D">
              <w:rPr>
                <w:rFonts w:asciiTheme="minorHAnsi" w:hAnsiTheme="minorHAnsi" w:cstheme="minorHAnsi"/>
              </w:rPr>
              <w:t>nia i instytucjach rynku pracy</w:t>
            </w:r>
            <w:r w:rsidR="00684F7F" w:rsidRPr="0077284D">
              <w:rPr>
                <w:rFonts w:asciiTheme="minorHAnsi" w:hAnsiTheme="minorHAnsi" w:cstheme="minorHAnsi"/>
              </w:rPr>
              <w:t xml:space="preserve"> (Dz.U. 2004 Nr 99 poz. 1001).</w:t>
            </w:r>
            <w:r w:rsidRPr="0077284D">
              <w:rPr>
                <w:rFonts w:asciiTheme="minorHAnsi" w:hAnsiTheme="minorHAnsi" w:cstheme="minorHAnsi"/>
              </w:rPr>
              <w:t>Studenci studiów stacjonarnych uznawani są za osoby bierne zawodowo, nawet jeśli spełniają kryteria dla bezrobotnych zgodnie z ww. definicją.</w:t>
            </w:r>
            <w:r w:rsidRPr="0077284D">
              <w:rPr>
                <w:rFonts w:asciiTheme="minorHAnsi" w:hAnsiTheme="minorHAnsi" w:cstheme="minorHAnsi"/>
              </w:rPr>
              <w:br/>
              <w:t>Osoby kwalifikujące się do urlopu macierzyńskiego lub rodzicielskiego, które są bezrobotne w rozumieniu niniejszej definicji (nie pobierają świadczeń z tytułu urlopu), należy wykazywać jako osoby bezrobotne.</w:t>
            </w:r>
          </w:p>
        </w:tc>
      </w:tr>
      <w:tr w:rsidR="00253BD1" w:rsidRPr="001565F7" w:rsidTr="0077284D">
        <w:trPr>
          <w:trHeight w:val="1763"/>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bezrobotna niezarejestrowana w ewidencji urzędów pracy</w:t>
            </w:r>
          </w:p>
        </w:tc>
        <w:tc>
          <w:tcPr>
            <w:tcW w:w="12184" w:type="dxa"/>
            <w:shd w:val="clear" w:color="auto" w:fill="auto"/>
            <w:hideMark/>
          </w:tcPr>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Osoba pozostająca bez pracy, gotowa do podjęcia pracy i aktywnie poszukująca zatrudnienia, która nie jest zarejestrowana w rejestrze urzędu pracy jako bezrobotna.</w:t>
            </w:r>
            <w:r w:rsidR="00677024" w:rsidRPr="0077284D">
              <w:rPr>
                <w:rFonts w:asciiTheme="minorHAnsi" w:hAnsiTheme="minorHAnsi" w:cstheme="minorHAnsi"/>
              </w:rPr>
              <w:t xml:space="preserve"> </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Studenci studiów stacjonarnych uznawani są za osoby bierne zawodowo, nawet jeśli spełniają kryteria dla bezrobotnych zgodnie z ww. definicją.</w:t>
            </w:r>
            <w:r w:rsidRPr="0077284D">
              <w:rPr>
                <w:rFonts w:asciiTheme="minorHAnsi" w:hAnsiTheme="minorHAnsi" w:cstheme="minorHAnsi"/>
              </w:rPr>
              <w:br/>
              <w:t>Osoby kwalifikujące się do urlopu macierzyńskiego lub rodzicielskiego, które są bezrobotne w rozumieniu niniejszej definicji (nie pobierają świadczeń z tytułu urlopu), należy wykazywać jako osoby bezrobotne.</w:t>
            </w:r>
          </w:p>
        </w:tc>
      </w:tr>
      <w:tr w:rsidR="00253BD1" w:rsidRPr="001565F7" w:rsidTr="0077284D">
        <w:trPr>
          <w:trHeight w:val="784"/>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długotrwale bezrobotna</w:t>
            </w:r>
          </w:p>
        </w:tc>
        <w:tc>
          <w:tcPr>
            <w:tcW w:w="12184" w:type="dxa"/>
            <w:shd w:val="clear" w:color="auto" w:fill="auto"/>
            <w:hideMark/>
          </w:tcPr>
          <w:p w:rsidR="00677024" w:rsidRPr="0077284D" w:rsidRDefault="00891177"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Osoba bezrobotna </w:t>
            </w:r>
            <w:r w:rsidR="0060495E">
              <w:rPr>
                <w:rFonts w:asciiTheme="minorHAnsi" w:hAnsiTheme="minorHAnsi" w:cstheme="minorHAnsi"/>
              </w:rPr>
              <w:t>w rozumieniu</w:t>
            </w:r>
            <w:r w:rsidRPr="0077284D">
              <w:rPr>
                <w:rFonts w:asciiTheme="minorHAnsi" w:hAnsiTheme="minorHAnsi" w:cstheme="minorHAnsi"/>
              </w:rPr>
              <w:t xml:space="preserve"> definicji osoby bezrobotnej zarejestrowanej w ewidencji urzędów pracy. </w:t>
            </w:r>
            <w:r w:rsidR="0063091A" w:rsidRPr="0077284D">
              <w:rPr>
                <w:rFonts w:asciiTheme="minorHAnsi" w:hAnsiTheme="minorHAnsi" w:cstheme="minorHAnsi"/>
              </w:rPr>
              <w:t>Definicja pojęcia „długotrwale bezrobotny" różni się w zależności od wieku:</w:t>
            </w:r>
          </w:p>
          <w:p w:rsidR="00677024" w:rsidRPr="0077284D" w:rsidRDefault="0063091A" w:rsidP="0077284D">
            <w:pPr>
              <w:pStyle w:val="Akapitzlist"/>
              <w:numPr>
                <w:ilvl w:val="0"/>
                <w:numId w:val="13"/>
              </w:numPr>
              <w:spacing w:before="120" w:after="120" w:line="240" w:lineRule="auto"/>
              <w:jc w:val="both"/>
              <w:rPr>
                <w:rFonts w:asciiTheme="minorHAnsi" w:hAnsiTheme="minorHAnsi" w:cstheme="minorHAnsi"/>
              </w:rPr>
            </w:pPr>
            <w:r w:rsidRPr="0077284D">
              <w:rPr>
                <w:rFonts w:asciiTheme="minorHAnsi" w:hAnsiTheme="minorHAnsi" w:cstheme="minorHAnsi"/>
              </w:rPr>
              <w:t>Młodzież (&lt;25 lat) – osoby bezrobotne nieprzerwanie przez okres ponad 6 miesięcy (&gt;6 miesięcy).</w:t>
            </w:r>
          </w:p>
          <w:p w:rsidR="0063091A" w:rsidRPr="0077284D" w:rsidRDefault="0063091A" w:rsidP="0077284D">
            <w:pPr>
              <w:pStyle w:val="Akapitzlist"/>
              <w:numPr>
                <w:ilvl w:val="0"/>
                <w:numId w:val="13"/>
              </w:numPr>
              <w:spacing w:before="120" w:after="120" w:line="240" w:lineRule="auto"/>
              <w:jc w:val="both"/>
              <w:rPr>
                <w:rFonts w:asciiTheme="minorHAnsi" w:hAnsiTheme="minorHAnsi" w:cstheme="minorHAnsi"/>
              </w:rPr>
            </w:pPr>
            <w:r w:rsidRPr="0077284D">
              <w:rPr>
                <w:rFonts w:asciiTheme="minorHAnsi" w:hAnsiTheme="minorHAnsi" w:cstheme="minorHAnsi"/>
              </w:rPr>
              <w:t>Dorośli (25 lat lub więcej) – osoby bezrobotne nieprzerwanie przez okres ponad 12 miesięcy (&gt;12 miesięcy).</w:t>
            </w:r>
          </w:p>
        </w:tc>
      </w:tr>
      <w:tr w:rsidR="00253BD1" w:rsidRPr="001565F7" w:rsidTr="0077284D">
        <w:trPr>
          <w:trHeight w:val="2967"/>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Osoba nieuczestnicząca w kształceniu lub szkoleniu</w:t>
            </w:r>
          </w:p>
        </w:tc>
        <w:tc>
          <w:tcPr>
            <w:tcW w:w="12184" w:type="dxa"/>
            <w:shd w:val="clear" w:color="auto" w:fill="auto"/>
            <w:hideMark/>
          </w:tcPr>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Osoba, która nie uczy się ani nie szkoli.</w:t>
            </w:r>
          </w:p>
          <w:p w:rsidR="0063091A" w:rsidRPr="0077284D" w:rsidRDefault="0063091A" w:rsidP="002555DC">
            <w:pPr>
              <w:spacing w:before="120" w:after="120" w:line="240" w:lineRule="auto"/>
              <w:jc w:val="both"/>
              <w:rPr>
                <w:rFonts w:asciiTheme="minorHAnsi" w:hAnsiTheme="minorHAnsi" w:cstheme="minorHAnsi"/>
              </w:rPr>
            </w:pPr>
            <w:r w:rsidRPr="0077284D">
              <w:rPr>
                <w:rFonts w:asciiTheme="minorHAnsi" w:hAnsiTheme="minorHAnsi" w:cstheme="minorHAnsi"/>
              </w:rPr>
              <w:t>W przypadku projektów realizowanych w osi I PO WER osobę niekształcącą się należy definiować jako osobę, która nie uczestniczy w</w:t>
            </w:r>
            <w:r w:rsidR="00F6229F" w:rsidRPr="0077284D">
              <w:rPr>
                <w:rFonts w:asciiTheme="minorHAnsi" w:hAnsiTheme="minorHAnsi" w:cstheme="minorHAnsi"/>
              </w:rPr>
              <w:t> </w:t>
            </w:r>
            <w:r w:rsidRPr="0077284D">
              <w:rPr>
                <w:rFonts w:asciiTheme="minorHAnsi" w:hAnsiTheme="minorHAnsi" w:cstheme="minorHAnsi"/>
              </w:rPr>
              <w:t>kształceniu formalnym w trybie stacjonarnym (kształcenie formalne w trybie stacjonarnym rozumiane jest jako kształcenie w systemie szkolnym na poziomie szkoły podstawowej,</w:t>
            </w:r>
            <w:r w:rsidR="002555DC" w:rsidRPr="0077284D">
              <w:rPr>
                <w:rFonts w:asciiTheme="minorHAnsi" w:hAnsiTheme="minorHAnsi" w:cstheme="minorHAnsi"/>
              </w:rPr>
              <w:t xml:space="preserve"> szkoły ponadpodstawowej,</w:t>
            </w:r>
            <w:r w:rsidRPr="0077284D">
              <w:rPr>
                <w:rFonts w:asciiTheme="minorHAnsi" w:hAnsiTheme="minorHAnsi" w:cstheme="minorHAnsi"/>
              </w:rPr>
              <w:t xml:space="preserve"> szk</w:t>
            </w:r>
            <w:r w:rsidR="002555DC" w:rsidRPr="0077284D">
              <w:rPr>
                <w:rFonts w:asciiTheme="minorHAnsi" w:hAnsiTheme="minorHAnsi" w:cstheme="minorHAnsi"/>
              </w:rPr>
              <w:t>oły</w:t>
            </w:r>
            <w:r w:rsidRPr="0077284D">
              <w:rPr>
                <w:rFonts w:asciiTheme="minorHAnsi" w:hAnsiTheme="minorHAnsi" w:cstheme="minorHAnsi"/>
              </w:rPr>
              <w:t xml:space="preserve"> ponadgimnazjaln</w:t>
            </w:r>
            <w:r w:rsidR="002555DC" w:rsidRPr="0077284D">
              <w:rPr>
                <w:rFonts w:asciiTheme="minorHAnsi" w:hAnsiTheme="minorHAnsi" w:cstheme="minorHAnsi"/>
              </w:rPr>
              <w:t>ej</w:t>
            </w:r>
            <w:r w:rsidRPr="0077284D">
              <w:rPr>
                <w:rFonts w:asciiTheme="minorHAnsi" w:hAnsiTheme="minorHAnsi" w:cstheme="minorHAnsi"/>
              </w:rPr>
              <w:t>, jak również kształcenie na poziomie wyższym  w</w:t>
            </w:r>
            <w:r w:rsidR="00F6229F" w:rsidRPr="0077284D">
              <w:rPr>
                <w:rFonts w:asciiTheme="minorHAnsi" w:hAnsiTheme="minorHAnsi" w:cstheme="minorHAnsi"/>
              </w:rPr>
              <w:t> </w:t>
            </w:r>
            <w:r w:rsidRPr="0077284D">
              <w:rPr>
                <w:rFonts w:asciiTheme="minorHAnsi" w:hAnsiTheme="minorHAnsi" w:cstheme="minorHAnsi"/>
              </w:rPr>
              <w:t>formie studiów wyższych lub doktoranckich realizowanych w trybie dziennym)</w:t>
            </w:r>
            <w:r w:rsidR="002555DC" w:rsidRPr="0077284D">
              <w:rPr>
                <w:rFonts w:asciiTheme="minorHAnsi" w:hAnsiTheme="minorHAnsi" w:cstheme="minorHAnsi"/>
              </w:rPr>
              <w:t xml:space="preserve"> albo zaniedbuje obowiązek szkolny lub nauki (definicja zaniedbywania obowiązku nauki lub obowiązku szkolnego jest określona dla poszczególnych działań w ramach Osi I w SZOOP POWER).</w:t>
            </w:r>
            <w:r w:rsidRPr="0077284D">
              <w:rPr>
                <w:rFonts w:asciiTheme="minorHAnsi" w:hAnsiTheme="minorHAnsi" w:cstheme="minorHAnsi"/>
              </w:rPr>
              <w:t xml:space="preserve"> Natomiast osobę nieszkolącą się</w:t>
            </w:r>
            <w:r w:rsidR="0047760C" w:rsidRPr="0077284D">
              <w:rPr>
                <w:rFonts w:asciiTheme="minorHAnsi" w:hAnsiTheme="minorHAnsi" w:cstheme="minorHAnsi"/>
              </w:rPr>
              <w:t xml:space="preserve"> należy zdefiniować</w:t>
            </w:r>
            <w:r w:rsidRPr="0077284D">
              <w:rPr>
                <w:rFonts w:asciiTheme="minorHAnsi" w:hAnsiTheme="minorHAnsi" w:cstheme="minorHAnsi"/>
              </w:rPr>
              <w:t xml:space="preserve"> jako osobę nieuczestniczącą w pozaszkolnych zajęciach mających na celu uzyskanie, uzupełnienie lub doskonalenie umiejętności i kwalifikacji zawodowych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 tygodni.</w:t>
            </w:r>
          </w:p>
        </w:tc>
      </w:tr>
      <w:tr w:rsidR="00253BD1" w:rsidRPr="001565F7" w:rsidTr="0077284D">
        <w:trPr>
          <w:trHeight w:val="3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ucząca się</w:t>
            </w:r>
          </w:p>
        </w:tc>
        <w:tc>
          <w:tcPr>
            <w:tcW w:w="12184" w:type="dxa"/>
            <w:shd w:val="clear" w:color="auto" w:fill="auto"/>
            <w:hideMark/>
          </w:tcPr>
          <w:p w:rsidR="0063091A" w:rsidRPr="0077284D" w:rsidRDefault="0063091A" w:rsidP="00253BD1">
            <w:pPr>
              <w:spacing w:before="120" w:after="120" w:line="240" w:lineRule="auto"/>
              <w:rPr>
                <w:rFonts w:asciiTheme="minorHAnsi" w:hAnsiTheme="minorHAnsi" w:cstheme="minorHAnsi"/>
              </w:rPr>
            </w:pPr>
            <w:r w:rsidRPr="0077284D">
              <w:rPr>
                <w:rFonts w:asciiTheme="minorHAnsi" w:hAnsiTheme="minorHAnsi" w:cstheme="minorHAnsi"/>
              </w:rPr>
              <w:t>Osoba uczestnicząca w kształceniu formalnym.</w:t>
            </w:r>
          </w:p>
        </w:tc>
      </w:tr>
      <w:tr w:rsidR="00253BD1" w:rsidRPr="001565F7" w:rsidTr="0077284D">
        <w:trPr>
          <w:trHeight w:val="8190"/>
        </w:trPr>
        <w:tc>
          <w:tcPr>
            <w:tcW w:w="2710" w:type="dxa"/>
            <w:vMerge w:val="restart"/>
            <w:shd w:val="clear" w:color="auto" w:fill="auto"/>
            <w:vAlign w:val="center"/>
            <w:hideMark/>
          </w:tcPr>
          <w:p w:rsidR="0063091A" w:rsidRPr="0077284D" w:rsidRDefault="0063091A" w:rsidP="00293EE9">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 xml:space="preserve">Osoba podjęła pracę/ </w:t>
            </w:r>
            <w:r w:rsidR="00293EE9" w:rsidRPr="0077284D">
              <w:rPr>
                <w:rFonts w:asciiTheme="minorHAnsi" w:hAnsiTheme="minorHAnsi" w:cstheme="minorHAnsi"/>
                <w:b/>
                <w:bCs/>
                <w:color w:val="000000"/>
              </w:rPr>
              <w:t>rozpoczęła</w:t>
            </w:r>
            <w:r w:rsidR="00293EE9" w:rsidRPr="0077284D">
              <w:rPr>
                <w:rFonts w:asciiTheme="minorHAnsi" w:hAnsiTheme="minorHAnsi" w:cstheme="minorHAnsi"/>
                <w:b/>
                <w:bCs/>
              </w:rPr>
              <w:t xml:space="preserve"> </w:t>
            </w:r>
            <w:r w:rsidRPr="0077284D">
              <w:rPr>
                <w:rFonts w:asciiTheme="minorHAnsi" w:hAnsiTheme="minorHAnsi" w:cstheme="minorHAnsi"/>
                <w:b/>
                <w:bCs/>
              </w:rPr>
              <w:t>prowadzenie działalności na własny rachunek</w:t>
            </w:r>
          </w:p>
        </w:tc>
        <w:tc>
          <w:tcPr>
            <w:tcW w:w="12184" w:type="dxa"/>
            <w:vMerge w:val="restart"/>
            <w:shd w:val="clear" w:color="auto" w:fill="auto"/>
            <w:hideMark/>
          </w:tcPr>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Osoby bezrobotne lub bierne zawodowo, które po uzyskaniu wsparcia Europejskiego Funduszu Społecznego podjęły zatrudnienie (łącznie z prowadzącymi działalność na własny rachunek) bezpośrednio po opuszczeniu projektu.</w:t>
            </w:r>
          </w:p>
          <w:p w:rsidR="00D1502E" w:rsidRPr="0077284D" w:rsidRDefault="0063091A" w:rsidP="00D1502E">
            <w:pPr>
              <w:spacing w:before="120" w:after="120" w:line="240" w:lineRule="auto"/>
              <w:jc w:val="both"/>
              <w:rPr>
                <w:rFonts w:asciiTheme="minorHAnsi" w:hAnsiTheme="minorHAnsi" w:cstheme="minorHAnsi"/>
              </w:rPr>
            </w:pPr>
            <w:r w:rsidRPr="0077284D">
              <w:rPr>
                <w:rFonts w:asciiTheme="minorHAnsi" w:hAnsiTheme="minorHAnsi" w:cstheme="minorHAnsi"/>
              </w:rPr>
              <w:t>Wskaźnik należy rozumieć, jako zmianę statusu na rynku pracy po opuszczeniu programu, w stosunku do sytuacji w momencie przystąpienia do interwencji EFS (uczestnik bezrobotny lub bierny zawodowo w chwili wejścia do programu EFS).</w:t>
            </w:r>
            <w:r w:rsidRPr="0077284D">
              <w:rPr>
                <w:rFonts w:asciiTheme="minorHAnsi" w:hAnsiTheme="minorHAnsi" w:cstheme="minorHAnsi"/>
              </w:rPr>
              <w:br/>
            </w:r>
            <w:r w:rsidRPr="0077284D">
              <w:rPr>
                <w:rFonts w:asciiTheme="minorHAnsi" w:hAnsiTheme="minorHAnsi" w:cstheme="minorHAnsi"/>
              </w:rPr>
              <w:br/>
              <w:t>Definicja pracujących, łącznie z prowadzącymi działalność na własny rachunek</w:t>
            </w:r>
            <w:r w:rsidR="00D1502E" w:rsidRPr="0077284D">
              <w:rPr>
                <w:rFonts w:asciiTheme="minorHAnsi" w:hAnsiTheme="minorHAnsi" w:cstheme="minorHAnsi"/>
              </w:rPr>
              <w:t>: patrz definicja „osoba pracująca”</w:t>
            </w:r>
          </w:p>
          <w:p w:rsidR="0063091A" w:rsidRPr="0077284D" w:rsidRDefault="0063091A">
            <w:pPr>
              <w:spacing w:before="120" w:after="120" w:line="240" w:lineRule="auto"/>
              <w:jc w:val="both"/>
              <w:rPr>
                <w:rFonts w:asciiTheme="minorHAnsi" w:hAnsiTheme="minorHAnsi" w:cstheme="minorHAnsi"/>
              </w:rPr>
            </w:pPr>
          </w:p>
        </w:tc>
      </w:tr>
      <w:tr w:rsidR="00253BD1" w:rsidRPr="001565F7" w:rsidTr="0077284D">
        <w:trPr>
          <w:trHeight w:val="509"/>
        </w:trPr>
        <w:tc>
          <w:tcPr>
            <w:tcW w:w="2710" w:type="dxa"/>
            <w:vMerge/>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p>
        </w:tc>
        <w:tc>
          <w:tcPr>
            <w:tcW w:w="12184" w:type="dxa"/>
            <w:vMerge/>
            <w:shd w:val="clear" w:color="auto" w:fill="auto"/>
            <w:hideMark/>
          </w:tcPr>
          <w:p w:rsidR="0063091A" w:rsidRPr="0077284D" w:rsidRDefault="0063091A" w:rsidP="00253BD1">
            <w:pPr>
              <w:spacing w:before="120" w:after="120" w:line="240" w:lineRule="auto"/>
              <w:rPr>
                <w:rFonts w:asciiTheme="minorHAnsi" w:hAnsiTheme="minorHAnsi" w:cstheme="minorHAnsi"/>
              </w:rPr>
            </w:pPr>
          </w:p>
        </w:tc>
      </w:tr>
      <w:tr w:rsidR="00253BD1" w:rsidRPr="001565F7" w:rsidTr="0077284D">
        <w:trPr>
          <w:trHeight w:val="2542"/>
        </w:trPr>
        <w:tc>
          <w:tcPr>
            <w:tcW w:w="2710" w:type="dxa"/>
            <w:vMerge w:val="restart"/>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Osoba otrzymała ofertę pracy</w:t>
            </w:r>
          </w:p>
        </w:tc>
        <w:tc>
          <w:tcPr>
            <w:tcW w:w="12184" w:type="dxa"/>
            <w:vMerge w:val="restart"/>
            <w:shd w:val="clear" w:color="auto" w:fill="auto"/>
            <w:hideMark/>
          </w:tcPr>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Oferta to dobrowolna lecz warunkowa propozycja, przedstawiona uczestnikowi do akceptacji przez oferenta (np. pracodawcę,) przez okres wskazany wyraźnie przez oferenta jako gotowość do zawarcia umowy z uczestnikiem na warunkach szczególnych, zrozumiałych dla uczestnika. Porozumienie jest wiążące dla obu stron, jeżeli uczestnik zaakceptuje przedstawione warunki.</w:t>
            </w:r>
            <w:r w:rsidRPr="0077284D">
              <w:rPr>
                <w:rFonts w:asciiTheme="minorHAnsi" w:hAnsiTheme="minorHAnsi" w:cstheme="minorHAnsi"/>
              </w:rPr>
              <w:br/>
              <w:t>Należy uwzględniać wszystkie oferty pracy bez konieczności weryfikacji ich jakości (okres trwania, wymagane umiejętności itp.). Należy uwzględniać wszystkie oferty, które są zgodne z ww. definicją.</w:t>
            </w:r>
            <w:r w:rsidR="00677024" w:rsidRPr="0077284D">
              <w:rPr>
                <w:rFonts w:asciiTheme="minorHAnsi" w:hAnsiTheme="minorHAnsi" w:cstheme="minorHAnsi"/>
              </w:rPr>
              <w:t xml:space="preserve"> </w:t>
            </w:r>
            <w:r w:rsidRPr="0077284D">
              <w:rPr>
                <w:rFonts w:asciiTheme="minorHAnsi" w:hAnsiTheme="minorHAnsi" w:cstheme="minorHAnsi"/>
              </w:rPr>
              <w:t>Zgodnie z wytycznymi KE ofertami nie są opisane poniżej sytuacje:</w:t>
            </w:r>
            <w:r w:rsidRPr="0077284D">
              <w:rPr>
                <w:rFonts w:asciiTheme="minorHAnsi" w:hAnsiTheme="minorHAnsi" w:cstheme="minorHAnsi"/>
              </w:rPr>
              <w:br/>
              <w:t>(1) oferty stażu, kształcenia zawodowego lub innych działań stanowiące element wsparcia realizowanego w ramach projektu EFS, w</w:t>
            </w:r>
            <w:r w:rsidR="00F6229F" w:rsidRPr="0077284D">
              <w:rPr>
                <w:rFonts w:asciiTheme="minorHAnsi" w:hAnsiTheme="minorHAnsi" w:cstheme="minorHAnsi"/>
              </w:rPr>
              <w:t> </w:t>
            </w:r>
            <w:r w:rsidRPr="0077284D">
              <w:rPr>
                <w:rFonts w:asciiTheme="minorHAnsi" w:hAnsiTheme="minorHAnsi" w:cstheme="minorHAnsi"/>
              </w:rPr>
              <w:t>którym dana osoba uczestniczy,</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(2) służby zatrudnienia proponują uczestnikowi złożenie dokumentów aplikacyjnych do konkretnego pracodawcy lub instytucji szkoleniowej. Niemniej, w sytuacji gdy osoba pozostająca bez pracy otrzyma ofertę pracy np. z urzędu pracy i po stawieniu się u</w:t>
            </w:r>
            <w:r w:rsidR="00F6229F" w:rsidRPr="0077284D">
              <w:rPr>
                <w:rFonts w:asciiTheme="minorHAnsi" w:hAnsiTheme="minorHAnsi" w:cstheme="minorHAnsi"/>
              </w:rPr>
              <w:t> </w:t>
            </w:r>
            <w:r w:rsidRPr="0077284D">
              <w:rPr>
                <w:rFonts w:asciiTheme="minorHAnsi" w:hAnsiTheme="minorHAnsi" w:cstheme="minorHAnsi"/>
              </w:rPr>
              <w:t>pracodawcy otrzyma propozycję zatrudnienia, osobę taką należy wykazać jako uczestnika, który po opuszczeni projektu otrzymał ofertę pracy.</w:t>
            </w:r>
            <w:r w:rsidRPr="0077284D">
              <w:rPr>
                <w:rFonts w:asciiTheme="minorHAnsi" w:hAnsiTheme="minorHAnsi" w:cstheme="minorHAnsi"/>
              </w:rPr>
              <w:br/>
              <w:t>Należy uwzględniać wszystkie osoby, które otrzymały ofertę pracy, w</w:t>
            </w:r>
            <w:r w:rsidR="00F6229F" w:rsidRPr="0077284D">
              <w:rPr>
                <w:rFonts w:asciiTheme="minorHAnsi" w:hAnsiTheme="minorHAnsi" w:cstheme="minorHAnsi"/>
              </w:rPr>
              <w:t> </w:t>
            </w:r>
            <w:r w:rsidRPr="0077284D">
              <w:rPr>
                <w:rFonts w:asciiTheme="minorHAnsi" w:hAnsiTheme="minorHAnsi" w:cstheme="minorHAnsi"/>
              </w:rPr>
              <w:t>okresie do 4 tygodni od zakończenia udziału w projekcie. W przypadku, gdy uczestnik otrzyma ofertę pracy w trakcie udziału w</w:t>
            </w:r>
            <w:r w:rsidR="00F6229F" w:rsidRPr="0077284D">
              <w:rPr>
                <w:rFonts w:asciiTheme="minorHAnsi" w:hAnsiTheme="minorHAnsi" w:cstheme="minorHAnsi"/>
              </w:rPr>
              <w:t> </w:t>
            </w:r>
            <w:r w:rsidRPr="0077284D">
              <w:rPr>
                <w:rFonts w:asciiTheme="minorHAnsi" w:hAnsiTheme="minorHAnsi" w:cstheme="minorHAnsi"/>
              </w:rPr>
              <w:t>projekcie, należy tę ofertę wykazać pod warunkiem, iż uczestnik przyjmie przedstawioną mu propozycję. Natomiast, gdy oferta zostanie przedstawiona przed zakończeniem udziału w projekcie, jednak uczestnik ją odrzuci i nadal będzie uczestniczyć w projekcie, takiej oferty nie należy uwzględniać.</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Definicja pracy, zgodna z definicją </w:t>
            </w:r>
            <w:r w:rsidR="00FE276B" w:rsidRPr="0077284D">
              <w:rPr>
                <w:rFonts w:asciiTheme="minorHAnsi" w:hAnsiTheme="minorHAnsi" w:cstheme="minorHAnsi"/>
              </w:rPr>
              <w:t>„</w:t>
            </w:r>
            <w:r w:rsidRPr="0077284D">
              <w:rPr>
                <w:rFonts w:asciiTheme="minorHAnsi" w:hAnsiTheme="minorHAnsi" w:cstheme="minorHAnsi"/>
              </w:rPr>
              <w:t>osoby pracującej</w:t>
            </w:r>
            <w:r w:rsidR="00FE276B" w:rsidRPr="0077284D">
              <w:rPr>
                <w:rFonts w:asciiTheme="minorHAnsi" w:hAnsiTheme="minorHAnsi" w:cstheme="minorHAnsi"/>
              </w:rPr>
              <w:t>”</w:t>
            </w:r>
            <w:r w:rsidR="007B0323">
              <w:rPr>
                <w:rFonts w:asciiTheme="minorHAnsi" w:hAnsiTheme="minorHAnsi" w:cstheme="minorHAnsi"/>
              </w:rPr>
              <w:t xml:space="preserve"> (</w:t>
            </w:r>
            <w:r w:rsidR="007B0323" w:rsidRPr="00B42D7F">
              <w:rPr>
                <w:rFonts w:asciiTheme="minorHAnsi" w:hAnsiTheme="minorHAnsi" w:cstheme="minorHAnsi"/>
              </w:rPr>
              <w:t>patrz</w:t>
            </w:r>
            <w:r w:rsidR="00117F74">
              <w:rPr>
                <w:rFonts w:asciiTheme="minorHAnsi" w:hAnsiTheme="minorHAnsi" w:cstheme="minorHAnsi"/>
              </w:rPr>
              <w:t>:</w:t>
            </w:r>
            <w:r w:rsidR="007B0323" w:rsidRPr="00B42D7F">
              <w:rPr>
                <w:rFonts w:asciiTheme="minorHAnsi" w:hAnsiTheme="minorHAnsi" w:cstheme="minorHAnsi"/>
              </w:rPr>
              <w:t xml:space="preserve"> definicja „osoba pracująca”</w:t>
            </w:r>
            <w:r w:rsidR="007B0323">
              <w:rPr>
                <w:rFonts w:asciiTheme="minorHAnsi" w:hAnsiTheme="minorHAnsi" w:cstheme="minorHAnsi"/>
              </w:rPr>
              <w:t>)</w:t>
            </w:r>
          </w:p>
        </w:tc>
      </w:tr>
      <w:tr w:rsidR="00253BD1" w:rsidRPr="001565F7" w:rsidTr="0077284D">
        <w:trPr>
          <w:trHeight w:val="2850"/>
        </w:trPr>
        <w:tc>
          <w:tcPr>
            <w:tcW w:w="2710" w:type="dxa"/>
            <w:vMerge/>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p>
        </w:tc>
        <w:tc>
          <w:tcPr>
            <w:tcW w:w="12184" w:type="dxa"/>
            <w:vMerge/>
            <w:shd w:val="clear" w:color="auto" w:fill="auto"/>
            <w:hideMark/>
          </w:tcPr>
          <w:p w:rsidR="0063091A" w:rsidRPr="0077284D" w:rsidRDefault="0063091A" w:rsidP="00253BD1">
            <w:pPr>
              <w:spacing w:before="120" w:after="120" w:line="240" w:lineRule="auto"/>
              <w:rPr>
                <w:rFonts w:asciiTheme="minorHAnsi" w:hAnsiTheme="minorHAnsi" w:cstheme="minorHAnsi"/>
              </w:rPr>
            </w:pPr>
          </w:p>
        </w:tc>
      </w:tr>
      <w:tr w:rsidR="00253BD1" w:rsidRPr="001565F7" w:rsidTr="0077284D">
        <w:trPr>
          <w:trHeight w:val="4965"/>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Osoba otrzymała ofertę ustawicznego kształcenia</w:t>
            </w:r>
          </w:p>
        </w:tc>
        <w:tc>
          <w:tcPr>
            <w:tcW w:w="12184" w:type="dxa"/>
            <w:shd w:val="clear" w:color="auto" w:fill="auto"/>
            <w:hideMark/>
          </w:tcPr>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Oferta to dobrowolna lecz warunkowa propozycja, przedstawiona uczestnikowi do akceptacji przez oferenta (np. organizację szkoleniową) przez okres wskazany wyraźnie przez oferenta jako gotowość do zawarcia umowy z uczestnikiem na warunkach szczególnych, zrozumiałych dla uczestnika. Porozumienie jest wiążące dla obu stron, jeżeli uczestnik zaakceptuje przedstawione warunki.</w:t>
            </w:r>
            <w:r w:rsidRPr="0077284D">
              <w:rPr>
                <w:rFonts w:asciiTheme="minorHAnsi" w:hAnsiTheme="minorHAnsi" w:cstheme="minorHAnsi"/>
              </w:rPr>
              <w:br/>
              <w:t>Należy uwzględniać wszystkie oferty kształcenia bez konieczności weryfikacji ich jakości (okres trwania, wymagane umiejętności itp.). Należy uwzględniać wszystkie oferty, które są zgodne z ww. definicją.</w:t>
            </w:r>
            <w:r w:rsidR="00677024" w:rsidRPr="0077284D">
              <w:rPr>
                <w:rFonts w:asciiTheme="minorHAnsi" w:hAnsiTheme="minorHAnsi" w:cstheme="minorHAnsi"/>
              </w:rPr>
              <w:t xml:space="preserve"> </w:t>
            </w:r>
            <w:r w:rsidRPr="0077284D">
              <w:rPr>
                <w:rFonts w:asciiTheme="minorHAnsi" w:hAnsiTheme="minorHAnsi" w:cstheme="minorHAnsi"/>
              </w:rPr>
              <w:t>Zgodnie z wytycznymi KE ofertami nie są opisane poniżej sytuacje:</w:t>
            </w:r>
            <w:r w:rsidRPr="0077284D">
              <w:rPr>
                <w:rFonts w:asciiTheme="minorHAnsi" w:hAnsiTheme="minorHAnsi" w:cstheme="minorHAnsi"/>
              </w:rPr>
              <w:br/>
              <w:t>(1) oferty stażu, kształcenia zawodowego lub innych działań stanowiące element wsparcia realizowanego w ramach projektu EFS, w</w:t>
            </w:r>
            <w:r w:rsidR="00F6229F" w:rsidRPr="0077284D">
              <w:rPr>
                <w:rFonts w:asciiTheme="minorHAnsi" w:hAnsiTheme="minorHAnsi" w:cstheme="minorHAnsi"/>
              </w:rPr>
              <w:t> </w:t>
            </w:r>
            <w:r w:rsidRPr="0077284D">
              <w:rPr>
                <w:rFonts w:asciiTheme="minorHAnsi" w:hAnsiTheme="minorHAnsi" w:cstheme="minorHAnsi"/>
              </w:rPr>
              <w:t>którym dana osoba uczestniczy,</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(2) służby zatrudnienia proponują uczestnikowi złożenie dokumentów aplikacyjnych do konkretn</w:t>
            </w:r>
            <w:r w:rsidR="00B30014" w:rsidRPr="0077284D">
              <w:rPr>
                <w:rFonts w:asciiTheme="minorHAnsi" w:hAnsiTheme="minorHAnsi" w:cstheme="minorHAnsi"/>
              </w:rPr>
              <w:t>ej</w:t>
            </w:r>
            <w:r w:rsidRPr="0077284D">
              <w:rPr>
                <w:rFonts w:asciiTheme="minorHAnsi" w:hAnsiTheme="minorHAnsi" w:cstheme="minorHAnsi"/>
              </w:rPr>
              <w:t xml:space="preserve">  instytucji szkoleniowej. Należy uwzględniać wszystkie osoby, które otrzymały  kształcenia ustawicznego w</w:t>
            </w:r>
            <w:r w:rsidR="00F6229F" w:rsidRPr="0077284D">
              <w:rPr>
                <w:rFonts w:asciiTheme="minorHAnsi" w:hAnsiTheme="minorHAnsi" w:cstheme="minorHAnsi"/>
              </w:rPr>
              <w:t> </w:t>
            </w:r>
            <w:r w:rsidRPr="0077284D">
              <w:rPr>
                <w:rFonts w:asciiTheme="minorHAnsi" w:hAnsiTheme="minorHAnsi" w:cstheme="minorHAnsi"/>
              </w:rPr>
              <w:t xml:space="preserve">okresie do 4 tygodni od zakończenia udziału w projekcie. W przypadku, gdy uczestnik otrzyma ofertę </w:t>
            </w:r>
            <w:r w:rsidR="00B30014" w:rsidRPr="0077284D">
              <w:rPr>
                <w:rFonts w:asciiTheme="minorHAnsi" w:hAnsiTheme="minorHAnsi" w:cstheme="minorHAnsi"/>
              </w:rPr>
              <w:t xml:space="preserve">kształcenia ustawicznego </w:t>
            </w:r>
            <w:r w:rsidRPr="0077284D">
              <w:rPr>
                <w:rFonts w:asciiTheme="minorHAnsi" w:hAnsiTheme="minorHAnsi" w:cstheme="minorHAnsi"/>
              </w:rPr>
              <w:t xml:space="preserve"> w trakcie udziału w</w:t>
            </w:r>
            <w:r w:rsidR="00F6229F" w:rsidRPr="0077284D">
              <w:rPr>
                <w:rFonts w:asciiTheme="minorHAnsi" w:hAnsiTheme="minorHAnsi" w:cstheme="minorHAnsi"/>
              </w:rPr>
              <w:t> </w:t>
            </w:r>
            <w:r w:rsidRPr="0077284D">
              <w:rPr>
                <w:rFonts w:asciiTheme="minorHAnsi" w:hAnsiTheme="minorHAnsi" w:cstheme="minorHAnsi"/>
              </w:rPr>
              <w:t>projekcie, należy tę ofertę wykazać pod warunkiem, iż uczestnik przyjmie przedstawioną mu propozycję. Natomiast, gdy oferta zostanie przedstawiona przed zakończeniem udziału w projekcie, jednak uczestnik ją odrzuci i nadal będzie uczestniczyć w projekcie, takiej oferty nie należy uwzględniać.</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Kształcenie ustawiczne należy rozumieć jako chęć uczestnictwa (tj. zapisanie się) w edukacji formalnej lub szkoleniu prowadzących do uzyskania kwalifikacji zawodowych. Jednocześnie, mając na uwadze powyższą definicję oferty, samo zapisanie się do odbycia kształcenia ustawicznego nie może zostać potraktowane jako oferta. Ofertą jest tylko sytuacja, w której uczestnik otrzyma ofertę kształcenia bezpośrednio od przedstawiciela instytucji kształcącej (tj. oferenta).</w:t>
            </w:r>
          </w:p>
        </w:tc>
      </w:tr>
      <w:tr w:rsidR="00253BD1" w:rsidRPr="001565F7" w:rsidTr="0077284D">
        <w:trPr>
          <w:trHeight w:val="489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br/>
              <w:t>Osoba otrzymała ofertę przygotowania zawodowego</w:t>
            </w:r>
          </w:p>
        </w:tc>
        <w:tc>
          <w:tcPr>
            <w:tcW w:w="12184" w:type="dxa"/>
            <w:shd w:val="clear" w:color="auto" w:fill="auto"/>
            <w:hideMark/>
          </w:tcPr>
          <w:p w:rsidR="00117F74"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Oferta to dobrowolna lecz warunkowa propozycja, przedstawiona uczestnikowi do akceptacji przez oferenta (np.  organizację szkoleniową) przez okres wskazany wyraźnie przez oferenta jako gotowość do zawarcia umowy z uczestnikiem na warunkach szczególnych, zrozumiałych dla uczestnika. Porozumienie jest wiążące dla obu stron, jeżeli uczestnik zaakceptuje przedstawione warunki.</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Należy uwzględniać wszystkie oferty </w:t>
            </w:r>
            <w:r w:rsidR="00B30014" w:rsidRPr="0077284D">
              <w:rPr>
                <w:rFonts w:asciiTheme="minorHAnsi" w:hAnsiTheme="minorHAnsi" w:cstheme="minorHAnsi"/>
              </w:rPr>
              <w:t>przygotowania zawodowego</w:t>
            </w:r>
            <w:r w:rsidRPr="0077284D">
              <w:rPr>
                <w:rFonts w:asciiTheme="minorHAnsi" w:hAnsiTheme="minorHAnsi" w:cstheme="minorHAnsi"/>
              </w:rPr>
              <w:t xml:space="preserve"> bez konieczności weryfikacji ich jakości (okres trwania, wymagane umiejętności itp.). Należy uwzględniać wszystkie oferty, które są zgodne z ww. definicją.</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Zgodnie z wytycznymi KE ofertami nie są opisane poniżej sytuacje:</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(1) oferty stażu, kształcenia zawodowego lub innych działań stanowiące element wsparcia realizowanego w ramach projektu EFS, w</w:t>
            </w:r>
            <w:r w:rsidR="00F6229F" w:rsidRPr="0077284D">
              <w:rPr>
                <w:rFonts w:asciiTheme="minorHAnsi" w:hAnsiTheme="minorHAnsi" w:cstheme="minorHAnsi"/>
              </w:rPr>
              <w:t> </w:t>
            </w:r>
            <w:r w:rsidRPr="0077284D">
              <w:rPr>
                <w:rFonts w:asciiTheme="minorHAnsi" w:hAnsiTheme="minorHAnsi" w:cstheme="minorHAnsi"/>
              </w:rPr>
              <w:t>którym dana osoba uczestniczy,</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(2) służby zatrudnienia proponują uczestnikowi złożenie dokumentów aplikacyjnych do konkretnego pracodawcy lub instytucji szkoleniowej. Należy uwzględniać wszystkie osoby, które otrzymały ofertę pracy, kształcenia ustawicznego, przygotowania zawodowego lub stażu w</w:t>
            </w:r>
            <w:r w:rsidR="00F6229F" w:rsidRPr="0077284D">
              <w:rPr>
                <w:rFonts w:asciiTheme="minorHAnsi" w:hAnsiTheme="minorHAnsi" w:cstheme="minorHAnsi"/>
              </w:rPr>
              <w:t> </w:t>
            </w:r>
            <w:r w:rsidRPr="0077284D">
              <w:rPr>
                <w:rFonts w:asciiTheme="minorHAnsi" w:hAnsiTheme="minorHAnsi" w:cstheme="minorHAnsi"/>
              </w:rPr>
              <w:t>okresie do 4 tygodni od zakończenia udziału w projekcie. W przypadku, gdy uczestnik otrzyma ofertę (np. pracy) w trakcie udziału w</w:t>
            </w:r>
            <w:r w:rsidR="00F6229F" w:rsidRPr="0077284D">
              <w:rPr>
                <w:rFonts w:asciiTheme="minorHAnsi" w:hAnsiTheme="minorHAnsi" w:cstheme="minorHAnsi"/>
              </w:rPr>
              <w:t> </w:t>
            </w:r>
            <w:r w:rsidRPr="0077284D">
              <w:rPr>
                <w:rFonts w:asciiTheme="minorHAnsi" w:hAnsiTheme="minorHAnsi" w:cstheme="minorHAnsi"/>
              </w:rPr>
              <w:t>projekcie, należy tę ofertę wykazać pod warunkiem, iż uczestnik przyjmie przedstawioną mu propozycję. Natomiast, gdy oferta zostanie przedstawiona przed zakończeniem udziału w projekcie, jednak uczestnik ją odrzuci i nadal będzie uczestniczyć w projekcie, takiej oferty nie należy uwzględniać.</w:t>
            </w:r>
            <w:r w:rsidR="00677024" w:rsidRPr="0077284D">
              <w:rPr>
                <w:rFonts w:asciiTheme="minorHAnsi" w:hAnsiTheme="minorHAnsi" w:cstheme="minorHAnsi"/>
              </w:rPr>
              <w:t xml:space="preserve"> </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Zakres przygotowania zawodowego (np. zawód, czas trwania, umiejętności, które uczestnik nabędzie, wysokość wynagrodzenia lub zasiłku) należy określić w umowie (lub umowie szkoleniowej) zawartej bezpośrednio pomiędzy uczniem i  pracodawcą lub za pośrednictwem instytucji edukacyjnych. Przygotowanie zawodowe stanowi zazwyczaj część formalnego kształcenia i szkolenia na poziomie ponadgimnazjalnym (ISCED 3). Przygotowanie zawodowe trwa średnio 3 lata, a jego ukończenie prowadzi do uzyskania kwalifikacji w konkretnym zawodzie.</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b/>
                <w:bCs/>
                <w:u w:val="single"/>
              </w:rPr>
              <w:t xml:space="preserve">UWAGA! </w:t>
            </w:r>
            <w:r w:rsidRPr="0077284D">
              <w:rPr>
                <w:rFonts w:asciiTheme="minorHAnsi" w:hAnsiTheme="minorHAnsi" w:cstheme="minorHAnsi"/>
                <w:u w:val="single"/>
              </w:rPr>
              <w:t>Przygotowaniem zawodowym, zgodnie z zapisami powyższej definicji, nie jest przygotowanie zawodowe dorosłych realizowane zgodnie</w:t>
            </w:r>
            <w:r w:rsidR="00677024" w:rsidRPr="0077284D">
              <w:rPr>
                <w:rFonts w:asciiTheme="minorHAnsi" w:hAnsiTheme="minorHAnsi" w:cstheme="minorHAnsi"/>
                <w:u w:val="single"/>
              </w:rPr>
              <w:t xml:space="preserve"> z ustawą o promocji zatrudnien</w:t>
            </w:r>
            <w:r w:rsidRPr="0077284D">
              <w:rPr>
                <w:rFonts w:asciiTheme="minorHAnsi" w:hAnsiTheme="minorHAnsi" w:cstheme="minorHAnsi"/>
                <w:u w:val="single"/>
              </w:rPr>
              <w:t>i</w:t>
            </w:r>
            <w:r w:rsidR="00677024" w:rsidRPr="0077284D">
              <w:rPr>
                <w:rFonts w:asciiTheme="minorHAnsi" w:hAnsiTheme="minorHAnsi" w:cstheme="minorHAnsi"/>
                <w:u w:val="single"/>
              </w:rPr>
              <w:t>a i instytucj</w:t>
            </w:r>
            <w:r w:rsidRPr="0077284D">
              <w:rPr>
                <w:rFonts w:asciiTheme="minorHAnsi" w:hAnsiTheme="minorHAnsi" w:cstheme="minorHAnsi"/>
                <w:u w:val="single"/>
              </w:rPr>
              <w:t>ach rynku pracy.</w:t>
            </w:r>
          </w:p>
        </w:tc>
      </w:tr>
      <w:tr w:rsidR="00253BD1" w:rsidRPr="001565F7" w:rsidTr="0077284D">
        <w:trPr>
          <w:trHeight w:val="416"/>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otrzymała ofertę stażu</w:t>
            </w:r>
          </w:p>
        </w:tc>
        <w:tc>
          <w:tcPr>
            <w:tcW w:w="12184" w:type="dxa"/>
            <w:shd w:val="clear" w:color="auto" w:fill="auto"/>
            <w:hideMark/>
          </w:tcPr>
          <w:p w:rsidR="00117F74"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Oferta to dobrowolna lecz warunkowa propozycja, przedstawiona uczestnikowi do akceptacji przez oferenta (np. pracodawcę, organizację szkoleniową) przez okres wskazany wyraźnie przez oferenta jako gotowość do zawarcia umowy z uczestnikiem na warunkach szczególnych, zrozumiałych dla uczestnika. Porozumienie jest wiążące dla obu stron, jeżeli uczestnik zaakceptuje przedstawione warunki.</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Należy uwzględniać wszystkie oferty </w:t>
            </w:r>
            <w:r w:rsidR="00B30014" w:rsidRPr="0077284D">
              <w:rPr>
                <w:rFonts w:asciiTheme="minorHAnsi" w:hAnsiTheme="minorHAnsi" w:cstheme="minorHAnsi"/>
              </w:rPr>
              <w:t xml:space="preserve">stażu </w:t>
            </w:r>
            <w:r w:rsidRPr="0077284D">
              <w:rPr>
                <w:rFonts w:asciiTheme="minorHAnsi" w:hAnsiTheme="minorHAnsi" w:cstheme="minorHAnsi"/>
              </w:rPr>
              <w:t>bez konieczności weryfikacji ich jakości (okres trwania, wymagane umiejętności itp.). Należy uwzględniać wszystkie oferty, które są zgodne z ww. definicją.</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lastRenderedPageBreak/>
              <w:t>Zgodnie z wytycznymi KE ofertami nie są opisane poniżej sytuacje:</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(1) oferty stażu, kształcenia zawodowego lub innych działań stanowiące element wsparcia realizowanego w ramach projektu EFS, w</w:t>
            </w:r>
            <w:r w:rsidR="00F6229F" w:rsidRPr="0077284D">
              <w:rPr>
                <w:rFonts w:asciiTheme="minorHAnsi" w:hAnsiTheme="minorHAnsi" w:cstheme="minorHAnsi"/>
              </w:rPr>
              <w:t> </w:t>
            </w:r>
            <w:r w:rsidRPr="0077284D">
              <w:rPr>
                <w:rFonts w:asciiTheme="minorHAnsi" w:hAnsiTheme="minorHAnsi" w:cstheme="minorHAnsi"/>
              </w:rPr>
              <w:t>którym dana osoba uczestniczy,</w:t>
            </w:r>
          </w:p>
          <w:p w:rsidR="00677024"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(2) służby zatrudnienia proponują uczestnikowi złożenie dokumentów aplikacyjnych do konkretnego pracodawcy lub instytucji szkoleniowej. Należy uwzględniać wszystkie osoby, które otrzymały ofertę pracy, kształcenia ustawicznego, przygotowania zawodowego lub stażu w</w:t>
            </w:r>
            <w:r w:rsidR="00F6229F" w:rsidRPr="0077284D">
              <w:rPr>
                <w:rFonts w:asciiTheme="minorHAnsi" w:hAnsiTheme="minorHAnsi" w:cstheme="minorHAnsi"/>
              </w:rPr>
              <w:t> </w:t>
            </w:r>
            <w:r w:rsidRPr="0077284D">
              <w:rPr>
                <w:rFonts w:asciiTheme="minorHAnsi" w:hAnsiTheme="minorHAnsi" w:cstheme="minorHAnsi"/>
              </w:rPr>
              <w:t>okresie do 4 tygodni od zakończenia udziału w projekcie. W przypadku, gdy uczestnik otrzyma ofertę (np. pracy) w trakcie udziału w</w:t>
            </w:r>
            <w:r w:rsidR="00F6229F" w:rsidRPr="0077284D">
              <w:rPr>
                <w:rFonts w:asciiTheme="minorHAnsi" w:hAnsiTheme="minorHAnsi" w:cstheme="minorHAnsi"/>
              </w:rPr>
              <w:t> </w:t>
            </w:r>
            <w:r w:rsidRPr="0077284D">
              <w:rPr>
                <w:rFonts w:asciiTheme="minorHAnsi" w:hAnsiTheme="minorHAnsi" w:cstheme="minorHAnsi"/>
              </w:rPr>
              <w:t>projekcie, należy tę ofertę wykazać pod warunkiem, iż uczestnik przyjmie przedstawioną mu propozycję. Natomiast, gdy oferta zostanie przedstawiona przed zakończeniem udziału w projekcie, jednak uczestnik ją odrzuci i nadal będzie uczestniczyć w projekcie, takiej oferty nie należy uwzględniać.</w:t>
            </w:r>
          </w:p>
          <w:p w:rsidR="00B35017"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Staż to oznaczony w czasie okres zdobywania praktyki zawodowej w biznesie, instytucjach publicznych lub instytucjach non-profit, w celu zdobycia praktycznego doświadczenia zawodowego przed podjęciem zatrudnienia. Staż może trwać od kilku tygodni do kilku miesięcy i</w:t>
            </w:r>
            <w:r w:rsidR="00F6229F" w:rsidRPr="0077284D">
              <w:rPr>
                <w:rFonts w:asciiTheme="minorHAnsi" w:hAnsiTheme="minorHAnsi" w:cstheme="minorHAnsi"/>
              </w:rPr>
              <w:t> </w:t>
            </w:r>
            <w:r w:rsidRPr="0077284D">
              <w:rPr>
                <w:rFonts w:asciiTheme="minorHAnsi" w:hAnsiTheme="minorHAnsi" w:cstheme="minorHAnsi"/>
              </w:rPr>
              <w:t>powszechnie nie jest uznawany jako umowa o pracę, ponieważ jego głównym celem jest umożliwienie zdobycia doświadczenia zawodowego, a nie możliwość pracy zarobkowej. Wyróżnia się pięć typów staży (częściowo nakładających się):</w:t>
            </w:r>
          </w:p>
          <w:p w:rsidR="00B35017" w:rsidRDefault="0063091A" w:rsidP="0077284D">
            <w:pPr>
              <w:pStyle w:val="Akapitzlist"/>
              <w:numPr>
                <w:ilvl w:val="0"/>
                <w:numId w:val="1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 xml:space="preserve">staże stanowiące obowiązkową lub nieobowiązkową część podstaw programowych i/lub programów nauczania (np. staże w trakcie edukacji), </w:t>
            </w:r>
          </w:p>
          <w:p w:rsidR="00B35017" w:rsidRDefault="0063091A" w:rsidP="0077284D">
            <w:pPr>
              <w:pStyle w:val="Akapitzlist"/>
              <w:numPr>
                <w:ilvl w:val="0"/>
                <w:numId w:val="1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staże, stanowiące część obowiązkowego szkolenia zawodowego (np. prawo, medycyna, nauczanie, architektura, księgowość, itp.)</w:t>
            </w:r>
          </w:p>
          <w:p w:rsidR="00DE53D1" w:rsidRPr="0077284D" w:rsidRDefault="0063091A" w:rsidP="0077284D">
            <w:pPr>
              <w:pStyle w:val="Akapitzlist"/>
              <w:numPr>
                <w:ilvl w:val="0"/>
                <w:numId w:val="1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staże w ramach aktywnej polityki rynku pracy</w:t>
            </w:r>
          </w:p>
          <w:p w:rsidR="00B35017" w:rsidRDefault="0063091A" w:rsidP="0077284D">
            <w:pPr>
              <w:pStyle w:val="Akapitzlist"/>
              <w:numPr>
                <w:ilvl w:val="0"/>
                <w:numId w:val="1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staże uzgodnione (co do zakresu i formy) między stażystą a organizacją (biznes, organizacje non-profit lub administracja publiczna) bez udziału innych stron, zazwyczaj przeprowadzane po zakończeniu studiów i/lub w ramach poszukiwania pracy</w:t>
            </w:r>
          </w:p>
          <w:p w:rsidR="0063091A" w:rsidRPr="0077284D" w:rsidRDefault="0063091A" w:rsidP="0077284D">
            <w:pPr>
              <w:pStyle w:val="Akapitzlist"/>
              <w:numPr>
                <w:ilvl w:val="0"/>
                <w:numId w:val="1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staże zagraniczne, które mogą obejmować staże typu 1, 2 i 4.</w:t>
            </w:r>
          </w:p>
        </w:tc>
      </w:tr>
      <w:tr w:rsidR="00253BD1" w:rsidRPr="001565F7" w:rsidTr="0077284D">
        <w:trPr>
          <w:trHeight w:val="12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Kluczowy pracownik instytucji pomocy i integracji społecznej</w:t>
            </w:r>
          </w:p>
        </w:tc>
        <w:tc>
          <w:tcPr>
            <w:tcW w:w="12184" w:type="dxa"/>
            <w:shd w:val="clear" w:color="auto" w:fill="auto"/>
            <w:hideMark/>
          </w:tcPr>
          <w:p w:rsidR="00B35017" w:rsidRDefault="0063091A" w:rsidP="00803777">
            <w:pPr>
              <w:spacing w:before="120" w:after="120" w:line="240" w:lineRule="auto"/>
              <w:jc w:val="both"/>
              <w:rPr>
                <w:rFonts w:asciiTheme="minorHAnsi" w:hAnsiTheme="minorHAnsi" w:cstheme="minorHAnsi"/>
              </w:rPr>
            </w:pPr>
            <w:r w:rsidRPr="0077284D">
              <w:rPr>
                <w:rFonts w:asciiTheme="minorHAnsi" w:hAnsiTheme="minorHAnsi" w:cstheme="minorHAnsi"/>
              </w:rPr>
              <w:t xml:space="preserve">Kluczowy pracownik </w:t>
            </w:r>
            <w:r w:rsidR="00803777" w:rsidRPr="0077284D">
              <w:rPr>
                <w:rFonts w:asciiTheme="minorHAnsi" w:hAnsiTheme="minorHAnsi" w:cstheme="minorHAnsi"/>
              </w:rPr>
              <w:t xml:space="preserve">– </w:t>
            </w:r>
            <w:r w:rsidRPr="0077284D">
              <w:rPr>
                <w:rFonts w:asciiTheme="minorHAnsi" w:hAnsiTheme="minorHAnsi" w:cstheme="minorHAnsi"/>
              </w:rPr>
              <w:t>osoba zajmująca się bezpośrednią pomocą osobom zagrożonym  wykluczeniem społecznym w formie usług a</w:t>
            </w:r>
            <w:r w:rsidR="00DE53D1" w:rsidRPr="0077284D">
              <w:rPr>
                <w:rFonts w:asciiTheme="minorHAnsi" w:hAnsiTheme="minorHAnsi" w:cstheme="minorHAnsi"/>
              </w:rPr>
              <w:t>ktywizacyjnych, pracy socjalnej</w:t>
            </w:r>
            <w:r w:rsidRPr="0077284D">
              <w:rPr>
                <w:rFonts w:asciiTheme="minorHAnsi" w:hAnsiTheme="minorHAnsi" w:cstheme="minorHAnsi"/>
              </w:rPr>
              <w:t xml:space="preserve"> i innych usług społecznych, w szczególności pracownik socjalny i aspirant pracy socjalnej.</w:t>
            </w:r>
          </w:p>
          <w:p w:rsidR="0063091A" w:rsidRPr="0077284D" w:rsidRDefault="0063091A" w:rsidP="00803777">
            <w:pPr>
              <w:spacing w:before="120" w:after="120" w:line="240" w:lineRule="auto"/>
              <w:jc w:val="both"/>
              <w:rPr>
                <w:rFonts w:asciiTheme="minorHAnsi" w:hAnsiTheme="minorHAnsi" w:cstheme="minorHAnsi"/>
              </w:rPr>
            </w:pPr>
            <w:r w:rsidRPr="0077284D">
              <w:rPr>
                <w:rFonts w:asciiTheme="minorHAnsi" w:hAnsiTheme="minorHAnsi" w:cstheme="minorHAnsi"/>
              </w:rPr>
              <w:t xml:space="preserve">Instytucje pomocy i integracji społecznej </w:t>
            </w:r>
            <w:r w:rsidR="00803777" w:rsidRPr="0077284D">
              <w:rPr>
                <w:rFonts w:asciiTheme="minorHAnsi" w:hAnsiTheme="minorHAnsi" w:cstheme="minorHAnsi"/>
              </w:rPr>
              <w:t>–</w:t>
            </w:r>
            <w:r w:rsidRPr="0077284D">
              <w:rPr>
                <w:rFonts w:asciiTheme="minorHAnsi" w:hAnsiTheme="minorHAnsi" w:cstheme="minorHAnsi"/>
              </w:rPr>
              <w:t xml:space="preserve"> jednostki organizacyjne pomocy społecznej wymienione w ustawie o pomocy społecznej oraz  podmioty, o których mowa w ustawie o zatrudnieniu socjalnym. </w:t>
            </w:r>
          </w:p>
        </w:tc>
      </w:tr>
      <w:tr w:rsidR="00253BD1" w:rsidRPr="001565F7" w:rsidTr="0077284D">
        <w:trPr>
          <w:trHeight w:val="12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Osoby bierne zawodowo</w:t>
            </w:r>
          </w:p>
        </w:tc>
        <w:tc>
          <w:tcPr>
            <w:tcW w:w="12184" w:type="dxa"/>
            <w:shd w:val="clear" w:color="auto" w:fill="auto"/>
            <w:hideMark/>
          </w:tcPr>
          <w:p w:rsidR="00DE53D1"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To osoby, które w danej chwili nie tworzą zasobów siły roboczej (tzn. nie pracują i nie są bezrobotne). Za biernych zawodowo uznaje się m.in. studentów studiów stacjonarnych.</w:t>
            </w:r>
          </w:p>
          <w:p w:rsidR="00DE53D1" w:rsidRPr="0077284D" w:rsidRDefault="00DE53D1"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Osoby bę</w:t>
            </w:r>
            <w:r w:rsidR="0063091A" w:rsidRPr="0077284D">
              <w:rPr>
                <w:rFonts w:asciiTheme="minorHAnsi" w:hAnsiTheme="minorHAnsi" w:cstheme="minorHAnsi"/>
              </w:rPr>
              <w:t>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Osoby prowadzące działalność na własny rachunek (w tym bezpłatnie pomagający osobie prowadzącej działalność członek rodziny) nie są uznawane za bierne zawodowo.</w:t>
            </w:r>
          </w:p>
          <w:p w:rsidR="003D0536" w:rsidRPr="0077284D" w:rsidRDefault="003D0536" w:rsidP="003D0536">
            <w:pPr>
              <w:spacing w:before="120" w:after="120" w:line="240" w:lineRule="auto"/>
              <w:jc w:val="both"/>
              <w:rPr>
                <w:rFonts w:asciiTheme="minorHAnsi" w:hAnsiTheme="minorHAnsi" w:cstheme="minorHAnsi"/>
              </w:rPr>
            </w:pPr>
            <w:r w:rsidRPr="0077284D">
              <w:rPr>
                <w:rFonts w:asciiTheme="minorHAnsi" w:hAnsiTheme="minorHAnsi" w:cstheme="minorHAnsi"/>
              </w:rPr>
              <w:t>Dzieci i młodzież do 18 r. ż. są co do zasady uznawane za osoby bierne zawodowo, o ile nie spełniają przesłanek, na podstawie których można je zaliczyć do osób bezrobotnych lub pracujących (tj. poszukują pracy lub podjęły pracę).</w:t>
            </w:r>
          </w:p>
          <w:p w:rsidR="003D0536" w:rsidRPr="0077284D" w:rsidRDefault="003D0536" w:rsidP="003D0536">
            <w:pPr>
              <w:spacing w:before="120" w:after="120" w:line="240" w:lineRule="auto"/>
              <w:jc w:val="both"/>
              <w:rPr>
                <w:rFonts w:asciiTheme="minorHAnsi" w:hAnsiTheme="minorHAnsi" w:cstheme="minorHAnsi"/>
              </w:rPr>
            </w:pPr>
            <w:r w:rsidRPr="0077284D">
              <w:rPr>
                <w:rFonts w:asciiTheme="minorHAnsi" w:hAnsiTheme="minorHAnsi" w:cstheme="minorHAnsi"/>
              </w:rPr>
              <w:t>Studenci studiów stacjonarnych, którzy są zatrudnieni (również na część etatu) powinni być wykazywani jako osoby pracujące.</w:t>
            </w:r>
          </w:p>
          <w:p w:rsidR="003D0536" w:rsidRPr="0077284D" w:rsidRDefault="003D0536" w:rsidP="003D0536">
            <w:pPr>
              <w:spacing w:before="120" w:after="120" w:line="240" w:lineRule="auto"/>
              <w:jc w:val="both"/>
              <w:rPr>
                <w:rFonts w:asciiTheme="minorHAnsi" w:hAnsiTheme="minorHAnsi" w:cstheme="minorHAnsi"/>
              </w:rPr>
            </w:pPr>
            <w:r w:rsidRPr="0077284D">
              <w:rPr>
                <w:rFonts w:asciiTheme="minorHAnsi" w:hAnsiTheme="minorHAnsi" w:cstheme="minorHAnsi"/>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rsidR="003D0536" w:rsidRPr="0077284D" w:rsidRDefault="003D0536" w:rsidP="003D0536">
            <w:pPr>
              <w:spacing w:before="120" w:after="120" w:line="240" w:lineRule="auto"/>
              <w:jc w:val="both"/>
              <w:rPr>
                <w:rFonts w:asciiTheme="minorHAnsi" w:hAnsiTheme="minorHAnsi" w:cstheme="minorHAnsi"/>
              </w:rPr>
            </w:pPr>
            <w:r w:rsidRPr="0077284D">
              <w:rPr>
                <w:rFonts w:asciiTheme="minorHAnsi" w:hAnsiTheme="minorHAnsi" w:cstheme="minorHAnsi"/>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tc>
      </w:tr>
      <w:tr w:rsidR="00253BD1" w:rsidRPr="001565F7" w:rsidTr="0077284D">
        <w:trPr>
          <w:trHeight w:val="45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Osoby z innych grup w niekorzystnej sytuacji społecznej</w:t>
            </w:r>
          </w:p>
        </w:tc>
        <w:tc>
          <w:tcPr>
            <w:tcW w:w="12184" w:type="dxa"/>
            <w:shd w:val="clear" w:color="auto" w:fill="auto"/>
            <w:hideMark/>
          </w:tcPr>
          <w:p w:rsidR="00B35017"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Kategoria odnosi się do wszystkich grup uczestników w niekorzystnej sytuacji, takich jak osoby zagrożone wykluczeniem społecznym.  </w:t>
            </w:r>
          </w:p>
          <w:p w:rsidR="009412EF" w:rsidRPr="0077284D" w:rsidRDefault="000B38C7" w:rsidP="00253BD1">
            <w:pPr>
              <w:spacing w:before="120" w:after="120" w:line="240" w:lineRule="auto"/>
              <w:jc w:val="both"/>
              <w:rPr>
                <w:rFonts w:asciiTheme="minorHAnsi" w:hAnsiTheme="minorHAnsi" w:cstheme="minorHAnsi"/>
              </w:rPr>
            </w:pPr>
            <w:r w:rsidRPr="0077284D">
              <w:rPr>
                <w:rFonts w:asciiTheme="minorHAnsi" w:hAnsiTheme="minorHAnsi" w:cstheme="minorHAnsi"/>
              </w:rPr>
              <w:t>Definicja</w:t>
            </w:r>
            <w:r w:rsidR="0063091A" w:rsidRPr="0077284D">
              <w:rPr>
                <w:rFonts w:asciiTheme="minorHAnsi" w:hAnsiTheme="minorHAnsi" w:cstheme="minorHAnsi"/>
              </w:rPr>
              <w:t xml:space="preserve"> dotyczy cech powodujących niekorzystną sytuację społeczną, </w:t>
            </w:r>
            <w:r w:rsidR="0063091A" w:rsidRPr="0077284D">
              <w:rPr>
                <w:rFonts w:asciiTheme="minorHAnsi" w:hAnsiTheme="minorHAnsi" w:cstheme="minorHAnsi"/>
                <w:u w:val="single"/>
              </w:rPr>
              <w:t>z wyłączeniem</w:t>
            </w:r>
            <w:r w:rsidR="0063091A" w:rsidRPr="0077284D">
              <w:rPr>
                <w:rFonts w:asciiTheme="minorHAnsi" w:hAnsiTheme="minorHAnsi" w:cstheme="minorHAnsi"/>
              </w:rPr>
              <w:t xml:space="preserve"> cech wykazanych we wskaźnika</w:t>
            </w:r>
            <w:r w:rsidR="009412EF" w:rsidRPr="0077284D">
              <w:rPr>
                <w:rFonts w:asciiTheme="minorHAnsi" w:hAnsiTheme="minorHAnsi" w:cstheme="minorHAnsi"/>
              </w:rPr>
              <w:t>ch</w:t>
            </w:r>
            <w:r w:rsidR="0063091A" w:rsidRPr="0077284D">
              <w:rPr>
                <w:rFonts w:asciiTheme="minorHAnsi" w:hAnsiTheme="minorHAnsi" w:cstheme="minorHAnsi"/>
              </w:rPr>
              <w:t xml:space="preserve"> dotyczących: osób z niepełnosprawnościami, migrantów</w:t>
            </w:r>
            <w:r w:rsidR="00C518A1" w:rsidRPr="0077284D">
              <w:rPr>
                <w:rFonts w:asciiTheme="minorHAnsi" w:hAnsiTheme="minorHAnsi" w:cstheme="minorHAnsi"/>
              </w:rPr>
              <w:t>,</w:t>
            </w:r>
            <w:r w:rsidR="0063091A" w:rsidRPr="0077284D">
              <w:rPr>
                <w:rFonts w:asciiTheme="minorHAnsi" w:hAnsiTheme="minorHAnsi" w:cstheme="minorHAnsi"/>
              </w:rPr>
              <w:t>,</w:t>
            </w:r>
            <w:r w:rsidR="009412EF" w:rsidRPr="0077284D">
              <w:rPr>
                <w:rFonts w:asciiTheme="minorHAnsi" w:hAnsiTheme="minorHAnsi" w:cstheme="minorHAnsi"/>
              </w:rPr>
              <w:t xml:space="preserve">osób obcego pochodzenia i mniejszości </w:t>
            </w:r>
            <w:r w:rsidR="00DE53D1" w:rsidRPr="0077284D">
              <w:rPr>
                <w:rFonts w:asciiTheme="minorHAnsi" w:hAnsiTheme="minorHAnsi" w:cstheme="minorHAnsi"/>
              </w:rPr>
              <w:t xml:space="preserve">. </w:t>
            </w:r>
          </w:p>
          <w:p w:rsidR="00DE53D1" w:rsidRPr="0077284D" w:rsidRDefault="009412EF" w:rsidP="00253BD1">
            <w:pPr>
              <w:spacing w:before="120" w:after="120" w:line="240" w:lineRule="auto"/>
              <w:jc w:val="both"/>
              <w:rPr>
                <w:rFonts w:asciiTheme="minorHAnsi" w:hAnsiTheme="minorHAnsi" w:cstheme="minorHAnsi"/>
              </w:rPr>
            </w:pPr>
            <w:r w:rsidRPr="0077284D">
              <w:rPr>
                <w:rFonts w:asciiTheme="minorHAnsi" w:hAnsiTheme="minorHAnsi" w:cstheme="minorHAnsi"/>
              </w:rPr>
              <w:t>N</w:t>
            </w:r>
            <w:r w:rsidR="0063091A" w:rsidRPr="0077284D">
              <w:rPr>
                <w:rFonts w:asciiTheme="minorHAnsi" w:hAnsiTheme="minorHAnsi" w:cstheme="minorHAnsi"/>
              </w:rPr>
              <w:t>iekorzystn</w:t>
            </w:r>
            <w:r w:rsidRPr="0077284D">
              <w:rPr>
                <w:rFonts w:asciiTheme="minorHAnsi" w:hAnsiTheme="minorHAnsi" w:cstheme="minorHAnsi"/>
              </w:rPr>
              <w:t>a</w:t>
            </w:r>
            <w:r w:rsidR="0063091A" w:rsidRPr="0077284D">
              <w:rPr>
                <w:rFonts w:asciiTheme="minorHAnsi" w:hAnsiTheme="minorHAnsi" w:cstheme="minorHAnsi"/>
              </w:rPr>
              <w:t xml:space="preserve"> sytuacj</w:t>
            </w:r>
            <w:r w:rsidRPr="0077284D">
              <w:rPr>
                <w:rFonts w:asciiTheme="minorHAnsi" w:hAnsiTheme="minorHAnsi" w:cstheme="minorHAnsi"/>
              </w:rPr>
              <w:t>a</w:t>
            </w:r>
            <w:r w:rsidR="0063091A" w:rsidRPr="0077284D">
              <w:rPr>
                <w:rFonts w:asciiTheme="minorHAnsi" w:hAnsiTheme="minorHAnsi" w:cstheme="minorHAnsi"/>
              </w:rPr>
              <w:t xml:space="preserve"> dot</w:t>
            </w:r>
            <w:r w:rsidRPr="0077284D">
              <w:rPr>
                <w:rFonts w:asciiTheme="minorHAnsi" w:hAnsiTheme="minorHAnsi" w:cstheme="minorHAnsi"/>
              </w:rPr>
              <w:t>ycząca</w:t>
            </w:r>
            <w:r w:rsidR="0063091A" w:rsidRPr="0077284D">
              <w:rPr>
                <w:rFonts w:asciiTheme="minorHAnsi" w:hAnsiTheme="minorHAnsi" w:cstheme="minorHAnsi"/>
              </w:rPr>
              <w:t xml:space="preserve"> płci, statusu na rynku pracy (np. długotrwałe bezrobocie), wieku lub osiągnięcia wykształcenia co najmniej na poziomie ISCED 1</w:t>
            </w:r>
            <w:r w:rsidRPr="0077284D">
              <w:rPr>
                <w:rFonts w:asciiTheme="minorHAnsi" w:hAnsiTheme="minorHAnsi" w:cstheme="minorHAnsi"/>
              </w:rPr>
              <w:t xml:space="preserve"> nie powinna być uwzględniona w definicji. </w:t>
            </w:r>
          </w:p>
          <w:p w:rsidR="00DE53D1" w:rsidRPr="0077284D" w:rsidRDefault="005105F3"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Do kategorii osób </w:t>
            </w:r>
            <w:r w:rsidR="0063091A" w:rsidRPr="0077284D">
              <w:rPr>
                <w:rFonts w:asciiTheme="minorHAnsi" w:hAnsiTheme="minorHAnsi" w:cstheme="minorHAnsi"/>
              </w:rPr>
              <w:t>w innej niekorzy</w:t>
            </w:r>
            <w:r w:rsidR="00DE53D1" w:rsidRPr="0077284D">
              <w:rPr>
                <w:rFonts w:asciiTheme="minorHAnsi" w:hAnsiTheme="minorHAnsi" w:cstheme="minorHAnsi"/>
              </w:rPr>
              <w:t>s</w:t>
            </w:r>
            <w:r w:rsidR="0063091A" w:rsidRPr="0077284D">
              <w:rPr>
                <w:rFonts w:asciiTheme="minorHAnsi" w:hAnsiTheme="minorHAnsi" w:cstheme="minorHAnsi"/>
              </w:rPr>
              <w:t>tnej sytuacji społecznej</w:t>
            </w:r>
            <w:r w:rsidRPr="0077284D">
              <w:rPr>
                <w:rFonts w:asciiTheme="minorHAnsi" w:hAnsiTheme="minorHAnsi" w:cstheme="minorHAnsi"/>
              </w:rPr>
              <w:t xml:space="preserve"> należy zawsze uwzględniać wskazane poniżej grupy</w:t>
            </w:r>
            <w:r w:rsidR="0063091A" w:rsidRPr="0077284D">
              <w:rPr>
                <w:rFonts w:asciiTheme="minorHAnsi" w:hAnsiTheme="minorHAnsi" w:cstheme="minorHAnsi"/>
              </w:rPr>
              <w:t>:</w:t>
            </w:r>
            <w:r w:rsidR="00DE53D1" w:rsidRPr="0077284D">
              <w:rPr>
                <w:rFonts w:asciiTheme="minorHAnsi" w:hAnsiTheme="minorHAnsi" w:cstheme="minorHAnsi"/>
              </w:rPr>
              <w:t xml:space="preserve"> </w:t>
            </w:r>
          </w:p>
          <w:p w:rsidR="00DE53D1" w:rsidRPr="0077284D" w:rsidRDefault="005105F3" w:rsidP="0077284D">
            <w:pPr>
              <w:numPr>
                <w:ilvl w:val="0"/>
                <w:numId w:val="2"/>
              </w:numPr>
              <w:spacing w:before="120" w:after="120" w:line="240" w:lineRule="auto"/>
              <w:jc w:val="both"/>
              <w:rPr>
                <w:rFonts w:asciiTheme="minorHAnsi" w:hAnsiTheme="minorHAnsi" w:cstheme="minorHAnsi"/>
              </w:rPr>
            </w:pPr>
            <w:r w:rsidRPr="0077284D">
              <w:rPr>
                <w:rFonts w:asciiTheme="minorHAnsi" w:hAnsiTheme="minorHAnsi" w:cstheme="minorHAnsi"/>
              </w:rPr>
              <w:t xml:space="preserve">osoby </w:t>
            </w:r>
            <w:r w:rsidR="0063091A" w:rsidRPr="0077284D">
              <w:rPr>
                <w:rFonts w:asciiTheme="minorHAnsi" w:hAnsiTheme="minorHAnsi" w:cstheme="minorHAnsi"/>
              </w:rPr>
              <w:t xml:space="preserve">z wykształceniem na poziomie ISCED 0 (przez co należy rozumieć brak ukończenia poziomu </w:t>
            </w:r>
            <w:r w:rsidR="009412EF" w:rsidRPr="0077284D">
              <w:rPr>
                <w:rFonts w:asciiTheme="minorHAnsi" w:hAnsiTheme="minorHAnsi" w:cstheme="minorHAnsi"/>
              </w:rPr>
              <w:t xml:space="preserve">co najmniej </w:t>
            </w:r>
            <w:r w:rsidR="0063091A" w:rsidRPr="0077284D">
              <w:rPr>
                <w:rFonts w:asciiTheme="minorHAnsi" w:hAnsiTheme="minorHAnsi" w:cstheme="minorHAnsi"/>
              </w:rPr>
              <w:t>ISCED 1)</w:t>
            </w:r>
            <w:r w:rsidR="009412EF" w:rsidRPr="0077284D">
              <w:rPr>
                <w:rFonts w:asciiTheme="minorHAnsi" w:hAnsiTheme="minorHAnsi" w:cstheme="minorHAnsi"/>
              </w:rPr>
              <w:t xml:space="preserve"> i</w:t>
            </w:r>
            <w:r w:rsidR="0063091A" w:rsidRPr="0077284D">
              <w:rPr>
                <w:rFonts w:asciiTheme="minorHAnsi" w:hAnsiTheme="minorHAnsi" w:cstheme="minorHAnsi"/>
              </w:rPr>
              <w:t xml:space="preserve"> będąc</w:t>
            </w:r>
            <w:r w:rsidR="009412EF" w:rsidRPr="0077284D">
              <w:rPr>
                <w:rFonts w:asciiTheme="minorHAnsi" w:hAnsiTheme="minorHAnsi" w:cstheme="minorHAnsi"/>
              </w:rPr>
              <w:t>e</w:t>
            </w:r>
            <w:r w:rsidR="0063091A" w:rsidRPr="0077284D">
              <w:rPr>
                <w:rFonts w:asciiTheme="minorHAnsi" w:hAnsiTheme="minorHAnsi" w:cstheme="minorHAnsi"/>
              </w:rPr>
              <w:t xml:space="preserve"> poza wiekiem typowym dla ukończenia poziomu ISCED 1</w:t>
            </w:r>
          </w:p>
          <w:p w:rsidR="00DE53D1" w:rsidRPr="0077284D" w:rsidRDefault="0063091A" w:rsidP="0077284D">
            <w:pPr>
              <w:numPr>
                <w:ilvl w:val="0"/>
                <w:numId w:val="2"/>
              </w:numPr>
              <w:spacing w:before="120" w:after="120" w:line="240" w:lineRule="auto"/>
              <w:jc w:val="both"/>
              <w:rPr>
                <w:rFonts w:asciiTheme="minorHAnsi" w:hAnsiTheme="minorHAnsi" w:cstheme="minorHAnsi"/>
              </w:rPr>
            </w:pPr>
            <w:r w:rsidRPr="0077284D">
              <w:rPr>
                <w:rFonts w:asciiTheme="minorHAnsi" w:hAnsiTheme="minorHAnsi" w:cstheme="minorHAnsi"/>
              </w:rPr>
              <w:t>byli więźniowie,</w:t>
            </w:r>
            <w:r w:rsidR="00DE53D1" w:rsidRPr="0077284D">
              <w:rPr>
                <w:rFonts w:asciiTheme="minorHAnsi" w:hAnsiTheme="minorHAnsi" w:cstheme="minorHAnsi"/>
              </w:rPr>
              <w:t xml:space="preserve"> </w:t>
            </w:r>
          </w:p>
          <w:p w:rsidR="001660F0" w:rsidRPr="0077284D" w:rsidRDefault="0063091A" w:rsidP="0077284D">
            <w:pPr>
              <w:numPr>
                <w:ilvl w:val="0"/>
                <w:numId w:val="2"/>
              </w:numPr>
              <w:spacing w:before="120" w:after="120" w:line="240" w:lineRule="auto"/>
              <w:jc w:val="both"/>
              <w:rPr>
                <w:rFonts w:asciiTheme="minorHAnsi" w:hAnsiTheme="minorHAnsi" w:cstheme="minorHAnsi"/>
              </w:rPr>
            </w:pPr>
            <w:r w:rsidRPr="0077284D">
              <w:rPr>
                <w:rFonts w:asciiTheme="minorHAnsi" w:hAnsiTheme="minorHAnsi" w:cstheme="minorHAnsi"/>
              </w:rPr>
              <w:t>narkomani</w:t>
            </w:r>
            <w:r w:rsidR="001660F0" w:rsidRPr="0077284D">
              <w:rPr>
                <w:rFonts w:asciiTheme="minorHAnsi" w:hAnsiTheme="minorHAnsi" w:cstheme="minorHAnsi"/>
              </w:rPr>
              <w:t>,</w:t>
            </w:r>
          </w:p>
          <w:p w:rsidR="001660F0" w:rsidRPr="0077284D" w:rsidRDefault="001660F0" w:rsidP="0077284D">
            <w:pPr>
              <w:numPr>
                <w:ilvl w:val="0"/>
                <w:numId w:val="2"/>
              </w:numPr>
              <w:spacing w:before="120" w:after="120" w:line="240" w:lineRule="auto"/>
              <w:jc w:val="both"/>
              <w:rPr>
                <w:rFonts w:asciiTheme="minorHAnsi" w:hAnsiTheme="minorHAnsi" w:cstheme="minorHAnsi"/>
              </w:rPr>
            </w:pPr>
            <w:r w:rsidRPr="0077284D">
              <w:rPr>
                <w:rFonts w:asciiTheme="minorHAnsi" w:hAnsiTheme="minorHAnsi" w:cstheme="minorHAnsi"/>
              </w:rPr>
              <w:t>osoby bezdomne</w:t>
            </w:r>
            <w:r w:rsidR="00111DAF" w:rsidRPr="0077284D">
              <w:rPr>
                <w:rFonts w:asciiTheme="minorHAnsi" w:hAnsiTheme="minorHAnsi" w:cstheme="minorHAnsi"/>
              </w:rPr>
              <w:t xml:space="preserve"> </w:t>
            </w:r>
            <w:r w:rsidR="009412EF" w:rsidRPr="0077284D">
              <w:rPr>
                <w:rFonts w:asciiTheme="minorHAnsi" w:hAnsiTheme="minorHAnsi" w:cstheme="minorHAnsi"/>
              </w:rPr>
              <w:t xml:space="preserve"> i </w:t>
            </w:r>
            <w:r w:rsidRPr="0077284D">
              <w:rPr>
                <w:rFonts w:asciiTheme="minorHAnsi" w:hAnsiTheme="minorHAnsi" w:cstheme="minorHAnsi"/>
              </w:rPr>
              <w:t>wykluczone z dostępu do mieszkań,</w:t>
            </w:r>
          </w:p>
          <w:p w:rsidR="00DE53D1" w:rsidRPr="0077284D" w:rsidRDefault="001660F0" w:rsidP="0077284D">
            <w:pPr>
              <w:numPr>
                <w:ilvl w:val="0"/>
                <w:numId w:val="2"/>
              </w:numPr>
              <w:spacing w:before="120" w:after="120" w:line="240" w:lineRule="auto"/>
              <w:jc w:val="both"/>
              <w:rPr>
                <w:rFonts w:asciiTheme="minorHAnsi" w:hAnsiTheme="minorHAnsi" w:cstheme="minorHAnsi"/>
              </w:rPr>
            </w:pPr>
            <w:r w:rsidRPr="0077284D">
              <w:rPr>
                <w:rFonts w:asciiTheme="minorHAnsi" w:hAnsiTheme="minorHAnsi" w:cstheme="minorHAnsi"/>
              </w:rPr>
              <w:t>osoby z obszarów wiejskich</w:t>
            </w:r>
            <w:r w:rsidR="009412EF" w:rsidRPr="0077284D">
              <w:rPr>
                <w:rFonts w:asciiTheme="minorHAnsi" w:hAnsiTheme="minorHAnsi" w:cstheme="minorHAnsi"/>
              </w:rPr>
              <w:t xml:space="preserve"> (wg stopnia urbanizacji DEGURBA 3)</w:t>
            </w:r>
          </w:p>
          <w:p w:rsidR="0063091A" w:rsidRPr="0077284D" w:rsidRDefault="0063091A" w:rsidP="00293EE9">
            <w:pPr>
              <w:spacing w:before="120" w:after="120" w:line="240" w:lineRule="auto"/>
              <w:jc w:val="both"/>
              <w:rPr>
                <w:rFonts w:asciiTheme="minorHAnsi" w:hAnsiTheme="minorHAnsi" w:cstheme="minorHAnsi"/>
              </w:rPr>
            </w:pPr>
            <w:r w:rsidRPr="0077284D">
              <w:rPr>
                <w:rFonts w:asciiTheme="minorHAnsi" w:hAnsiTheme="minorHAnsi" w:cstheme="minorHAnsi"/>
              </w:rPr>
              <w:t xml:space="preserve">W przypadku, kiedy dana osoba zostaje uznana za znajdującą się w niekorzystnej sytuacji (np. z ww. powodu wykształcenia) jest jednocześnie np. osobą niepełnosprawną, należy ją wykazać w obu wskaźnikach (dot. niepełnosprawności oraz niekorzystnej sytuacji). </w:t>
            </w:r>
            <w:r w:rsidRPr="0077284D">
              <w:rPr>
                <w:rFonts w:asciiTheme="minorHAnsi" w:hAnsiTheme="minorHAnsi" w:cstheme="minorHAnsi"/>
              </w:rPr>
              <w:br/>
              <w:t>Katalog cech włączających uczestnika do grupy znajdującej się w niekorzystnej sytuacji jest otwarty i przy zachowaniu powyższych wytycznych, w uzasadnionych przypadkach może zostać rozszerzony przez projektodawcę.</w:t>
            </w:r>
          </w:p>
        </w:tc>
      </w:tr>
      <w:tr w:rsidR="00253BD1" w:rsidRPr="001565F7" w:rsidTr="0077284D">
        <w:trPr>
          <w:trHeight w:val="274"/>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Wykształcenie niższe niż podstawowe</w:t>
            </w:r>
          </w:p>
        </w:tc>
        <w:tc>
          <w:tcPr>
            <w:tcW w:w="12184" w:type="dxa"/>
            <w:shd w:val="clear" w:color="auto" w:fill="auto"/>
            <w:hideMark/>
          </w:tcPr>
          <w:p w:rsidR="00DE53D1"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Osoba, która nie </w:t>
            </w:r>
            <w:r w:rsidR="00B16EC1" w:rsidRPr="0077284D">
              <w:rPr>
                <w:rFonts w:asciiTheme="minorHAnsi" w:hAnsiTheme="minorHAnsi" w:cstheme="minorHAnsi"/>
              </w:rPr>
              <w:t xml:space="preserve">posiada </w:t>
            </w:r>
            <w:r w:rsidRPr="0077284D">
              <w:rPr>
                <w:rFonts w:asciiTheme="minorHAnsi" w:hAnsiTheme="minorHAnsi" w:cstheme="minorHAnsi"/>
              </w:rPr>
              <w:t xml:space="preserve">wykształcenia podstawowego  (poziom ISCED </w:t>
            </w:r>
            <w:r w:rsidR="00293EE9" w:rsidRPr="0077284D">
              <w:rPr>
                <w:rFonts w:asciiTheme="minorHAnsi" w:hAnsiTheme="minorHAnsi" w:cstheme="minorHAnsi"/>
              </w:rPr>
              <w:t>1</w:t>
            </w:r>
            <w:r w:rsidRPr="0077284D">
              <w:rPr>
                <w:rFonts w:asciiTheme="minorHAnsi" w:hAnsiTheme="minorHAnsi" w:cstheme="minorHAnsi"/>
              </w:rPr>
              <w:t>)</w:t>
            </w:r>
            <w:r w:rsidR="0082017C">
              <w:rPr>
                <w:rFonts w:asciiTheme="minorHAnsi" w:hAnsiTheme="minorHAnsi" w:cstheme="minorHAnsi"/>
              </w:rPr>
              <w:t>.</w:t>
            </w:r>
          </w:p>
          <w:p w:rsidR="00DE53D1"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Osobę tę wykazujemy w zależności od tego, czy ukończyła zwyczajowo przyjęty wiek na zakończenie edukacji na poziomie wykształcenia podstawowego (poziom ISCED 1):</w:t>
            </w:r>
            <w:r w:rsidR="00DE53D1" w:rsidRPr="0077284D">
              <w:rPr>
                <w:rFonts w:asciiTheme="minorHAnsi" w:hAnsiTheme="minorHAnsi" w:cstheme="minorHAnsi"/>
              </w:rPr>
              <w:t xml:space="preserve"> </w:t>
            </w:r>
          </w:p>
          <w:p w:rsidR="00DE53D1" w:rsidRPr="0077284D" w:rsidRDefault="0063091A" w:rsidP="0077284D">
            <w:pPr>
              <w:pStyle w:val="Akapitzlist"/>
              <w:numPr>
                <w:ilvl w:val="0"/>
                <w:numId w:val="8"/>
              </w:numPr>
              <w:spacing w:after="120" w:line="240" w:lineRule="auto"/>
              <w:ind w:left="714" w:hanging="357"/>
              <w:contextualSpacing w:val="0"/>
              <w:jc w:val="both"/>
              <w:rPr>
                <w:rFonts w:asciiTheme="minorHAnsi" w:hAnsiTheme="minorHAnsi" w:cstheme="minorHAnsi"/>
              </w:rPr>
            </w:pPr>
            <w:r w:rsidRPr="0077284D">
              <w:rPr>
                <w:rFonts w:asciiTheme="minorHAnsi" w:hAnsiTheme="minorHAnsi" w:cstheme="minorHAnsi"/>
              </w:rPr>
              <w:t xml:space="preserve"> osoba, która posiada wiek poniżej  zwyczajowo przyjętego wieku na zakończenie edukacji na poziomie podstawowym (poziom ISCED 1), powinna być przypisana do poziomu wykształcenia podstawowego (poziom ISCED 1);</w:t>
            </w:r>
          </w:p>
          <w:p w:rsidR="0063091A" w:rsidRPr="0077284D" w:rsidRDefault="0063091A" w:rsidP="0077284D">
            <w:pPr>
              <w:pStyle w:val="Akapitzlist"/>
              <w:numPr>
                <w:ilvl w:val="0"/>
                <w:numId w:val="16"/>
              </w:numPr>
              <w:spacing w:after="120" w:line="240" w:lineRule="auto"/>
              <w:contextualSpacing w:val="0"/>
              <w:jc w:val="both"/>
              <w:rPr>
                <w:rFonts w:asciiTheme="minorHAnsi" w:hAnsiTheme="minorHAnsi"/>
                <w:sz w:val="20"/>
              </w:rPr>
            </w:pPr>
            <w:r w:rsidRPr="0077284D">
              <w:rPr>
                <w:rFonts w:asciiTheme="minorHAnsi" w:hAnsiTheme="minorHAnsi" w:cstheme="minorHAnsi"/>
              </w:rPr>
              <w:t xml:space="preserve">osoba, która posiada wiek powyżej  zwyczajowo przyjętego wieku na zakończenie edukacji na poziomie wykształcenia podstawowego (poziom ISCED 1) powinna być przypisana do poziomu wykształcenia niższego niż </w:t>
            </w:r>
            <w:r w:rsidRPr="0077284D">
              <w:rPr>
                <w:rFonts w:asciiTheme="minorHAnsi" w:hAnsiTheme="minorHAnsi" w:cstheme="minorHAnsi"/>
              </w:rPr>
              <w:lastRenderedPageBreak/>
              <w:t>podstawowe (poziom ISCED 0).</w:t>
            </w:r>
            <w:r w:rsidR="00FB50E2" w:rsidRPr="004E33CC">
              <w:rPr>
                <w:rFonts w:asciiTheme="minorHAnsi" w:hAnsiTheme="minorHAnsi"/>
                <w:sz w:val="20"/>
              </w:rPr>
              <w:t xml:space="preserve"> Osoba ta powinna być wykazana jako </w:t>
            </w:r>
            <w:r w:rsidR="00FB50E2" w:rsidRPr="00512830">
              <w:rPr>
                <w:rFonts w:asciiTheme="minorHAnsi" w:hAnsiTheme="minorHAnsi"/>
                <w:sz w:val="20"/>
              </w:rPr>
              <w:t>„</w:t>
            </w:r>
            <w:r w:rsidR="00FB50E2" w:rsidRPr="004E33CC">
              <w:rPr>
                <w:rFonts w:asciiTheme="minorHAnsi" w:hAnsiTheme="minorHAnsi"/>
                <w:sz w:val="20"/>
              </w:rPr>
              <w:t>osoba w innej niekorzystnej sytuacji</w:t>
            </w:r>
            <w:r w:rsidR="00FB50E2" w:rsidRPr="00512830">
              <w:rPr>
                <w:rFonts w:asciiTheme="minorHAnsi" w:hAnsiTheme="minorHAnsi"/>
                <w:sz w:val="20"/>
              </w:rPr>
              <w:t xml:space="preserve"> społecznej</w:t>
            </w:r>
            <w:r w:rsidR="00FB50E2" w:rsidRPr="004E33CC">
              <w:rPr>
                <w:rFonts w:asciiTheme="minorHAnsi" w:hAnsiTheme="minorHAnsi"/>
                <w:sz w:val="20"/>
              </w:rPr>
              <w:t>”</w:t>
            </w:r>
            <w:r w:rsidR="00FB50E2">
              <w:rPr>
                <w:rFonts w:asciiTheme="minorHAnsi" w:hAnsiTheme="minorHAnsi"/>
                <w:sz w:val="20"/>
              </w:rPr>
              <w:t>.</w:t>
            </w:r>
          </w:p>
        </w:tc>
      </w:tr>
      <w:tr w:rsidR="00253BD1" w:rsidRPr="001565F7" w:rsidTr="0077284D">
        <w:trPr>
          <w:trHeight w:val="12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Wykształcenie podstawowe</w:t>
            </w:r>
          </w:p>
        </w:tc>
        <w:tc>
          <w:tcPr>
            <w:tcW w:w="12184" w:type="dxa"/>
            <w:shd w:val="clear" w:color="auto" w:fill="auto"/>
            <w:hideMark/>
          </w:tcPr>
          <w:p w:rsidR="00AB56F5" w:rsidRPr="0077284D" w:rsidRDefault="0063091A" w:rsidP="0082017C">
            <w:pPr>
              <w:spacing w:before="120" w:after="120" w:line="240" w:lineRule="auto"/>
              <w:jc w:val="both"/>
              <w:rPr>
                <w:rFonts w:asciiTheme="minorHAnsi" w:hAnsiTheme="minorHAnsi" w:cstheme="minorHAnsi"/>
              </w:rPr>
            </w:pPr>
            <w:r w:rsidRPr="0077284D">
              <w:rPr>
                <w:rFonts w:asciiTheme="minorHAnsi" w:hAnsiTheme="minorHAnsi" w:cstheme="minorHAnsi"/>
              </w:rPr>
              <w:t>Wykształcenie podstawowe (ISCED 1) – ma na celu przekazywanie uczniom podstawowych umiejętności w zakresie czytania, pisania i</w:t>
            </w:r>
            <w:r w:rsidR="00F6229F" w:rsidRPr="0077284D">
              <w:rPr>
                <w:rFonts w:asciiTheme="minorHAnsi" w:hAnsiTheme="minorHAnsi" w:cstheme="minorHAnsi"/>
              </w:rPr>
              <w:t> </w:t>
            </w:r>
            <w:r w:rsidRPr="0077284D">
              <w:rPr>
                <w:rFonts w:asciiTheme="minorHAnsi" w:hAnsiTheme="minorHAnsi" w:cstheme="minorHAnsi"/>
              </w:rPr>
              <w:t>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w:t>
            </w:r>
            <w:r w:rsidR="00F6229F" w:rsidRPr="0077284D">
              <w:rPr>
                <w:rFonts w:asciiTheme="minorHAnsi" w:hAnsiTheme="minorHAnsi" w:cstheme="minorHAnsi"/>
              </w:rPr>
              <w:t> </w:t>
            </w:r>
            <w:r w:rsidRPr="0077284D">
              <w:rPr>
                <w:rFonts w:asciiTheme="minorHAnsi" w:hAnsiTheme="minorHAnsi" w:cstheme="minorHAnsi"/>
              </w:rPr>
              <w:t>nie więcej niż 7 lat (poziom ISCED 1).</w:t>
            </w:r>
          </w:p>
        </w:tc>
      </w:tr>
      <w:tr w:rsidR="00253BD1" w:rsidRPr="001565F7" w:rsidTr="0077284D">
        <w:trPr>
          <w:trHeight w:val="1200"/>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Wykształcenie gimnazjalne</w:t>
            </w:r>
          </w:p>
        </w:tc>
        <w:tc>
          <w:tcPr>
            <w:tcW w:w="12184" w:type="dxa"/>
            <w:shd w:val="clear" w:color="auto" w:fill="auto"/>
            <w:hideMark/>
          </w:tcPr>
          <w:p w:rsidR="00046561"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Wykształcenie gimnazjalne (ISCED 2) – służy rozwojowi umiejętności nabytych na poziomie wykształcenia podstawowego</w:t>
            </w:r>
            <w:r w:rsidR="00514C20" w:rsidRPr="0077284D">
              <w:rPr>
                <w:rFonts w:asciiTheme="minorHAnsi" w:hAnsiTheme="minorHAnsi" w:cstheme="minorHAnsi"/>
              </w:rPr>
              <w:t xml:space="preserve"> (ISCED 1)</w:t>
            </w:r>
            <w:r w:rsidRPr="0077284D">
              <w:rPr>
                <w:rFonts w:asciiTheme="minorHAnsi" w:hAnsiTheme="minorHAnsi" w:cstheme="minorHAnsi"/>
              </w:rPr>
              <w:t>.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rozpoczęcia nauki na poziomie podstawowym</w:t>
            </w:r>
            <w:r w:rsidR="00514C20" w:rsidRPr="0077284D">
              <w:rPr>
                <w:rFonts w:asciiTheme="minorHAnsi" w:hAnsiTheme="minorHAnsi" w:cstheme="minorHAnsi"/>
              </w:rPr>
              <w:t xml:space="preserve"> (ISCED 1)</w:t>
            </w:r>
            <w:r w:rsidRPr="0077284D">
              <w:rPr>
                <w:rFonts w:asciiTheme="minorHAnsi" w:hAnsiTheme="minorHAnsi" w:cstheme="minorHAnsi"/>
              </w:rPr>
              <w:t>. Uczniowie przystępują do nauki na poziomie gimnazjum są zwykle pomiędzy 12 a 13 rokiem życia.</w:t>
            </w:r>
          </w:p>
          <w:p w:rsidR="00514C20" w:rsidRPr="0077284D" w:rsidRDefault="00514C20" w:rsidP="00622E25">
            <w:pPr>
              <w:spacing w:before="120" w:after="120" w:line="240" w:lineRule="auto"/>
              <w:jc w:val="both"/>
              <w:rPr>
                <w:rFonts w:asciiTheme="minorHAnsi" w:hAnsiTheme="minorHAnsi" w:cstheme="minorHAnsi"/>
              </w:rPr>
            </w:pPr>
            <w:r w:rsidRPr="0077284D">
              <w:rPr>
                <w:rFonts w:asciiTheme="minorHAnsi" w:hAnsiTheme="minorHAnsi" w:cstheme="minorHAnsi"/>
              </w:rPr>
              <w:t>W przypadku osób uczęszczających do 8-letniej szkoły podstawowej (po reformie systemu oświaty), które są poniżej wieku, w którym uzyskuje się poziom ISCED 2, należy przypisać im poziom ISCED 2. W przypadku osób uczęszczając</w:t>
            </w:r>
          </w:p>
        </w:tc>
      </w:tr>
      <w:tr w:rsidR="00253BD1" w:rsidRPr="001565F7" w:rsidTr="0077284D">
        <w:trPr>
          <w:trHeight w:val="418"/>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 xml:space="preserve">Wykształcenie </w:t>
            </w:r>
            <w:r w:rsidR="00C518A1" w:rsidRPr="0077284D">
              <w:rPr>
                <w:rFonts w:asciiTheme="minorHAnsi" w:hAnsiTheme="minorHAnsi" w:cstheme="minorHAnsi"/>
                <w:b/>
                <w:bCs/>
              </w:rPr>
              <w:t>ponadgimnazjalne/ponadpodstawowe</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Wykształcenie ponadgimnazjalne</w:t>
            </w:r>
            <w:r w:rsidR="00514C20" w:rsidRPr="0077284D">
              <w:rPr>
                <w:rFonts w:asciiTheme="minorHAnsi" w:hAnsiTheme="minorHAnsi" w:cstheme="minorHAnsi"/>
              </w:rPr>
              <w:t>/ponadpodstawowe</w:t>
            </w:r>
            <w:r w:rsidRPr="0077284D">
              <w:rPr>
                <w:rFonts w:asciiTheme="minorHAnsi" w:hAnsiTheme="minorHAnsi" w:cstheme="minorHAnsi"/>
              </w:rPr>
              <w:t xml:space="preserve"> (ISCED 3)  –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ponadgimnazjalnym</w:t>
            </w:r>
            <w:r w:rsidR="00514C20" w:rsidRPr="0077284D">
              <w:rPr>
                <w:rFonts w:asciiTheme="minorHAnsi" w:hAnsiTheme="minorHAnsi" w:cstheme="minorHAnsi"/>
              </w:rPr>
              <w:t>/ponadpodstawowym (ISCED 3)</w:t>
            </w:r>
            <w:r w:rsidRPr="0077284D">
              <w:rPr>
                <w:rFonts w:asciiTheme="minorHAnsi" w:hAnsiTheme="minorHAnsi" w:cstheme="minorHAnsi"/>
              </w:rPr>
              <w:t xml:space="preserve">  z reguły kończą się 12 lub 13 lat po rozpoczęciu nauki na poziomie podstawowym </w:t>
            </w:r>
            <w:r w:rsidR="00514C20" w:rsidRPr="0077284D">
              <w:rPr>
                <w:rFonts w:asciiTheme="minorHAnsi" w:hAnsiTheme="minorHAnsi" w:cstheme="minorHAnsi"/>
              </w:rPr>
              <w:t xml:space="preserve"> (ISCED 1) </w:t>
            </w:r>
            <w:r w:rsidRPr="0077284D">
              <w:rPr>
                <w:rFonts w:asciiTheme="minorHAnsi" w:hAnsiTheme="minorHAnsi" w:cstheme="minorHAnsi"/>
              </w:rPr>
              <w:t xml:space="preserve">(lub mniej więcej w wieku 18 lat), przy czym najczęściej jest to okres 12 lat. </w:t>
            </w:r>
          </w:p>
        </w:tc>
      </w:tr>
      <w:tr w:rsidR="00253BD1" w:rsidRPr="001565F7" w:rsidTr="0077284D">
        <w:trPr>
          <w:trHeight w:val="985"/>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Wykształcenie policealne</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Wykształcenie policealne (ISCED 4) ma na celu umożliwienie uczącym się zdobycia wiedzy, umiejętności i kompetencji na poziomie niższym od poziomu studiów wyższych. Programy na poziomie policealnym</w:t>
            </w:r>
            <w:r w:rsidR="006D6954" w:rsidRPr="0077284D">
              <w:rPr>
                <w:rFonts w:asciiTheme="minorHAnsi" w:hAnsiTheme="minorHAnsi" w:cstheme="minorHAnsi"/>
              </w:rPr>
              <w:t xml:space="preserve"> (ISCED 4)</w:t>
            </w:r>
            <w:r w:rsidRPr="0077284D">
              <w:rPr>
                <w:rFonts w:asciiTheme="minorHAnsi" w:hAnsiTheme="minorHAnsi" w:cstheme="minorHAnsi"/>
              </w:rPr>
              <w:t xml:space="preserve"> są opracowane tak, aby zapewnić osobom, które ukończyły naukę na poziomie  ponadgimnazjalnym</w:t>
            </w:r>
            <w:r w:rsidR="006D6954" w:rsidRPr="0077284D">
              <w:rPr>
                <w:rFonts w:asciiTheme="minorHAnsi" w:hAnsiTheme="minorHAnsi" w:cstheme="minorHAnsi"/>
              </w:rPr>
              <w:t>/ponadpodstawowym (ISCED 3)</w:t>
            </w:r>
            <w:r w:rsidRPr="0077284D">
              <w:rPr>
                <w:rFonts w:asciiTheme="minorHAnsi" w:hAnsiTheme="minorHAnsi" w:cstheme="minorHAnsi"/>
              </w:rPr>
              <w:t>, zdobycie kwalifikacji niezbędnych do kontynuowania nauki na studiach wyższych lub do podjęcia pracy, jeżeli kwalifikacje nabyte przez nich na poziomie  ponadgimnazjalnym</w:t>
            </w:r>
            <w:r w:rsidR="006D6954" w:rsidRPr="0077284D">
              <w:rPr>
                <w:rFonts w:asciiTheme="minorHAnsi" w:hAnsiTheme="minorHAnsi" w:cstheme="minorHAnsi"/>
              </w:rPr>
              <w:t>/ponadpodstawowym (ISCED 3)</w:t>
            </w:r>
            <w:r w:rsidRPr="0077284D">
              <w:rPr>
                <w:rFonts w:asciiTheme="minorHAnsi" w:hAnsiTheme="minorHAnsi" w:cstheme="minorHAnsi"/>
              </w:rPr>
              <w:t xml:space="preserve"> tego nie umożliwiają. Biorąc pod uwagę kompleksowość treści, programy  na poziomie  policealnym </w:t>
            </w:r>
            <w:r w:rsidR="006D6954" w:rsidRPr="0077284D">
              <w:rPr>
                <w:rFonts w:asciiTheme="minorHAnsi" w:hAnsiTheme="minorHAnsi" w:cstheme="minorHAnsi"/>
              </w:rPr>
              <w:t xml:space="preserve">(ISCED 4) </w:t>
            </w:r>
            <w:r w:rsidRPr="0077284D">
              <w:rPr>
                <w:rFonts w:asciiTheme="minorHAnsi" w:hAnsiTheme="minorHAnsi" w:cstheme="minorHAnsi"/>
              </w:rPr>
              <w:t>nie mogą być uznawane za programy kształcenia wyższego, chociaż  zdecydowanie odnoszą się do nauczania na poziomie policealnym. Ukończenie programu na poziomie  ponadgimnazjalnym</w:t>
            </w:r>
            <w:r w:rsidR="006D6954" w:rsidRPr="0077284D">
              <w:rPr>
                <w:rFonts w:asciiTheme="minorHAnsi" w:hAnsiTheme="minorHAnsi" w:cstheme="minorHAnsi"/>
              </w:rPr>
              <w:t xml:space="preserve">/ponadpodstawowym (ISCED 3) </w:t>
            </w:r>
            <w:r w:rsidRPr="0077284D">
              <w:rPr>
                <w:rFonts w:asciiTheme="minorHAnsi" w:hAnsiTheme="minorHAnsi" w:cstheme="minorHAnsi"/>
              </w:rPr>
              <w:t>jest warunkiem przystąpienia do programów na poziomie policealnym</w:t>
            </w:r>
            <w:r w:rsidR="006D6954" w:rsidRPr="0077284D">
              <w:rPr>
                <w:rFonts w:asciiTheme="minorHAnsi" w:hAnsiTheme="minorHAnsi" w:cstheme="minorHAnsi"/>
              </w:rPr>
              <w:t xml:space="preserve"> (ISCED 4).</w:t>
            </w:r>
            <w:r w:rsidRPr="0077284D">
              <w:rPr>
                <w:rFonts w:asciiTheme="minorHAnsi" w:hAnsiTheme="minorHAnsi" w:cstheme="minorHAnsi"/>
              </w:rPr>
              <w:t xml:space="preserve"> Programy nauczania na tym poziomie przygotowują do bezpośredniego wejścia na rynek pracy.</w:t>
            </w:r>
            <w:r w:rsidR="006D6954" w:rsidRPr="0077284D">
              <w:rPr>
                <w:rFonts w:asciiTheme="minorHAnsi" w:hAnsiTheme="minorHAnsi" w:cstheme="minorHAnsi"/>
              </w:rPr>
              <w:t xml:space="preserve"> Niektóre systemy </w:t>
            </w:r>
            <w:r w:rsidR="006D6954" w:rsidRPr="0077284D">
              <w:rPr>
                <w:rFonts w:asciiTheme="minorHAnsi" w:hAnsiTheme="minorHAnsi" w:cstheme="minorHAnsi"/>
              </w:rPr>
              <w:lastRenderedPageBreak/>
              <w:t>edukacji oferują na tym poziomie programy ogólne</w:t>
            </w:r>
          </w:p>
        </w:tc>
      </w:tr>
      <w:tr w:rsidR="00253BD1" w:rsidRPr="001565F7" w:rsidTr="0077284D">
        <w:trPr>
          <w:trHeight w:val="1126"/>
        </w:trPr>
        <w:tc>
          <w:tcPr>
            <w:tcW w:w="2710" w:type="dxa"/>
            <w:shd w:val="clear" w:color="auto" w:fill="auto"/>
            <w:noWrap/>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Wykształcenie wyższe</w:t>
            </w:r>
          </w:p>
        </w:tc>
        <w:tc>
          <w:tcPr>
            <w:tcW w:w="12184" w:type="dxa"/>
            <w:shd w:val="clear" w:color="auto" w:fill="auto"/>
            <w:hideMark/>
          </w:tcPr>
          <w:p w:rsidR="00B16EC1"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Wykształcenie wyższe (poziom ISCED 5-8) zgodnie z Międzynarodową Standardową Klasyfikacją Kształcenia:</w:t>
            </w:r>
          </w:p>
          <w:p w:rsidR="00B16EC1" w:rsidRPr="0077284D" w:rsidRDefault="0063091A" w:rsidP="0077284D">
            <w:pPr>
              <w:pStyle w:val="Akapitzlist"/>
              <w:numPr>
                <w:ilvl w:val="0"/>
                <w:numId w:val="10"/>
              </w:numPr>
              <w:spacing w:after="120" w:line="240" w:lineRule="auto"/>
              <w:ind w:left="714" w:hanging="357"/>
              <w:contextualSpacing w:val="0"/>
              <w:jc w:val="both"/>
              <w:rPr>
                <w:rFonts w:asciiTheme="minorHAnsi" w:hAnsiTheme="minorHAnsi" w:cstheme="minorHAnsi"/>
              </w:rPr>
            </w:pPr>
            <w:r w:rsidRPr="0077284D">
              <w:rPr>
                <w:rFonts w:asciiTheme="minorHAnsi" w:hAnsiTheme="minorHAnsi" w:cstheme="minorHAnsi"/>
              </w:rPr>
              <w:t>studia krótkiego cyklu (ISCED 5 ) – są opracowane tak, aby zapewnić osobom uczącym się możliwość zdobycia profesjonalnej wiedzy,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studiów krótkiego cyklu</w:t>
            </w:r>
            <w:r w:rsidR="006918E8" w:rsidRPr="0077284D">
              <w:rPr>
                <w:rFonts w:asciiTheme="minorHAnsi" w:hAnsiTheme="minorHAnsi" w:cstheme="minorHAnsi"/>
              </w:rPr>
              <w:t xml:space="preserve"> (ISCED 5)</w:t>
            </w:r>
            <w:r w:rsidRPr="0077284D">
              <w:rPr>
                <w:rFonts w:asciiTheme="minorHAnsi" w:hAnsiTheme="minorHAnsi" w:cstheme="minorHAnsi"/>
              </w:rPr>
              <w:t>. Wymogiem przystąpienia do programów kształcenia na tym poziomie  jest pomyślne ukończenie nauki na poziomie ponadgimnazjalnym</w:t>
            </w:r>
            <w:r w:rsidR="006918E8" w:rsidRPr="0077284D">
              <w:rPr>
                <w:rFonts w:asciiTheme="minorHAnsi" w:hAnsiTheme="minorHAnsi" w:cstheme="minorHAnsi"/>
              </w:rPr>
              <w:t>/ponadpodstawowym (ISCED 3)</w:t>
            </w:r>
            <w:r w:rsidRPr="0077284D">
              <w:rPr>
                <w:rFonts w:asciiTheme="minorHAnsi" w:hAnsiTheme="minorHAnsi" w:cstheme="minorHAnsi"/>
              </w:rPr>
              <w:t xml:space="preserve"> lub policealnym </w:t>
            </w:r>
            <w:r w:rsidR="006918E8" w:rsidRPr="0077284D">
              <w:rPr>
                <w:rFonts w:asciiTheme="minorHAnsi" w:hAnsiTheme="minorHAnsi" w:cstheme="minorHAnsi"/>
              </w:rPr>
              <w:t xml:space="preserve">(ISCED 4) </w:t>
            </w:r>
            <w:r w:rsidRPr="0077284D">
              <w:rPr>
                <w:rFonts w:asciiTheme="minorHAnsi" w:hAnsiTheme="minorHAnsi" w:cstheme="minorHAnsi"/>
              </w:rPr>
              <w:t>z dostępem do kształcenia wyższego. Programy na poziomie  studiów krótkiego cyklu</w:t>
            </w:r>
            <w:r w:rsidR="006918E8" w:rsidRPr="0077284D">
              <w:rPr>
                <w:rFonts w:asciiTheme="minorHAnsi" w:hAnsiTheme="minorHAnsi" w:cstheme="minorHAnsi"/>
              </w:rPr>
              <w:t xml:space="preserve"> (ISCED 5)</w:t>
            </w:r>
            <w:r w:rsidRPr="0077284D">
              <w:rPr>
                <w:rFonts w:asciiTheme="minorHAnsi" w:hAnsiTheme="minorHAnsi" w:cstheme="minorHAnsi"/>
              </w:rPr>
              <w:t xml:space="preserve"> charakteryzują się większą złożonością merytoryczną niż programy na poziomach ponadgimnazjalnym</w:t>
            </w:r>
            <w:r w:rsidR="006918E8" w:rsidRPr="0077284D">
              <w:rPr>
                <w:rFonts w:asciiTheme="minorHAnsi" w:hAnsiTheme="minorHAnsi" w:cstheme="minorHAnsi"/>
              </w:rPr>
              <w:t>/ponadpodstawowym (ISCED 3)</w:t>
            </w:r>
            <w:r w:rsidRPr="0077284D">
              <w:rPr>
                <w:rFonts w:asciiTheme="minorHAnsi" w:hAnsiTheme="minorHAnsi" w:cstheme="minorHAnsi"/>
              </w:rPr>
              <w:t xml:space="preserve"> lub policealnym</w:t>
            </w:r>
            <w:r w:rsidR="006918E8" w:rsidRPr="0077284D">
              <w:rPr>
                <w:rFonts w:asciiTheme="minorHAnsi" w:hAnsiTheme="minorHAnsi" w:cstheme="minorHAnsi"/>
              </w:rPr>
              <w:t xml:space="preserve"> (ISCED 4)</w:t>
            </w:r>
            <w:r w:rsidRPr="0077284D">
              <w:rPr>
                <w:rFonts w:asciiTheme="minorHAnsi" w:hAnsiTheme="minorHAnsi" w:cstheme="minorHAnsi"/>
              </w:rPr>
              <w:t>, ale trwają krócej i są zwykle w</w:t>
            </w:r>
            <w:r w:rsidR="00F6229F" w:rsidRPr="0077284D">
              <w:rPr>
                <w:rFonts w:asciiTheme="minorHAnsi" w:hAnsiTheme="minorHAnsi" w:cstheme="minorHAnsi"/>
              </w:rPr>
              <w:t> </w:t>
            </w:r>
            <w:r w:rsidRPr="0077284D">
              <w:rPr>
                <w:rFonts w:asciiTheme="minorHAnsi" w:hAnsiTheme="minorHAnsi" w:cstheme="minorHAnsi"/>
              </w:rPr>
              <w:t xml:space="preserve">mniejszym stopniu zorientowane na naukę teoretyczną niż programy na poziomie studiów licencjackich  (ISCED 6). </w:t>
            </w:r>
          </w:p>
          <w:p w:rsidR="00B16EC1" w:rsidRPr="0077284D" w:rsidRDefault="0063091A" w:rsidP="0077284D">
            <w:pPr>
              <w:pStyle w:val="Akapitzlist"/>
              <w:numPr>
                <w:ilvl w:val="0"/>
                <w:numId w:val="10"/>
              </w:numPr>
              <w:spacing w:after="120" w:line="240" w:lineRule="auto"/>
              <w:ind w:left="714" w:hanging="357"/>
              <w:contextualSpacing w:val="0"/>
              <w:jc w:val="both"/>
              <w:rPr>
                <w:rFonts w:asciiTheme="minorHAnsi" w:hAnsiTheme="minorHAnsi" w:cstheme="minorHAnsi"/>
              </w:rPr>
            </w:pPr>
            <w:r w:rsidRPr="0077284D">
              <w:rPr>
                <w:rFonts w:asciiTheme="minorHAnsi" w:hAnsiTheme="minorHAnsi" w:cstheme="minorHAnsi"/>
              </w:rPr>
              <w:t>studia licencjackie lub ich odpowiedniki (ISCED 6)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ponadgimnazjalnym</w:t>
            </w:r>
            <w:r w:rsidR="006918E8" w:rsidRPr="0077284D">
              <w:rPr>
                <w:rFonts w:asciiTheme="minorHAnsi" w:hAnsiTheme="minorHAnsi" w:cstheme="minorHAnsi"/>
              </w:rPr>
              <w:t xml:space="preserve">/ponadpodstawowym (ISCED 3) </w:t>
            </w:r>
            <w:r w:rsidRPr="0077284D">
              <w:rPr>
                <w:rFonts w:asciiTheme="minorHAnsi" w:hAnsiTheme="minorHAnsi" w:cstheme="minorHAnsi"/>
              </w:rPr>
              <w:t>lub policealnym</w:t>
            </w:r>
            <w:r w:rsidR="006918E8" w:rsidRPr="0077284D">
              <w:rPr>
                <w:rFonts w:asciiTheme="minorHAnsi" w:hAnsiTheme="minorHAnsi" w:cstheme="minorHAnsi"/>
              </w:rPr>
              <w:t xml:space="preserve"> (ISCED 4)</w:t>
            </w:r>
            <w:r w:rsidRPr="0077284D">
              <w:rPr>
                <w:rFonts w:asciiTheme="minorHAnsi" w:hAnsiTheme="minorHAnsi" w:cstheme="minorHAnsi"/>
              </w:rPr>
              <w:t xml:space="preserve"> z dostępem do kształcenia wyższego. Przystąpienie do tych programów może zależeć od wyboru przedmiotów lub od stopni uzyskanych z programów na poziomie ponadgimnazjalnym</w:t>
            </w:r>
            <w:r w:rsidR="006918E8" w:rsidRPr="0077284D">
              <w:rPr>
                <w:rFonts w:asciiTheme="minorHAnsi" w:hAnsiTheme="minorHAnsi" w:cstheme="minorHAnsi"/>
              </w:rPr>
              <w:t xml:space="preserve">/ponadpodstawowym (ISCED 3) </w:t>
            </w:r>
            <w:r w:rsidRPr="0077284D">
              <w:rPr>
                <w:rFonts w:asciiTheme="minorHAnsi" w:hAnsiTheme="minorHAnsi" w:cstheme="minorHAnsi"/>
              </w:rPr>
              <w:t xml:space="preserve">i/lub poziomie </w:t>
            </w:r>
            <w:r w:rsidR="006918E8" w:rsidRPr="0077284D">
              <w:rPr>
                <w:rFonts w:asciiTheme="minorHAnsi" w:hAnsiTheme="minorHAnsi" w:cstheme="minorHAnsi"/>
              </w:rPr>
              <w:t>policealnym (ISCED 4)</w:t>
            </w:r>
            <w:r w:rsidRPr="0077284D">
              <w:rPr>
                <w:rFonts w:asciiTheme="minorHAnsi" w:hAnsiTheme="minorHAnsi" w:cstheme="minorHAnsi"/>
              </w:rPr>
              <w:t>.</w:t>
            </w:r>
          </w:p>
          <w:p w:rsidR="00B16EC1" w:rsidRPr="0077284D" w:rsidRDefault="0063091A" w:rsidP="0077284D">
            <w:pPr>
              <w:pStyle w:val="Akapitzlist"/>
              <w:numPr>
                <w:ilvl w:val="0"/>
                <w:numId w:val="10"/>
              </w:numPr>
              <w:spacing w:after="120" w:line="240" w:lineRule="auto"/>
              <w:ind w:left="714" w:hanging="357"/>
              <w:contextualSpacing w:val="0"/>
              <w:jc w:val="both"/>
              <w:rPr>
                <w:rFonts w:asciiTheme="minorHAnsi" w:hAnsiTheme="minorHAnsi" w:cstheme="minorHAnsi"/>
              </w:rPr>
            </w:pPr>
            <w:r w:rsidRPr="0077284D">
              <w:rPr>
                <w:rFonts w:asciiTheme="minorHAnsi" w:hAnsiTheme="minorHAnsi" w:cstheme="minorHAnsi"/>
              </w:rPr>
              <w:t>studia magisterskie lub ich odpowiedniki (ISCED 7)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rsidR="0063091A" w:rsidRPr="0077284D" w:rsidRDefault="0063091A" w:rsidP="0077284D">
            <w:pPr>
              <w:pStyle w:val="Akapitzlist"/>
              <w:numPr>
                <w:ilvl w:val="0"/>
                <w:numId w:val="10"/>
              </w:numPr>
              <w:spacing w:after="120" w:line="240" w:lineRule="auto"/>
              <w:ind w:left="714" w:hanging="357"/>
              <w:contextualSpacing w:val="0"/>
              <w:jc w:val="both"/>
              <w:rPr>
                <w:rFonts w:asciiTheme="minorHAnsi" w:hAnsiTheme="minorHAnsi" w:cstheme="minorHAnsi"/>
              </w:rPr>
            </w:pPr>
            <w:r w:rsidRPr="0077284D">
              <w:rPr>
                <w:rFonts w:asciiTheme="minorHAnsi" w:hAnsiTheme="minorHAnsi" w:cstheme="minorHAnsi"/>
              </w:rPr>
              <w:t>studia doktoranckie lub ich odpowiedniki (ISCED 8)</w:t>
            </w:r>
            <w:r w:rsidR="00C518A1" w:rsidRPr="0077284D">
              <w:rPr>
                <w:rFonts w:asciiTheme="minorHAnsi" w:hAnsiTheme="minorHAnsi" w:cstheme="minorHAnsi"/>
              </w:rPr>
              <w:t xml:space="preserve"> </w:t>
            </w:r>
            <w:r w:rsidRPr="0077284D">
              <w:rPr>
                <w:rFonts w:asciiTheme="minorHAnsi" w:hAnsiTheme="minorHAnsi" w:cstheme="minorHAnsi"/>
              </w:rPr>
              <w:t xml:space="preserve">– przede wszystkim prowadzą do uzyskania wysokiego stopnia naukowego. Programy na tym poziomie koncentrują się na zaawansowanych i twórczych pracach badawczych. </w:t>
            </w:r>
            <w:r w:rsidRPr="0077284D">
              <w:rPr>
                <w:rFonts w:asciiTheme="minorHAnsi" w:hAnsiTheme="minorHAnsi" w:cstheme="minorHAnsi"/>
              </w:rPr>
              <w:lastRenderedPageBreak/>
              <w:t>Dostęp do tych programów zapewniają zwykle tylko instytucje szkolnictwa wyższego, które prowadzą badania naukowe, np. uniwersytety.</w:t>
            </w:r>
            <w:r w:rsidR="00DE53D1" w:rsidRPr="0077284D">
              <w:rPr>
                <w:rFonts w:asciiTheme="minorHAnsi" w:hAnsiTheme="minorHAnsi" w:cstheme="minorHAnsi"/>
              </w:rPr>
              <w:t xml:space="preserve"> </w:t>
            </w:r>
            <w:r w:rsidRPr="0077284D">
              <w:rPr>
                <w:rFonts w:asciiTheme="minorHAnsi" w:hAnsiTheme="minorHAnsi" w:cstheme="minorHAnsi"/>
              </w:rPr>
              <w:t>Osoby przystępujące do projektu należy wykazać tylko raz uwzględniając najwyższy ukończony poziom wykształcenia (ISCED).</w:t>
            </w:r>
          </w:p>
        </w:tc>
      </w:tr>
      <w:tr w:rsidR="00253BD1" w:rsidRPr="001565F7" w:rsidTr="0077284D">
        <w:trPr>
          <w:trHeight w:val="1124"/>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Osoby bezdomne lub dotknięte wykluczeniem z dostępu do mieszkań</w:t>
            </w:r>
          </w:p>
        </w:tc>
        <w:tc>
          <w:tcPr>
            <w:tcW w:w="12184" w:type="dxa"/>
            <w:shd w:val="clear" w:color="auto" w:fill="auto"/>
            <w:hideMark/>
          </w:tcPr>
          <w:p w:rsidR="00B16EC1"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Bezdomność i wykluczenie mieszkaniowe definiowane są zgodnie z Europejską typologią bezdomności i wykluczenia mieszkaniowego ETHOS, w której wskazuje się okoliczności życia w bezdomności lub ekstremalne formy wykluczenia mieszkaniowego:</w:t>
            </w:r>
          </w:p>
          <w:p w:rsidR="00B16EC1" w:rsidRPr="0077284D" w:rsidRDefault="0063091A" w:rsidP="0077284D">
            <w:pPr>
              <w:pStyle w:val="Akapitzlist"/>
              <w:numPr>
                <w:ilvl w:val="0"/>
                <w:numId w:val="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Bez dachu nad głową (osoby żyjące w surowych i alarmujących warunkach)</w:t>
            </w:r>
          </w:p>
          <w:p w:rsidR="00B16EC1" w:rsidRPr="0077284D" w:rsidRDefault="0063091A" w:rsidP="0077284D">
            <w:pPr>
              <w:pStyle w:val="Akapitzlist"/>
              <w:numPr>
                <w:ilvl w:val="0"/>
                <w:numId w:val="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B16EC1" w:rsidRPr="0077284D" w:rsidRDefault="0063091A" w:rsidP="0077284D">
            <w:pPr>
              <w:pStyle w:val="Akapitzlist"/>
              <w:numPr>
                <w:ilvl w:val="0"/>
                <w:numId w:val="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Niezabezpieczone zakwaterowanie (osoby posiadające niepewny najem z nakazem eksmisji, osoby zagrożone przemocą)</w:t>
            </w:r>
          </w:p>
          <w:p w:rsidR="00DE53D1" w:rsidRPr="0077284D" w:rsidRDefault="0063091A" w:rsidP="0077284D">
            <w:pPr>
              <w:pStyle w:val="Akapitzlist"/>
              <w:numPr>
                <w:ilvl w:val="0"/>
                <w:numId w:val="4"/>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Nieodpowiednie warunki mieszkaniowe (konstrukcje tymczasowe, mieszkania substandardowe - lokale nienadające się do zamieszkania wg standardu krajowego, skrajne przeludnienie).</w:t>
            </w:r>
            <w:r w:rsidR="00DE53D1" w:rsidRPr="0077284D">
              <w:rPr>
                <w:rFonts w:asciiTheme="minorHAnsi" w:hAnsiTheme="minorHAnsi" w:cstheme="minorHAnsi"/>
              </w:rPr>
              <w:t xml:space="preserve"> </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Osoby dorosłe mieszka</w:t>
            </w:r>
            <w:r w:rsidR="00DE53D1" w:rsidRPr="0077284D">
              <w:rPr>
                <w:rFonts w:asciiTheme="minorHAnsi" w:hAnsiTheme="minorHAnsi" w:cstheme="minorHAnsi"/>
              </w:rPr>
              <w:t>jące z rodzicami nie powinny być</w:t>
            </w:r>
            <w:r w:rsidRPr="0077284D">
              <w:rPr>
                <w:rFonts w:asciiTheme="minorHAnsi" w:hAnsiTheme="minorHAnsi" w:cstheme="minorHAnsi"/>
              </w:rPr>
              <w:t xml:space="preserve"> wykazywane we wskaźniku, chyba że wszystkie te</w:t>
            </w:r>
            <w:r w:rsidR="00DE53D1" w:rsidRPr="0077284D">
              <w:rPr>
                <w:rFonts w:asciiTheme="minorHAnsi" w:hAnsiTheme="minorHAnsi" w:cstheme="minorHAnsi"/>
              </w:rPr>
              <w:t xml:space="preserve"> osoby są bezdomne lub mieszkają</w:t>
            </w:r>
            <w:r w:rsidRPr="0077284D">
              <w:rPr>
                <w:rFonts w:asciiTheme="minorHAnsi" w:hAnsiTheme="minorHAnsi" w:cstheme="minorHAnsi"/>
              </w:rPr>
              <w:t xml:space="preserve"> w nieodpowiednich i niebezpi</w:t>
            </w:r>
            <w:r w:rsidR="00DE53D1" w:rsidRPr="0077284D">
              <w:rPr>
                <w:rFonts w:asciiTheme="minorHAnsi" w:hAnsiTheme="minorHAnsi" w:cstheme="minorHAnsi"/>
              </w:rPr>
              <w:t>e</w:t>
            </w:r>
            <w:r w:rsidRPr="0077284D">
              <w:rPr>
                <w:rFonts w:asciiTheme="minorHAnsi" w:hAnsiTheme="minorHAnsi" w:cstheme="minorHAnsi"/>
              </w:rPr>
              <w:t>cznych warunkach.</w:t>
            </w:r>
          </w:p>
        </w:tc>
      </w:tr>
      <w:tr w:rsidR="00253BD1" w:rsidRPr="001565F7" w:rsidTr="0077284D">
        <w:trPr>
          <w:trHeight w:val="82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Osoby, które podjęły kształcenie lub szkolenie</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Osoby, które podjęły kształcenie (uczenie się przez całe życie, kształcenie formalne) lub szkoleni</w:t>
            </w:r>
            <w:r w:rsidR="00B16EC1" w:rsidRPr="0077284D">
              <w:rPr>
                <w:rFonts w:asciiTheme="minorHAnsi" w:hAnsiTheme="minorHAnsi" w:cstheme="minorHAnsi"/>
              </w:rPr>
              <w:t>e</w:t>
            </w:r>
            <w:r w:rsidRPr="0077284D">
              <w:rPr>
                <w:rFonts w:asciiTheme="minorHAnsi" w:hAnsiTheme="minorHAnsi" w:cstheme="minorHAnsi"/>
              </w:rPr>
              <w:t xml:space="preserve"> (pozazakładowe/wewnątrzzakładowe, szkolenia zawodowe</w:t>
            </w:r>
            <w:r w:rsidR="00B16EC1" w:rsidRPr="0077284D">
              <w:rPr>
                <w:rFonts w:asciiTheme="minorHAnsi" w:hAnsiTheme="minorHAnsi" w:cstheme="minorHAnsi"/>
              </w:rPr>
              <w:t>, kursy</w:t>
            </w:r>
            <w:r w:rsidRPr="0077284D">
              <w:rPr>
                <w:rFonts w:asciiTheme="minorHAnsi" w:hAnsiTheme="minorHAnsi" w:cstheme="minorHAnsi"/>
              </w:rPr>
              <w:t xml:space="preserve"> etc.) bezpośrednio po opuszczeniu projektu.</w:t>
            </w:r>
          </w:p>
          <w:p w:rsidR="00D42ACD" w:rsidRPr="0077284D" w:rsidRDefault="00D42ACD" w:rsidP="00253BD1">
            <w:pPr>
              <w:spacing w:before="120" w:after="120" w:line="240" w:lineRule="auto"/>
              <w:jc w:val="both"/>
              <w:rPr>
                <w:rFonts w:asciiTheme="minorHAnsi" w:hAnsiTheme="minorHAnsi" w:cstheme="minorHAnsi"/>
              </w:rPr>
            </w:pPr>
            <w:r w:rsidRPr="0077284D">
              <w:rPr>
                <w:rFonts w:asciiTheme="minorHAnsi" w:eastAsia="Times New Roman" w:hAnsiTheme="minorHAnsi" w:cstheme="minorHAnsi"/>
                <w:lang w:eastAsia="pl-PL"/>
              </w:rPr>
              <w:t>Wskaźnik nie obejmuje uczniów, tj. dzieci i młodzieży uczącej się oraz osób dorosłych, jeśli w dniu przystąpienia do projektu osoby te kształciły się.</w:t>
            </w:r>
          </w:p>
        </w:tc>
      </w:tr>
      <w:tr w:rsidR="00253BD1" w:rsidRPr="001565F7" w:rsidTr="0077284D">
        <w:trPr>
          <w:trHeight w:val="416"/>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Nabycie kompetencji</w:t>
            </w:r>
          </w:p>
        </w:tc>
        <w:tc>
          <w:tcPr>
            <w:tcW w:w="12184" w:type="dxa"/>
            <w:shd w:val="clear" w:color="auto" w:fill="auto"/>
            <w:hideMark/>
          </w:tcPr>
          <w:p w:rsidR="00DE53D1"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 xml:space="preserve">Fakt nabycia kompetencji jest weryfikowany w ramach następujących etapów, które powinny zostać opisane w regulaminie konkursu </w:t>
            </w:r>
            <w:r w:rsidR="00D42ACD" w:rsidRPr="0077284D">
              <w:rPr>
                <w:rFonts w:asciiTheme="minorHAnsi" w:hAnsiTheme="minorHAnsi" w:cstheme="minorHAnsi"/>
              </w:rPr>
              <w:t xml:space="preserve">oraz </w:t>
            </w:r>
            <w:r w:rsidRPr="0077284D">
              <w:rPr>
                <w:rFonts w:asciiTheme="minorHAnsi" w:hAnsiTheme="minorHAnsi" w:cstheme="minorHAnsi"/>
              </w:rPr>
              <w:t xml:space="preserve"> we wniosku beneficjenta o dofinansowanie:</w:t>
            </w:r>
          </w:p>
          <w:p w:rsidR="00DE53D1" w:rsidRPr="0077284D" w:rsidRDefault="0063091A" w:rsidP="0077284D">
            <w:pPr>
              <w:pStyle w:val="Akapitzlist"/>
              <w:numPr>
                <w:ilvl w:val="0"/>
                <w:numId w:val="6"/>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ETAP I – Zakres – zdefiniowanie w ramach wniosku o dofinansowanie grupy docelowej do objęcia wsparciem oraz wybranie obszaru interwencji EFS, który będzie poddany ocenie,</w:t>
            </w:r>
          </w:p>
          <w:p w:rsidR="00DE53D1" w:rsidRPr="0077284D" w:rsidRDefault="0063091A" w:rsidP="0077284D">
            <w:pPr>
              <w:pStyle w:val="Akapitzlist"/>
              <w:numPr>
                <w:ilvl w:val="0"/>
                <w:numId w:val="6"/>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ETAP II – Wzorzec –</w:t>
            </w:r>
            <w:r w:rsidR="00391F21">
              <w:rPr>
                <w:rFonts w:asciiTheme="minorHAnsi" w:hAnsiTheme="minorHAnsi" w:cstheme="minorHAnsi"/>
              </w:rPr>
              <w:t xml:space="preserve"> określony przed rozpoczęciem form wsparcia i zrealizowany w projekcie standard wymagań, tj. efektów uczenia się, które osiągną uczestnicy w wyniku przeprowadzonych działań projektowych</w:t>
            </w:r>
            <w:r w:rsidR="00117F74">
              <w:rPr>
                <w:rFonts w:asciiTheme="minorHAnsi" w:hAnsiTheme="minorHAnsi" w:cstheme="minorHAnsi"/>
              </w:rPr>
              <w:t>.</w:t>
            </w:r>
            <w:r w:rsidR="00391F21">
              <w:rPr>
                <w:rFonts w:asciiTheme="minorHAnsi" w:hAnsiTheme="minorHAnsi" w:cstheme="minorHAnsi"/>
              </w:rPr>
              <w:t xml:space="preserve"> Sposób (miejsce) definiowania informacji wymaganych w eta</w:t>
            </w:r>
            <w:r w:rsidR="00117F74">
              <w:rPr>
                <w:rFonts w:asciiTheme="minorHAnsi" w:hAnsiTheme="minorHAnsi" w:cstheme="minorHAnsi"/>
              </w:rPr>
              <w:t>p</w:t>
            </w:r>
            <w:r w:rsidR="00391F21">
              <w:rPr>
                <w:rFonts w:asciiTheme="minorHAnsi" w:hAnsiTheme="minorHAnsi" w:cstheme="minorHAnsi"/>
              </w:rPr>
              <w:t xml:space="preserve">ie II powinien zostanie określony przez instytucję organizującą konkurs / </w:t>
            </w:r>
            <w:r w:rsidR="00391F21">
              <w:rPr>
                <w:rFonts w:asciiTheme="minorHAnsi" w:hAnsiTheme="minorHAnsi" w:cstheme="minorHAnsi"/>
              </w:rPr>
              <w:lastRenderedPageBreak/>
              <w:t xml:space="preserve">przeprowadzającą nabór projektów </w:t>
            </w:r>
            <w:r w:rsidR="00D42ACD" w:rsidRPr="0077284D">
              <w:rPr>
                <w:rFonts w:asciiTheme="minorHAnsi" w:hAnsiTheme="minorHAnsi" w:cstheme="minorHAnsi"/>
              </w:rPr>
              <w:t xml:space="preserve"> </w:t>
            </w:r>
          </w:p>
          <w:p w:rsidR="00DE53D1" w:rsidRPr="0077284D" w:rsidRDefault="0063091A" w:rsidP="0077284D">
            <w:pPr>
              <w:pStyle w:val="Akapitzlist"/>
              <w:numPr>
                <w:ilvl w:val="0"/>
                <w:numId w:val="6"/>
              </w:numPr>
              <w:spacing w:before="120" w:after="0" w:line="240" w:lineRule="auto"/>
              <w:ind w:left="714" w:hanging="357"/>
              <w:contextualSpacing w:val="0"/>
              <w:jc w:val="both"/>
              <w:rPr>
                <w:rFonts w:asciiTheme="minorHAnsi" w:hAnsiTheme="minorHAnsi" w:cstheme="minorHAnsi"/>
              </w:rPr>
            </w:pPr>
            <w:r w:rsidRPr="0077284D">
              <w:rPr>
                <w:rFonts w:asciiTheme="minorHAnsi" w:hAnsiTheme="minorHAnsi" w:cstheme="minorHAnsi"/>
              </w:rPr>
              <w:t>ETAP III – Ocena – przeprowadzenie weryfikacji na podstawie opracowanych kryteriów oceny po zakończeniu wsparcia udzielanego danej osobie</w:t>
            </w:r>
          </w:p>
          <w:p w:rsidR="00DE53D1" w:rsidRPr="0077284D" w:rsidRDefault="0063091A" w:rsidP="0077284D">
            <w:pPr>
              <w:pStyle w:val="Akapitzlist"/>
              <w:numPr>
                <w:ilvl w:val="0"/>
                <w:numId w:val="6"/>
              </w:numPr>
              <w:spacing w:before="120" w:after="0" w:line="240" w:lineRule="auto"/>
              <w:ind w:left="714" w:hanging="357"/>
              <w:contextualSpacing w:val="0"/>
              <w:rPr>
                <w:rFonts w:asciiTheme="minorHAnsi" w:eastAsia="Times New Roman" w:hAnsiTheme="minorHAnsi" w:cstheme="minorHAnsi"/>
                <w:lang w:eastAsia="pl-PL"/>
              </w:rPr>
            </w:pPr>
            <w:r w:rsidRPr="0077284D">
              <w:rPr>
                <w:rFonts w:asciiTheme="minorHAnsi" w:hAnsiTheme="minorHAnsi" w:cstheme="minorHAnsi"/>
              </w:rPr>
              <w:t>ETAP IV – Porównanie – porównanie uzyskanych wyników etapu III (ocena) z przyjętymi wymaganiami (określonymi na etapie II efektami uczenia się) po zakończeniu wsparcia udzielanego danej osobie</w:t>
            </w:r>
          </w:p>
          <w:p w:rsidR="00391F21" w:rsidRDefault="00391F21" w:rsidP="0077284D">
            <w:pPr>
              <w:spacing w:before="120"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Nabycie kompetencji potwierdzone jest uzyskaniem dokumenty zawierającego wysz</w:t>
            </w:r>
            <w:r w:rsidR="00117F74">
              <w:rPr>
                <w:rFonts w:asciiTheme="minorHAnsi" w:eastAsia="Times New Roman" w:hAnsiTheme="minorHAnsi" w:cstheme="minorHAnsi"/>
                <w:lang w:eastAsia="pl-PL"/>
              </w:rPr>
              <w:t>c</w:t>
            </w:r>
            <w:r>
              <w:rPr>
                <w:rFonts w:asciiTheme="minorHAnsi" w:eastAsia="Times New Roman" w:hAnsiTheme="minorHAnsi" w:cstheme="minorHAnsi"/>
                <w:lang w:eastAsia="pl-PL"/>
              </w:rPr>
              <w:t xml:space="preserve">zególnione efekty uczenia się odnoszące się do nabytej kompetencji. </w:t>
            </w:r>
          </w:p>
          <w:p w:rsidR="00391F21" w:rsidRPr="0077284D" w:rsidRDefault="00391F21" w:rsidP="0077284D">
            <w:pPr>
              <w:spacing w:before="120"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Powyższa definicja nie dotyczy projektów realizowanych w ramach PI</w:t>
            </w:r>
            <w:r w:rsidR="00117F74">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 xml:space="preserve">8v. Definicja kompetencji w ramach PI 8v zawarta została w zał. 2 do </w:t>
            </w:r>
            <w:r w:rsidRPr="0077284D">
              <w:rPr>
                <w:rFonts w:asciiTheme="minorHAnsi" w:eastAsia="Times New Roman" w:hAnsiTheme="minorHAnsi" w:cstheme="minorHAnsi"/>
                <w:i/>
                <w:lang w:eastAsia="pl-PL"/>
              </w:rPr>
              <w:t>Wytycznych w zakresie monitorowania postępu rzeczowego realizacji programów operacyjnych na lata 2014</w:t>
            </w:r>
            <w:r w:rsidR="00117F74">
              <w:rPr>
                <w:rFonts w:asciiTheme="minorHAnsi" w:eastAsia="Times New Roman" w:hAnsiTheme="minorHAnsi" w:cstheme="minorHAnsi"/>
                <w:i/>
                <w:lang w:eastAsia="pl-PL"/>
              </w:rPr>
              <w:t>-</w:t>
            </w:r>
            <w:r w:rsidRPr="0077284D">
              <w:rPr>
                <w:rFonts w:asciiTheme="minorHAnsi" w:eastAsia="Times New Roman" w:hAnsiTheme="minorHAnsi" w:cstheme="minorHAnsi"/>
                <w:i/>
                <w:lang w:eastAsia="pl-PL"/>
              </w:rPr>
              <w:t>2020</w:t>
            </w:r>
            <w:r>
              <w:rPr>
                <w:rFonts w:asciiTheme="minorHAnsi" w:eastAsia="Times New Roman" w:hAnsiTheme="minorHAnsi" w:cstheme="minorHAnsi"/>
                <w:lang w:eastAsia="pl-PL"/>
              </w:rPr>
              <w:t>.</w:t>
            </w:r>
          </w:p>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tc>
      </w:tr>
      <w:tr w:rsidR="00253BD1" w:rsidRPr="001565F7" w:rsidTr="0077284D">
        <w:trPr>
          <w:trHeight w:val="6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Kwalifikacje</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Kwalifikacje należy rozumieć jako formalny wynik oceny i walidacji, który uzyskuje się w sytuacji, kiedy właściwy organ uznaje, że dana osoba osiągnęła efekty uczenia się spełniające określone standardy.</w:t>
            </w:r>
          </w:p>
          <w:p w:rsidR="005A1D82" w:rsidRPr="0077284D" w:rsidRDefault="005A1D82" w:rsidP="0077284D">
            <w:pPr>
              <w:spacing w:after="120" w:line="240" w:lineRule="auto"/>
              <w:jc w:val="both"/>
              <w:rPr>
                <w:rFonts w:asciiTheme="minorHAnsi" w:eastAsia="Times New Roman" w:hAnsiTheme="minorHAnsi" w:cstheme="minorHAnsi"/>
                <w:lang w:eastAsia="pl-PL"/>
              </w:rPr>
            </w:pPr>
            <w:r w:rsidRPr="0077284D">
              <w:rPr>
                <w:rFonts w:asciiTheme="minorHAnsi" w:eastAsia="Times New Roman" w:hAnsiTheme="minorHAnsi" w:cstheme="minorHAnsi"/>
                <w:lang w:eastAsia="pl-PL"/>
              </w:rPr>
              <w:t xml:space="preserve">Szczegółowe informacje dotyczące uznawania kwalifikacji w projektach EFS zawarto w załączniku nr 8 do </w:t>
            </w:r>
            <w:r w:rsidRPr="0077284D">
              <w:rPr>
                <w:rFonts w:asciiTheme="minorHAnsi" w:eastAsia="Times New Roman" w:hAnsiTheme="minorHAnsi" w:cstheme="minorHAnsi"/>
                <w:i/>
                <w:lang w:eastAsia="pl-PL"/>
              </w:rPr>
              <w:t xml:space="preserve">Wytycznych w zakresie monitorowania postępu rzeczowego realizacji programów operacyjnych na lata 2014 </w:t>
            </w:r>
            <w:r w:rsidR="008423CE">
              <w:rPr>
                <w:rFonts w:asciiTheme="minorHAnsi" w:eastAsia="Times New Roman" w:hAnsiTheme="minorHAnsi" w:cstheme="minorHAnsi"/>
                <w:i/>
                <w:lang w:eastAsia="pl-PL"/>
              </w:rPr>
              <w:t>-</w:t>
            </w:r>
            <w:r w:rsidRPr="0077284D">
              <w:rPr>
                <w:rFonts w:asciiTheme="minorHAnsi" w:eastAsia="Times New Roman" w:hAnsiTheme="minorHAnsi" w:cstheme="minorHAnsi"/>
                <w:i/>
                <w:lang w:eastAsia="pl-PL"/>
              </w:rPr>
              <w:t>2020</w:t>
            </w:r>
            <w:r w:rsidRPr="0077284D">
              <w:rPr>
                <w:rFonts w:asciiTheme="minorHAnsi" w:eastAsia="Times New Roman" w:hAnsiTheme="minorHAnsi" w:cstheme="minorHAnsi"/>
                <w:lang w:eastAsia="pl-PL"/>
              </w:rPr>
              <w:t>.</w:t>
            </w:r>
          </w:p>
          <w:p w:rsidR="005A1D82" w:rsidRPr="0077284D" w:rsidRDefault="005A1D82" w:rsidP="0077284D">
            <w:pPr>
              <w:spacing w:after="120" w:line="240" w:lineRule="auto"/>
              <w:jc w:val="both"/>
              <w:rPr>
                <w:rFonts w:asciiTheme="minorHAnsi" w:eastAsia="Times New Roman" w:hAnsiTheme="minorHAnsi" w:cstheme="minorHAnsi"/>
                <w:lang w:eastAsia="pl-PL"/>
              </w:rPr>
            </w:pPr>
            <w:r w:rsidRPr="0077284D">
              <w:rPr>
                <w:rFonts w:asciiTheme="minorHAnsi" w:eastAsia="Times New Roman" w:hAnsiTheme="minorHAnsi" w:cstheme="minorHAnsi"/>
                <w:lang w:eastAsia="pl-PL"/>
              </w:rPr>
              <w:t>Osoby uzyskujące kwalifikacje w trakcie realizacji projektu należy również wliczać do wskaźnika.</w:t>
            </w:r>
          </w:p>
          <w:p w:rsidR="005A1D82" w:rsidRPr="0077284D" w:rsidRDefault="005A1D82" w:rsidP="0077284D">
            <w:pPr>
              <w:spacing w:after="0" w:line="240" w:lineRule="auto"/>
              <w:jc w:val="both"/>
              <w:rPr>
                <w:rFonts w:asciiTheme="minorHAnsi" w:hAnsiTheme="minorHAnsi" w:cstheme="minorHAnsi"/>
              </w:rPr>
            </w:pPr>
            <w:r w:rsidRPr="0077284D">
              <w:rPr>
                <w:rFonts w:asciiTheme="minorHAnsi" w:eastAsia="Times New Roman" w:hAnsiTheme="minorHAnsi" w:cstheme="minorHAnsi"/>
                <w:lang w:eastAsia="pl-PL"/>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253BD1" w:rsidRPr="001565F7" w:rsidTr="0077284D">
        <w:trPr>
          <w:trHeight w:val="1200"/>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Osoby objęte szkoleniami / doradztwem w zakresie kompetencji cyfrowych</w:t>
            </w:r>
          </w:p>
        </w:tc>
        <w:tc>
          <w:tcPr>
            <w:tcW w:w="12184" w:type="dxa"/>
            <w:shd w:val="clear" w:color="auto" w:fill="auto"/>
            <w:hideMark/>
          </w:tcPr>
          <w:p w:rsidR="0063091A" w:rsidRPr="0077284D" w:rsidRDefault="0063091A" w:rsidP="00253BD1">
            <w:pPr>
              <w:spacing w:before="120" w:after="120" w:line="240" w:lineRule="auto"/>
              <w:jc w:val="both"/>
              <w:rPr>
                <w:rFonts w:asciiTheme="minorHAnsi" w:hAnsiTheme="minorHAnsi" w:cstheme="minorHAnsi"/>
              </w:rPr>
            </w:pPr>
            <w:r w:rsidRPr="0077284D">
              <w:rPr>
                <w:rFonts w:asciiTheme="minorHAnsi" w:hAnsiTheme="minorHAnsi" w:cstheme="minorHAnsi"/>
              </w:rPr>
              <w:t>Osoby objęte szkoleniami / doradztwem w zakresie nabywania / doskonalenia umiejętności warunkujących efektywne korzystanie z</w:t>
            </w:r>
            <w:r w:rsidR="00F6229F" w:rsidRPr="0077284D">
              <w:rPr>
                <w:rFonts w:asciiTheme="minorHAnsi" w:hAnsiTheme="minorHAnsi" w:cstheme="minorHAnsi"/>
              </w:rPr>
              <w:t> </w:t>
            </w:r>
            <w:r w:rsidRPr="0077284D">
              <w:rPr>
                <w:rFonts w:asciiTheme="minorHAnsi" w:hAnsiTheme="minorHAnsi" w:cstheme="minorHAnsi"/>
              </w:rPr>
              <w:t xml:space="preserve">mediów elektronicznych tj. m.in. korzystania z komputera, różnych rodzajów oprogramowania, </w:t>
            </w:r>
            <w:r w:rsidR="00033A89" w:rsidRPr="0077284D">
              <w:rPr>
                <w:rFonts w:asciiTheme="minorHAnsi" w:hAnsiTheme="minorHAnsi" w:cstheme="minorHAnsi"/>
              </w:rPr>
              <w:t>Internetu</w:t>
            </w:r>
            <w:r w:rsidRPr="0077284D">
              <w:rPr>
                <w:rFonts w:asciiTheme="minorHAnsi" w:hAnsiTheme="minorHAnsi" w:cstheme="minorHAnsi"/>
              </w:rPr>
              <w:t xml:space="preserve"> oraz kompetencji ściśle informatycznych (np. programowanie, zarządzanie bazami danych, administracja sieciami, administracja witrynami internetowymi).  Należy uwzględnić osoby objęte wsparciem w zakresie TIK we wszystkich programach i projektach, także tych, gdzie szkolenie dotyczy obsługi specyficznego systemu teleinformatycznego, którego wdrożenia dotyczy projekt.</w:t>
            </w:r>
          </w:p>
          <w:p w:rsidR="00033A89" w:rsidRPr="0077284D" w:rsidRDefault="00033A89" w:rsidP="00033A89">
            <w:pPr>
              <w:spacing w:before="120" w:after="120" w:line="240" w:lineRule="auto"/>
              <w:jc w:val="both"/>
              <w:rPr>
                <w:rFonts w:asciiTheme="minorHAnsi" w:hAnsiTheme="minorHAnsi" w:cstheme="minorHAnsi"/>
              </w:rPr>
            </w:pPr>
            <w:r w:rsidRPr="0077284D">
              <w:rPr>
                <w:rFonts w:asciiTheme="minorHAnsi" w:hAnsiTheme="minorHAnsi" w:cstheme="minorHAnsi"/>
              </w:rPr>
              <w:lastRenderedPageBreak/>
              <w:t xml:space="preserve">Definicja obejmuje wszystkich uczestników projektów zawierających określony rodzaj wsparcia, w tym również np. uczniów nabywających kompetencje w ramach zajęć szkolnych, jeśli wsparcie to dotyczy technologii informacyjno-komunikacyjnych. </w:t>
            </w:r>
          </w:p>
        </w:tc>
      </w:tr>
      <w:tr w:rsidR="00253BD1" w:rsidRPr="001565F7" w:rsidTr="0077284D">
        <w:trPr>
          <w:trHeight w:val="418"/>
        </w:trPr>
        <w:tc>
          <w:tcPr>
            <w:tcW w:w="2710" w:type="dxa"/>
            <w:shd w:val="clear" w:color="auto" w:fill="auto"/>
            <w:vAlign w:val="center"/>
            <w:hideMark/>
          </w:tcPr>
          <w:p w:rsidR="0063091A" w:rsidRPr="0077284D" w:rsidRDefault="0063091A" w:rsidP="00253BD1">
            <w:pPr>
              <w:spacing w:before="120" w:after="120" w:line="240" w:lineRule="auto"/>
              <w:rPr>
                <w:rFonts w:asciiTheme="minorHAnsi" w:hAnsiTheme="minorHAnsi" w:cstheme="minorHAnsi"/>
                <w:b/>
                <w:bCs/>
              </w:rPr>
            </w:pPr>
            <w:r w:rsidRPr="0077284D">
              <w:rPr>
                <w:rFonts w:asciiTheme="minorHAnsi" w:hAnsiTheme="minorHAnsi" w:cstheme="minorHAnsi"/>
                <w:b/>
                <w:bCs/>
              </w:rPr>
              <w:lastRenderedPageBreak/>
              <w:t>Osoba poszukująca pracy</w:t>
            </w:r>
          </w:p>
        </w:tc>
        <w:tc>
          <w:tcPr>
            <w:tcW w:w="12184" w:type="dxa"/>
            <w:shd w:val="clear" w:color="auto" w:fill="auto"/>
            <w:hideMark/>
          </w:tcPr>
          <w:p w:rsidR="0063091A" w:rsidRPr="0077284D" w:rsidRDefault="00EB0195" w:rsidP="00253BD1">
            <w:pPr>
              <w:spacing w:before="120" w:after="120" w:line="240" w:lineRule="auto"/>
              <w:jc w:val="both"/>
              <w:rPr>
                <w:rFonts w:asciiTheme="minorHAnsi" w:hAnsiTheme="minorHAnsi" w:cstheme="minorHAnsi"/>
              </w:rPr>
            </w:pPr>
            <w:r w:rsidRPr="0077284D">
              <w:rPr>
                <w:rFonts w:asciiTheme="minorHAnsi" w:eastAsia="Times New Roman" w:hAnsiTheme="minorHAnsi" w:cstheme="minorHAnsi"/>
                <w:color w:val="000000" w:themeColor="text1"/>
                <w:lang w:eastAsia="pl-PL"/>
              </w:rPr>
              <w:t>Osoba poszukująca pracy definiowana jest jako osoba niepracująca, gotowa do podjęcia pracy i aktywnie poszukująca zatrudnienia. Może to być osoba zarejestrowana jako bezrobotna lub poszukująca pracy w publicznych służbach zatrudnienia (PSZ) lub niezarejestrowana, lecz spełniające powyższe przesłanki. Osobę zarejestrowaną jako poszukującą pracy w PSZ należy wliczać do wskaźnika nawet jeśli nie może od razu podjąć zatrudnienia.</w:t>
            </w:r>
          </w:p>
        </w:tc>
      </w:tr>
      <w:tr w:rsidR="00484F4C" w:rsidRPr="001565F7" w:rsidTr="003D0536">
        <w:trPr>
          <w:trHeight w:val="1035"/>
        </w:trPr>
        <w:tc>
          <w:tcPr>
            <w:tcW w:w="2710" w:type="dxa"/>
            <w:shd w:val="clear" w:color="auto" w:fill="auto"/>
            <w:vAlign w:val="center"/>
          </w:tcPr>
          <w:p w:rsidR="00484F4C" w:rsidRPr="0077284D" w:rsidRDefault="00484F4C"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pracująca znajdująca się w niekorzystnej sytuacji na rynku pracy</w:t>
            </w:r>
          </w:p>
        </w:tc>
        <w:tc>
          <w:tcPr>
            <w:tcW w:w="12184" w:type="dxa"/>
            <w:shd w:val="clear" w:color="auto" w:fill="auto"/>
          </w:tcPr>
          <w:p w:rsidR="00484F4C" w:rsidRPr="0077284D" w:rsidRDefault="00484F4C" w:rsidP="00253BD1">
            <w:pPr>
              <w:spacing w:before="120" w:after="120" w:line="240" w:lineRule="auto"/>
              <w:jc w:val="both"/>
              <w:rPr>
                <w:rFonts w:asciiTheme="minorHAnsi" w:eastAsia="Times New Roman" w:hAnsiTheme="minorHAnsi" w:cstheme="minorHAnsi"/>
                <w:color w:val="000000" w:themeColor="text1"/>
                <w:lang w:eastAsia="pl-PL"/>
              </w:rPr>
            </w:pPr>
            <w:r w:rsidRPr="0077284D">
              <w:rPr>
                <w:rFonts w:asciiTheme="minorHAnsi" w:eastAsia="Times New Roman" w:hAnsiTheme="minorHAnsi" w:cstheme="minorHAnsi"/>
                <w:color w:val="000000" w:themeColor="text1"/>
                <w:lang w:eastAsia="pl-PL"/>
              </w:rPr>
              <w:t xml:space="preserve">Osoba pracująca, która w momencie przystąpienia do projektu EFS znajduje się w niekorzystnej sytuacji na rynku pracy, w tym w szczególności osoba, która posiada niepewne, niestabilne, niskopłatne zatrudnienie, imigrant i reemigrant, osoba odchodząca z rolnictwa i jej rodzina oraz osoba, której kwalifikacje i kompetencje nie są wystarczające do podjęcia stabilnego zatrudnienia. </w:t>
            </w:r>
          </w:p>
          <w:p w:rsidR="00484F4C" w:rsidRPr="0077284D" w:rsidRDefault="00484F4C" w:rsidP="00253BD1">
            <w:pPr>
              <w:spacing w:before="120" w:after="120" w:line="240" w:lineRule="auto"/>
              <w:jc w:val="both"/>
              <w:rPr>
                <w:rFonts w:asciiTheme="minorHAnsi" w:eastAsia="Times New Roman" w:hAnsiTheme="minorHAnsi" w:cstheme="minorHAnsi"/>
                <w:color w:val="000000" w:themeColor="text1"/>
                <w:lang w:eastAsia="pl-PL"/>
              </w:rPr>
            </w:pPr>
            <w:r w:rsidRPr="0077284D">
              <w:rPr>
                <w:rFonts w:asciiTheme="minorHAnsi" w:eastAsia="Times New Roman" w:hAnsiTheme="minorHAnsi" w:cstheme="minorHAnsi"/>
                <w:color w:val="000000" w:themeColor="text1"/>
                <w:lang w:eastAsia="pl-PL"/>
              </w:rPr>
              <w:t xml:space="preserve">Szczegółowy katalog osób jest określony w danym programie operacyjnym, a ich definicje zawarto w </w:t>
            </w:r>
            <w:r w:rsidRPr="0077284D">
              <w:rPr>
                <w:rFonts w:asciiTheme="minorHAnsi" w:eastAsia="Times New Roman" w:hAnsiTheme="minorHAnsi" w:cstheme="minorHAnsi"/>
                <w:i/>
                <w:color w:val="000000" w:themeColor="text1"/>
                <w:lang w:eastAsia="pl-PL"/>
              </w:rPr>
              <w:t>Wytycznych w zakresie realizacji przedsięwzięć z udziałem środków Europejskiego Funduszu Społecznego w obszarze rynku pracy na lata 2014 – 2020</w:t>
            </w:r>
            <w:r w:rsidRPr="0077284D">
              <w:rPr>
                <w:rFonts w:asciiTheme="minorHAnsi" w:eastAsia="Times New Roman" w:hAnsiTheme="minorHAnsi" w:cstheme="minorHAnsi"/>
                <w:color w:val="000000" w:themeColor="text1"/>
                <w:lang w:eastAsia="pl-PL"/>
              </w:rPr>
              <w:t>.</w:t>
            </w:r>
          </w:p>
          <w:p w:rsidR="00484F4C" w:rsidRPr="0077284D" w:rsidRDefault="00484F4C" w:rsidP="00253BD1">
            <w:pPr>
              <w:spacing w:before="120" w:after="120" w:line="240" w:lineRule="auto"/>
              <w:jc w:val="both"/>
              <w:rPr>
                <w:rFonts w:asciiTheme="minorHAnsi" w:eastAsia="Times New Roman" w:hAnsiTheme="minorHAnsi" w:cstheme="minorHAnsi"/>
                <w:color w:val="000000" w:themeColor="text1"/>
                <w:lang w:eastAsia="pl-PL"/>
              </w:rPr>
            </w:pPr>
            <w:r w:rsidRPr="0077284D">
              <w:rPr>
                <w:rFonts w:asciiTheme="minorHAnsi" w:eastAsia="Times New Roman" w:hAnsiTheme="minorHAnsi" w:cstheme="minorHAnsi"/>
                <w:color w:val="000000" w:themeColor="text1"/>
                <w:lang w:eastAsia="pl-PL"/>
              </w:rPr>
              <w:t xml:space="preserve">Osoba pracująca </w:t>
            </w:r>
            <w:r w:rsidR="00242644">
              <w:rPr>
                <w:rFonts w:asciiTheme="minorHAnsi" w:eastAsia="Times New Roman" w:hAnsiTheme="minorHAnsi" w:cstheme="minorHAnsi"/>
                <w:color w:val="000000" w:themeColor="text1"/>
                <w:lang w:eastAsia="pl-PL"/>
              </w:rPr>
              <w:t>w rozumieniu</w:t>
            </w:r>
            <w:r w:rsidRPr="0077284D">
              <w:rPr>
                <w:rFonts w:asciiTheme="minorHAnsi" w:eastAsia="Times New Roman" w:hAnsiTheme="minorHAnsi" w:cstheme="minorHAnsi"/>
                <w:color w:val="000000" w:themeColor="text1"/>
                <w:lang w:eastAsia="pl-PL"/>
              </w:rPr>
              <w:t xml:space="preserve"> definicji dot. osoby pracującej.</w:t>
            </w:r>
          </w:p>
        </w:tc>
      </w:tr>
      <w:tr w:rsidR="008C7802" w:rsidRPr="001565F7" w:rsidTr="0077284D">
        <w:trPr>
          <w:trHeight w:val="418"/>
        </w:trPr>
        <w:tc>
          <w:tcPr>
            <w:tcW w:w="2710" w:type="dxa"/>
            <w:shd w:val="clear" w:color="auto" w:fill="auto"/>
            <w:vAlign w:val="center"/>
          </w:tcPr>
          <w:p w:rsidR="008C7802" w:rsidRPr="0077284D" w:rsidRDefault="008C7802" w:rsidP="00253BD1">
            <w:pPr>
              <w:spacing w:before="120" w:after="120" w:line="240" w:lineRule="auto"/>
              <w:rPr>
                <w:rFonts w:asciiTheme="minorHAnsi" w:hAnsiTheme="minorHAnsi" w:cstheme="minorHAnsi"/>
                <w:b/>
                <w:bCs/>
              </w:rPr>
            </w:pPr>
            <w:r w:rsidRPr="0077284D">
              <w:rPr>
                <w:rFonts w:asciiTheme="minorHAnsi" w:hAnsiTheme="minorHAnsi" w:cstheme="minorHAnsi"/>
                <w:b/>
                <w:bCs/>
              </w:rPr>
              <w:t>Osoba opiekująca się osobą z niepełnosprawnością</w:t>
            </w:r>
          </w:p>
        </w:tc>
        <w:tc>
          <w:tcPr>
            <w:tcW w:w="12184" w:type="dxa"/>
            <w:shd w:val="clear" w:color="auto" w:fill="auto"/>
          </w:tcPr>
          <w:p w:rsidR="008C7802" w:rsidRPr="0077284D" w:rsidRDefault="008C7802" w:rsidP="00253BD1">
            <w:pPr>
              <w:spacing w:before="120" w:after="120" w:line="240" w:lineRule="auto"/>
              <w:jc w:val="both"/>
              <w:rPr>
                <w:rFonts w:asciiTheme="minorHAnsi" w:eastAsia="Times New Roman" w:hAnsiTheme="minorHAnsi" w:cstheme="minorHAnsi"/>
                <w:color w:val="000000" w:themeColor="text1"/>
                <w:lang w:eastAsia="pl-PL"/>
              </w:rPr>
            </w:pPr>
            <w:r w:rsidRPr="0077284D">
              <w:rPr>
                <w:rFonts w:asciiTheme="minorHAnsi" w:eastAsia="Times New Roman" w:hAnsiTheme="minorHAnsi" w:cstheme="minorHAnsi"/>
                <w:color w:val="000000" w:themeColor="text1"/>
                <w:lang w:eastAsia="pl-PL"/>
              </w:rPr>
              <w:t xml:space="preserve">Osoba będąca opiekunem prawnym oraz osoba będąca opiekunem faktycznym osoby z niepełnosprawnością. </w:t>
            </w:r>
          </w:p>
          <w:p w:rsidR="008C7802" w:rsidRPr="0077284D" w:rsidRDefault="008C7802" w:rsidP="00253BD1">
            <w:pPr>
              <w:spacing w:before="120" w:after="120" w:line="240" w:lineRule="auto"/>
              <w:jc w:val="both"/>
              <w:rPr>
                <w:rFonts w:asciiTheme="minorHAnsi" w:eastAsia="Times New Roman" w:hAnsiTheme="minorHAnsi" w:cstheme="minorHAnsi"/>
                <w:color w:val="000000" w:themeColor="text1"/>
                <w:lang w:eastAsia="pl-PL"/>
              </w:rPr>
            </w:pPr>
            <w:r w:rsidRPr="0077284D">
              <w:rPr>
                <w:rFonts w:asciiTheme="minorHAnsi" w:eastAsia="Times New Roman" w:hAnsiTheme="minorHAnsi" w:cstheme="minorHAnsi"/>
                <w:color w:val="000000" w:themeColor="text1"/>
                <w:lang w:eastAsia="pl-PL"/>
              </w:rPr>
              <w:t xml:space="preserve">Opiekunem faktycznym jest osoba pełnoletnia opiekująca się osobą z niepełnosprawnością, niebędąca opiekunem zawodowym i niepobierająca wynagrodzenia z tytułu opieki na osobą z niepełnosprawnością, najczęściej członek rodziny. </w:t>
            </w:r>
          </w:p>
          <w:p w:rsidR="008C7802" w:rsidRPr="0077284D" w:rsidRDefault="008C7802" w:rsidP="00242644">
            <w:pPr>
              <w:spacing w:before="120" w:after="120" w:line="240" w:lineRule="auto"/>
              <w:jc w:val="both"/>
              <w:rPr>
                <w:rFonts w:asciiTheme="minorHAnsi" w:eastAsia="Times New Roman" w:hAnsiTheme="minorHAnsi" w:cstheme="minorHAnsi"/>
                <w:color w:val="000000" w:themeColor="text1"/>
                <w:lang w:eastAsia="pl-PL"/>
              </w:rPr>
            </w:pPr>
            <w:r w:rsidRPr="0077284D">
              <w:rPr>
                <w:rFonts w:asciiTheme="minorHAnsi" w:eastAsia="Times New Roman" w:hAnsiTheme="minorHAnsi" w:cstheme="minorHAnsi"/>
                <w:color w:val="000000" w:themeColor="text1"/>
                <w:lang w:eastAsia="pl-PL"/>
              </w:rPr>
              <w:t xml:space="preserve">Osoba z niepełnosprawnością </w:t>
            </w:r>
            <w:r w:rsidR="00242644">
              <w:rPr>
                <w:rFonts w:asciiTheme="minorHAnsi" w:eastAsia="Times New Roman" w:hAnsiTheme="minorHAnsi" w:cstheme="minorHAnsi"/>
                <w:color w:val="000000" w:themeColor="text1"/>
                <w:lang w:eastAsia="pl-PL"/>
              </w:rPr>
              <w:t>w rozumieniu</w:t>
            </w:r>
            <w:r w:rsidRPr="0077284D">
              <w:rPr>
                <w:rFonts w:asciiTheme="minorHAnsi" w:eastAsia="Times New Roman" w:hAnsiTheme="minorHAnsi" w:cstheme="minorHAnsi"/>
                <w:color w:val="000000" w:themeColor="text1"/>
                <w:lang w:eastAsia="pl-PL"/>
              </w:rPr>
              <w:t xml:space="preserve"> definicji dot. osoby z niepełnosprawnością.</w:t>
            </w:r>
          </w:p>
        </w:tc>
      </w:tr>
    </w:tbl>
    <w:p w:rsidR="0063091A" w:rsidRDefault="0063091A"/>
    <w:sectPr w:rsidR="0063091A" w:rsidSect="00424CE5">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080" w:bottom="1440" w:left="1080" w:header="708" w:footer="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B4" w:rsidRDefault="002D09B4" w:rsidP="003F1CA3">
      <w:pPr>
        <w:spacing w:after="0" w:line="240" w:lineRule="auto"/>
      </w:pPr>
      <w:r>
        <w:separator/>
      </w:r>
    </w:p>
  </w:endnote>
  <w:endnote w:type="continuationSeparator" w:id="0">
    <w:p w:rsidR="002D09B4" w:rsidRDefault="002D09B4" w:rsidP="003F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9" w:rsidRDefault="004018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E5" w:rsidRDefault="00424CE5">
    <w:pPr>
      <w:pStyle w:val="Stopka"/>
    </w:pPr>
    <w:r>
      <w:t>Wersja 1.</w:t>
    </w:r>
    <w:r w:rsidR="004018C9">
      <w:t>2</w:t>
    </w:r>
  </w:p>
  <w:p w:rsidR="003F1CA3" w:rsidRDefault="003F1CA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9" w:rsidRDefault="004018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B4" w:rsidRDefault="002D09B4" w:rsidP="003F1CA3">
      <w:pPr>
        <w:spacing w:after="0" w:line="240" w:lineRule="auto"/>
      </w:pPr>
      <w:r>
        <w:separator/>
      </w:r>
    </w:p>
  </w:footnote>
  <w:footnote w:type="continuationSeparator" w:id="0">
    <w:p w:rsidR="002D09B4" w:rsidRDefault="002D09B4" w:rsidP="003F1CA3">
      <w:pPr>
        <w:spacing w:after="0" w:line="240" w:lineRule="auto"/>
      </w:pPr>
      <w:r>
        <w:continuationSeparator/>
      </w:r>
    </w:p>
  </w:footnote>
  <w:footnote w:id="1">
    <w:p w:rsidR="00197F44" w:rsidRDefault="00197F44">
      <w:pPr>
        <w:pStyle w:val="Tekstprzypisudolnego"/>
      </w:pPr>
      <w:r>
        <w:rPr>
          <w:rStyle w:val="Odwoanieprzypisudolnego"/>
        </w:rPr>
        <w:footnoteRef/>
      </w:r>
      <w:r>
        <w:t xml:space="preserve"> </w:t>
      </w:r>
      <w:r w:rsidRPr="00197F44">
        <w:t>O ile obowiązkowy pobór i powołanie do wojska dotyczy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9" w:rsidRDefault="004018C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9" w:rsidRDefault="004018C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9" w:rsidRDefault="004018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95E"/>
    <w:multiLevelType w:val="hybridMultilevel"/>
    <w:tmpl w:val="CBE8F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B70E98"/>
    <w:multiLevelType w:val="hybridMultilevel"/>
    <w:tmpl w:val="13529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1162FF"/>
    <w:multiLevelType w:val="hybridMultilevel"/>
    <w:tmpl w:val="51348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B63EEF"/>
    <w:multiLevelType w:val="hybridMultilevel"/>
    <w:tmpl w:val="2070B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AA1CC4"/>
    <w:multiLevelType w:val="hybridMultilevel"/>
    <w:tmpl w:val="9740D9CC"/>
    <w:lvl w:ilvl="0" w:tplc="FA681A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E97BAD"/>
    <w:multiLevelType w:val="hybridMultilevel"/>
    <w:tmpl w:val="F27C41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503F4D"/>
    <w:multiLevelType w:val="hybridMultilevel"/>
    <w:tmpl w:val="548AC9EC"/>
    <w:lvl w:ilvl="0" w:tplc="FA681A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A54627A"/>
    <w:multiLevelType w:val="hybridMultilevel"/>
    <w:tmpl w:val="5F14E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78F0D97"/>
    <w:multiLevelType w:val="hybridMultilevel"/>
    <w:tmpl w:val="F5820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807F91"/>
    <w:multiLevelType w:val="hybridMultilevel"/>
    <w:tmpl w:val="86805FC8"/>
    <w:lvl w:ilvl="0" w:tplc="FA681A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D434AA8"/>
    <w:multiLevelType w:val="hybridMultilevel"/>
    <w:tmpl w:val="F7FAE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6B52902"/>
    <w:multiLevelType w:val="hybridMultilevel"/>
    <w:tmpl w:val="CABC2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243A5B"/>
    <w:multiLevelType w:val="hybridMultilevel"/>
    <w:tmpl w:val="E6C25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8A72907"/>
    <w:multiLevelType w:val="hybridMultilevel"/>
    <w:tmpl w:val="3E747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C041AB"/>
    <w:multiLevelType w:val="hybridMultilevel"/>
    <w:tmpl w:val="34D65D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D1B531D"/>
    <w:multiLevelType w:val="hybridMultilevel"/>
    <w:tmpl w:val="53F2C574"/>
    <w:lvl w:ilvl="0" w:tplc="4392AB18">
      <w:start w:val="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10"/>
  </w:num>
  <w:num w:numId="6">
    <w:abstractNumId w:val="0"/>
  </w:num>
  <w:num w:numId="7">
    <w:abstractNumId w:val="14"/>
  </w:num>
  <w:num w:numId="8">
    <w:abstractNumId w:val="7"/>
  </w:num>
  <w:num w:numId="9">
    <w:abstractNumId w:val="15"/>
  </w:num>
  <w:num w:numId="10">
    <w:abstractNumId w:val="4"/>
  </w:num>
  <w:num w:numId="11">
    <w:abstractNumId w:val="11"/>
  </w:num>
  <w:num w:numId="12">
    <w:abstractNumId w:val="3"/>
  </w:num>
  <w:num w:numId="13">
    <w:abstractNumId w:val="6"/>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E5"/>
    <w:rsid w:val="00024363"/>
    <w:rsid w:val="00033A89"/>
    <w:rsid w:val="00046561"/>
    <w:rsid w:val="000B1492"/>
    <w:rsid w:val="000B38C7"/>
    <w:rsid w:val="00111DAF"/>
    <w:rsid w:val="00117F74"/>
    <w:rsid w:val="001265E5"/>
    <w:rsid w:val="001565F7"/>
    <w:rsid w:val="001660F0"/>
    <w:rsid w:val="00197F44"/>
    <w:rsid w:val="00202FC5"/>
    <w:rsid w:val="00242644"/>
    <w:rsid w:val="00253BD1"/>
    <w:rsid w:val="002555DC"/>
    <w:rsid w:val="00293EE9"/>
    <w:rsid w:val="002A7617"/>
    <w:rsid w:val="002D09B4"/>
    <w:rsid w:val="0032666D"/>
    <w:rsid w:val="00366DC0"/>
    <w:rsid w:val="003704E3"/>
    <w:rsid w:val="00391F21"/>
    <w:rsid w:val="003B7DAD"/>
    <w:rsid w:val="003D0536"/>
    <w:rsid w:val="003D6370"/>
    <w:rsid w:val="003F1CA3"/>
    <w:rsid w:val="004018C9"/>
    <w:rsid w:val="00410D19"/>
    <w:rsid w:val="00424CE5"/>
    <w:rsid w:val="0047760C"/>
    <w:rsid w:val="00484F4C"/>
    <w:rsid w:val="005105F3"/>
    <w:rsid w:val="00514C20"/>
    <w:rsid w:val="00522851"/>
    <w:rsid w:val="00562B72"/>
    <w:rsid w:val="00564F98"/>
    <w:rsid w:val="005A1D82"/>
    <w:rsid w:val="0060495E"/>
    <w:rsid w:val="00622E25"/>
    <w:rsid w:val="0063091A"/>
    <w:rsid w:val="00676AC3"/>
    <w:rsid w:val="00677024"/>
    <w:rsid w:val="00684F7F"/>
    <w:rsid w:val="006918E8"/>
    <w:rsid w:val="006D6954"/>
    <w:rsid w:val="0077284D"/>
    <w:rsid w:val="007B0323"/>
    <w:rsid w:val="007F1CB8"/>
    <w:rsid w:val="007F2CF3"/>
    <w:rsid w:val="00803777"/>
    <w:rsid w:val="00812FEF"/>
    <w:rsid w:val="008157E8"/>
    <w:rsid w:val="0082017C"/>
    <w:rsid w:val="008313F0"/>
    <w:rsid w:val="008423CE"/>
    <w:rsid w:val="00882BB2"/>
    <w:rsid w:val="00891177"/>
    <w:rsid w:val="008A2709"/>
    <w:rsid w:val="008A740A"/>
    <w:rsid w:val="008C2C10"/>
    <w:rsid w:val="008C7802"/>
    <w:rsid w:val="00917859"/>
    <w:rsid w:val="009412EF"/>
    <w:rsid w:val="00956329"/>
    <w:rsid w:val="009928C7"/>
    <w:rsid w:val="009D0D10"/>
    <w:rsid w:val="009E1AE7"/>
    <w:rsid w:val="00A942B0"/>
    <w:rsid w:val="00AB27A9"/>
    <w:rsid w:val="00AB56F5"/>
    <w:rsid w:val="00B000C4"/>
    <w:rsid w:val="00B16EC1"/>
    <w:rsid w:val="00B30014"/>
    <w:rsid w:val="00B35017"/>
    <w:rsid w:val="00B4357D"/>
    <w:rsid w:val="00C518A1"/>
    <w:rsid w:val="00CD5D61"/>
    <w:rsid w:val="00D13EA3"/>
    <w:rsid w:val="00D1502E"/>
    <w:rsid w:val="00D42ACD"/>
    <w:rsid w:val="00D67DAE"/>
    <w:rsid w:val="00DA4374"/>
    <w:rsid w:val="00DB0493"/>
    <w:rsid w:val="00DE494C"/>
    <w:rsid w:val="00DE53D1"/>
    <w:rsid w:val="00E03346"/>
    <w:rsid w:val="00E10D03"/>
    <w:rsid w:val="00E203E1"/>
    <w:rsid w:val="00EA70D0"/>
    <w:rsid w:val="00EB0195"/>
    <w:rsid w:val="00ED631F"/>
    <w:rsid w:val="00F02028"/>
    <w:rsid w:val="00F250CE"/>
    <w:rsid w:val="00F6229F"/>
    <w:rsid w:val="00FB3C8D"/>
    <w:rsid w:val="00FB4196"/>
    <w:rsid w:val="00FB50E2"/>
    <w:rsid w:val="00FE276B"/>
    <w:rsid w:val="00FF0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26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1CA3"/>
    <w:pPr>
      <w:tabs>
        <w:tab w:val="center" w:pos="4536"/>
        <w:tab w:val="right" w:pos="9072"/>
      </w:tabs>
    </w:pPr>
  </w:style>
  <w:style w:type="character" w:customStyle="1" w:styleId="NagwekZnak">
    <w:name w:val="Nagłówek Znak"/>
    <w:link w:val="Nagwek"/>
    <w:uiPriority w:val="99"/>
    <w:rsid w:val="003F1CA3"/>
    <w:rPr>
      <w:sz w:val="22"/>
      <w:szCs w:val="22"/>
      <w:lang w:eastAsia="en-US"/>
    </w:rPr>
  </w:style>
  <w:style w:type="paragraph" w:styleId="Stopka">
    <w:name w:val="footer"/>
    <w:basedOn w:val="Normalny"/>
    <w:link w:val="StopkaZnak"/>
    <w:uiPriority w:val="99"/>
    <w:unhideWhenUsed/>
    <w:rsid w:val="003F1CA3"/>
    <w:pPr>
      <w:tabs>
        <w:tab w:val="center" w:pos="4536"/>
        <w:tab w:val="right" w:pos="9072"/>
      </w:tabs>
    </w:pPr>
  </w:style>
  <w:style w:type="character" w:customStyle="1" w:styleId="StopkaZnak">
    <w:name w:val="Stopka Znak"/>
    <w:link w:val="Stopka"/>
    <w:uiPriority w:val="99"/>
    <w:rsid w:val="003F1CA3"/>
    <w:rPr>
      <w:sz w:val="22"/>
      <w:szCs w:val="22"/>
      <w:lang w:eastAsia="en-US"/>
    </w:rPr>
  </w:style>
  <w:style w:type="paragraph" w:styleId="Tekstdymka">
    <w:name w:val="Balloon Text"/>
    <w:basedOn w:val="Normalny"/>
    <w:link w:val="TekstdymkaZnak"/>
    <w:uiPriority w:val="99"/>
    <w:semiHidden/>
    <w:unhideWhenUsed/>
    <w:rsid w:val="00293EE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93EE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197F4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7F44"/>
    <w:rPr>
      <w:lang w:eastAsia="en-US"/>
    </w:rPr>
  </w:style>
  <w:style w:type="character" w:styleId="Odwoanieprzypisudolnego">
    <w:name w:val="footnote reference"/>
    <w:basedOn w:val="Domylnaczcionkaakapitu"/>
    <w:uiPriority w:val="99"/>
    <w:semiHidden/>
    <w:unhideWhenUsed/>
    <w:rsid w:val="00197F44"/>
    <w:rPr>
      <w:vertAlign w:val="superscript"/>
    </w:rPr>
  </w:style>
  <w:style w:type="character" w:styleId="Odwoaniedokomentarza">
    <w:name w:val="annotation reference"/>
    <w:basedOn w:val="Domylnaczcionkaakapitu"/>
    <w:uiPriority w:val="99"/>
    <w:semiHidden/>
    <w:unhideWhenUsed/>
    <w:rsid w:val="00E10D03"/>
    <w:rPr>
      <w:sz w:val="16"/>
      <w:szCs w:val="16"/>
    </w:rPr>
  </w:style>
  <w:style w:type="paragraph" w:styleId="Tekstkomentarza">
    <w:name w:val="annotation text"/>
    <w:basedOn w:val="Normalny"/>
    <w:link w:val="TekstkomentarzaZnak"/>
    <w:uiPriority w:val="99"/>
    <w:unhideWhenUsed/>
    <w:rsid w:val="00E10D03"/>
    <w:pPr>
      <w:spacing w:line="240" w:lineRule="auto"/>
    </w:pPr>
    <w:rPr>
      <w:sz w:val="20"/>
      <w:szCs w:val="20"/>
    </w:rPr>
  </w:style>
  <w:style w:type="character" w:customStyle="1" w:styleId="TekstkomentarzaZnak">
    <w:name w:val="Tekst komentarza Znak"/>
    <w:basedOn w:val="Domylnaczcionkaakapitu"/>
    <w:link w:val="Tekstkomentarza"/>
    <w:uiPriority w:val="99"/>
    <w:rsid w:val="00E10D03"/>
    <w:rPr>
      <w:lang w:eastAsia="en-US"/>
    </w:rPr>
  </w:style>
  <w:style w:type="paragraph" w:styleId="Tematkomentarza">
    <w:name w:val="annotation subject"/>
    <w:basedOn w:val="Tekstkomentarza"/>
    <w:next w:val="Tekstkomentarza"/>
    <w:link w:val="TematkomentarzaZnak"/>
    <w:uiPriority w:val="99"/>
    <w:semiHidden/>
    <w:unhideWhenUsed/>
    <w:rsid w:val="00E10D03"/>
    <w:rPr>
      <w:b/>
      <w:bCs/>
    </w:rPr>
  </w:style>
  <w:style w:type="character" w:customStyle="1" w:styleId="TematkomentarzaZnak">
    <w:name w:val="Temat komentarza Znak"/>
    <w:basedOn w:val="TekstkomentarzaZnak"/>
    <w:link w:val="Tematkomentarza"/>
    <w:uiPriority w:val="99"/>
    <w:semiHidden/>
    <w:rsid w:val="00E10D03"/>
    <w:rPr>
      <w:b/>
      <w:bCs/>
      <w:lang w:eastAsia="en-US"/>
    </w:rPr>
  </w:style>
  <w:style w:type="paragraph" w:styleId="Akapitzlist">
    <w:name w:val="List Paragraph"/>
    <w:aliases w:val="Punkt 1.1"/>
    <w:basedOn w:val="Normalny"/>
    <w:link w:val="AkapitzlistZnak"/>
    <w:qFormat/>
    <w:rsid w:val="009E1AE7"/>
    <w:pPr>
      <w:ind w:left="720"/>
      <w:contextualSpacing/>
    </w:pPr>
  </w:style>
  <w:style w:type="paragraph" w:styleId="Poprawka">
    <w:name w:val="Revision"/>
    <w:hidden/>
    <w:uiPriority w:val="99"/>
    <w:semiHidden/>
    <w:rsid w:val="00DE494C"/>
    <w:rPr>
      <w:sz w:val="22"/>
      <w:szCs w:val="22"/>
      <w:lang w:eastAsia="en-US"/>
    </w:rPr>
  </w:style>
  <w:style w:type="character" w:styleId="Hipercze">
    <w:name w:val="Hyperlink"/>
    <w:basedOn w:val="Domylnaczcionkaakapitu"/>
    <w:uiPriority w:val="99"/>
    <w:unhideWhenUsed/>
    <w:rsid w:val="00CD5D61"/>
    <w:rPr>
      <w:color w:val="0000FF" w:themeColor="hyperlink"/>
      <w:u w:val="single"/>
    </w:rPr>
  </w:style>
  <w:style w:type="character" w:styleId="UyteHipercze">
    <w:name w:val="FollowedHyperlink"/>
    <w:basedOn w:val="Domylnaczcionkaakapitu"/>
    <w:uiPriority w:val="99"/>
    <w:semiHidden/>
    <w:unhideWhenUsed/>
    <w:rsid w:val="00FB3C8D"/>
    <w:rPr>
      <w:color w:val="800080" w:themeColor="followedHyperlink"/>
      <w:u w:val="single"/>
    </w:rPr>
  </w:style>
  <w:style w:type="character" w:customStyle="1" w:styleId="AkapitzlistZnak">
    <w:name w:val="Akapit z listą Znak"/>
    <w:aliases w:val="Punkt 1.1 Znak"/>
    <w:link w:val="Akapitzlist"/>
    <w:rsid w:val="00FB50E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26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1CA3"/>
    <w:pPr>
      <w:tabs>
        <w:tab w:val="center" w:pos="4536"/>
        <w:tab w:val="right" w:pos="9072"/>
      </w:tabs>
    </w:pPr>
  </w:style>
  <w:style w:type="character" w:customStyle="1" w:styleId="NagwekZnak">
    <w:name w:val="Nagłówek Znak"/>
    <w:link w:val="Nagwek"/>
    <w:uiPriority w:val="99"/>
    <w:rsid w:val="003F1CA3"/>
    <w:rPr>
      <w:sz w:val="22"/>
      <w:szCs w:val="22"/>
      <w:lang w:eastAsia="en-US"/>
    </w:rPr>
  </w:style>
  <w:style w:type="paragraph" w:styleId="Stopka">
    <w:name w:val="footer"/>
    <w:basedOn w:val="Normalny"/>
    <w:link w:val="StopkaZnak"/>
    <w:uiPriority w:val="99"/>
    <w:unhideWhenUsed/>
    <w:rsid w:val="003F1CA3"/>
    <w:pPr>
      <w:tabs>
        <w:tab w:val="center" w:pos="4536"/>
        <w:tab w:val="right" w:pos="9072"/>
      </w:tabs>
    </w:pPr>
  </w:style>
  <w:style w:type="character" w:customStyle="1" w:styleId="StopkaZnak">
    <w:name w:val="Stopka Znak"/>
    <w:link w:val="Stopka"/>
    <w:uiPriority w:val="99"/>
    <w:rsid w:val="003F1CA3"/>
    <w:rPr>
      <w:sz w:val="22"/>
      <w:szCs w:val="22"/>
      <w:lang w:eastAsia="en-US"/>
    </w:rPr>
  </w:style>
  <w:style w:type="paragraph" w:styleId="Tekstdymka">
    <w:name w:val="Balloon Text"/>
    <w:basedOn w:val="Normalny"/>
    <w:link w:val="TekstdymkaZnak"/>
    <w:uiPriority w:val="99"/>
    <w:semiHidden/>
    <w:unhideWhenUsed/>
    <w:rsid w:val="00293EE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93EE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197F4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7F44"/>
    <w:rPr>
      <w:lang w:eastAsia="en-US"/>
    </w:rPr>
  </w:style>
  <w:style w:type="character" w:styleId="Odwoanieprzypisudolnego">
    <w:name w:val="footnote reference"/>
    <w:basedOn w:val="Domylnaczcionkaakapitu"/>
    <w:uiPriority w:val="99"/>
    <w:semiHidden/>
    <w:unhideWhenUsed/>
    <w:rsid w:val="00197F44"/>
    <w:rPr>
      <w:vertAlign w:val="superscript"/>
    </w:rPr>
  </w:style>
  <w:style w:type="character" w:styleId="Odwoaniedokomentarza">
    <w:name w:val="annotation reference"/>
    <w:basedOn w:val="Domylnaczcionkaakapitu"/>
    <w:uiPriority w:val="99"/>
    <w:semiHidden/>
    <w:unhideWhenUsed/>
    <w:rsid w:val="00E10D03"/>
    <w:rPr>
      <w:sz w:val="16"/>
      <w:szCs w:val="16"/>
    </w:rPr>
  </w:style>
  <w:style w:type="paragraph" w:styleId="Tekstkomentarza">
    <w:name w:val="annotation text"/>
    <w:basedOn w:val="Normalny"/>
    <w:link w:val="TekstkomentarzaZnak"/>
    <w:uiPriority w:val="99"/>
    <w:unhideWhenUsed/>
    <w:rsid w:val="00E10D03"/>
    <w:pPr>
      <w:spacing w:line="240" w:lineRule="auto"/>
    </w:pPr>
    <w:rPr>
      <w:sz w:val="20"/>
      <w:szCs w:val="20"/>
    </w:rPr>
  </w:style>
  <w:style w:type="character" w:customStyle="1" w:styleId="TekstkomentarzaZnak">
    <w:name w:val="Tekst komentarza Znak"/>
    <w:basedOn w:val="Domylnaczcionkaakapitu"/>
    <w:link w:val="Tekstkomentarza"/>
    <w:uiPriority w:val="99"/>
    <w:rsid w:val="00E10D03"/>
    <w:rPr>
      <w:lang w:eastAsia="en-US"/>
    </w:rPr>
  </w:style>
  <w:style w:type="paragraph" w:styleId="Tematkomentarza">
    <w:name w:val="annotation subject"/>
    <w:basedOn w:val="Tekstkomentarza"/>
    <w:next w:val="Tekstkomentarza"/>
    <w:link w:val="TematkomentarzaZnak"/>
    <w:uiPriority w:val="99"/>
    <w:semiHidden/>
    <w:unhideWhenUsed/>
    <w:rsid w:val="00E10D03"/>
    <w:rPr>
      <w:b/>
      <w:bCs/>
    </w:rPr>
  </w:style>
  <w:style w:type="character" w:customStyle="1" w:styleId="TematkomentarzaZnak">
    <w:name w:val="Temat komentarza Znak"/>
    <w:basedOn w:val="TekstkomentarzaZnak"/>
    <w:link w:val="Tematkomentarza"/>
    <w:uiPriority w:val="99"/>
    <w:semiHidden/>
    <w:rsid w:val="00E10D03"/>
    <w:rPr>
      <w:b/>
      <w:bCs/>
      <w:lang w:eastAsia="en-US"/>
    </w:rPr>
  </w:style>
  <w:style w:type="paragraph" w:styleId="Akapitzlist">
    <w:name w:val="List Paragraph"/>
    <w:aliases w:val="Punkt 1.1"/>
    <w:basedOn w:val="Normalny"/>
    <w:link w:val="AkapitzlistZnak"/>
    <w:qFormat/>
    <w:rsid w:val="009E1AE7"/>
    <w:pPr>
      <w:ind w:left="720"/>
      <w:contextualSpacing/>
    </w:pPr>
  </w:style>
  <w:style w:type="paragraph" w:styleId="Poprawka">
    <w:name w:val="Revision"/>
    <w:hidden/>
    <w:uiPriority w:val="99"/>
    <w:semiHidden/>
    <w:rsid w:val="00DE494C"/>
    <w:rPr>
      <w:sz w:val="22"/>
      <w:szCs w:val="22"/>
      <w:lang w:eastAsia="en-US"/>
    </w:rPr>
  </w:style>
  <w:style w:type="character" w:styleId="Hipercze">
    <w:name w:val="Hyperlink"/>
    <w:basedOn w:val="Domylnaczcionkaakapitu"/>
    <w:uiPriority w:val="99"/>
    <w:unhideWhenUsed/>
    <w:rsid w:val="00CD5D61"/>
    <w:rPr>
      <w:color w:val="0000FF" w:themeColor="hyperlink"/>
      <w:u w:val="single"/>
    </w:rPr>
  </w:style>
  <w:style w:type="character" w:styleId="UyteHipercze">
    <w:name w:val="FollowedHyperlink"/>
    <w:basedOn w:val="Domylnaczcionkaakapitu"/>
    <w:uiPriority w:val="99"/>
    <w:semiHidden/>
    <w:unhideWhenUsed/>
    <w:rsid w:val="00FB3C8D"/>
    <w:rPr>
      <w:color w:val="800080" w:themeColor="followedHyperlink"/>
      <w:u w:val="single"/>
    </w:rPr>
  </w:style>
  <w:style w:type="character" w:customStyle="1" w:styleId="AkapitzlistZnak">
    <w:name w:val="Akapit z listą Znak"/>
    <w:aliases w:val="Punkt 1.1 Znak"/>
    <w:link w:val="Akapitzlist"/>
    <w:rsid w:val="00FB50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5018">
      <w:bodyDiv w:val="1"/>
      <w:marLeft w:val="0"/>
      <w:marRight w:val="0"/>
      <w:marTop w:val="0"/>
      <w:marBottom w:val="0"/>
      <w:divBdr>
        <w:top w:val="none" w:sz="0" w:space="0" w:color="auto"/>
        <w:left w:val="none" w:sz="0" w:space="0" w:color="auto"/>
        <w:bottom w:val="none" w:sz="0" w:space="0" w:color="auto"/>
        <w:right w:val="none" w:sz="0" w:space="0" w:color="auto"/>
      </w:divBdr>
    </w:div>
    <w:div w:id="734821020">
      <w:bodyDiv w:val="1"/>
      <w:marLeft w:val="0"/>
      <w:marRight w:val="0"/>
      <w:marTop w:val="0"/>
      <w:marBottom w:val="0"/>
      <w:divBdr>
        <w:top w:val="none" w:sz="0" w:space="0" w:color="auto"/>
        <w:left w:val="none" w:sz="0" w:space="0" w:color="auto"/>
        <w:bottom w:val="none" w:sz="0" w:space="0" w:color="auto"/>
        <w:right w:val="none" w:sz="0" w:space="0" w:color="auto"/>
      </w:divBdr>
    </w:div>
    <w:div w:id="1184129235">
      <w:bodyDiv w:val="1"/>
      <w:marLeft w:val="0"/>
      <w:marRight w:val="0"/>
      <w:marTop w:val="0"/>
      <w:marBottom w:val="0"/>
      <w:divBdr>
        <w:top w:val="none" w:sz="0" w:space="0" w:color="auto"/>
        <w:left w:val="none" w:sz="0" w:space="0" w:color="auto"/>
        <w:bottom w:val="none" w:sz="0" w:space="0" w:color="auto"/>
        <w:right w:val="none" w:sz="0" w:space="0" w:color="auto"/>
      </w:divBdr>
      <w:divsChild>
        <w:div w:id="867834247">
          <w:marLeft w:val="0"/>
          <w:marRight w:val="0"/>
          <w:marTop w:val="0"/>
          <w:marBottom w:val="0"/>
          <w:divBdr>
            <w:top w:val="none" w:sz="0" w:space="0" w:color="auto"/>
            <w:left w:val="none" w:sz="0" w:space="0" w:color="auto"/>
            <w:bottom w:val="none" w:sz="0" w:space="0" w:color="auto"/>
            <w:right w:val="none" w:sz="0" w:space="0" w:color="auto"/>
          </w:divBdr>
        </w:div>
        <w:div w:id="1918440145">
          <w:marLeft w:val="0"/>
          <w:marRight w:val="0"/>
          <w:marTop w:val="0"/>
          <w:marBottom w:val="0"/>
          <w:divBdr>
            <w:top w:val="none" w:sz="0" w:space="0" w:color="auto"/>
            <w:left w:val="none" w:sz="0" w:space="0" w:color="auto"/>
            <w:bottom w:val="none" w:sz="0" w:space="0" w:color="auto"/>
            <w:right w:val="none" w:sz="0" w:space="0" w:color="auto"/>
          </w:divBdr>
        </w:div>
        <w:div w:id="1880584235">
          <w:marLeft w:val="0"/>
          <w:marRight w:val="0"/>
          <w:marTop w:val="0"/>
          <w:marBottom w:val="0"/>
          <w:divBdr>
            <w:top w:val="none" w:sz="0" w:space="0" w:color="auto"/>
            <w:left w:val="none" w:sz="0" w:space="0" w:color="auto"/>
            <w:bottom w:val="none" w:sz="0" w:space="0" w:color="auto"/>
            <w:right w:val="none" w:sz="0" w:space="0" w:color="auto"/>
          </w:divBdr>
        </w:div>
        <w:div w:id="1506166507">
          <w:marLeft w:val="0"/>
          <w:marRight w:val="0"/>
          <w:marTop w:val="0"/>
          <w:marBottom w:val="0"/>
          <w:divBdr>
            <w:top w:val="none" w:sz="0" w:space="0" w:color="auto"/>
            <w:left w:val="none" w:sz="0" w:space="0" w:color="auto"/>
            <w:bottom w:val="none" w:sz="0" w:space="0" w:color="auto"/>
            <w:right w:val="none" w:sz="0" w:space="0" w:color="auto"/>
          </w:divBdr>
        </w:div>
        <w:div w:id="1252155691">
          <w:marLeft w:val="0"/>
          <w:marRight w:val="0"/>
          <w:marTop w:val="0"/>
          <w:marBottom w:val="0"/>
          <w:divBdr>
            <w:top w:val="none" w:sz="0" w:space="0" w:color="auto"/>
            <w:left w:val="none" w:sz="0" w:space="0" w:color="auto"/>
            <w:bottom w:val="none" w:sz="0" w:space="0" w:color="auto"/>
            <w:right w:val="none" w:sz="0" w:space="0" w:color="auto"/>
          </w:divBdr>
        </w:div>
      </w:divsChild>
    </w:div>
    <w:div w:id="1369836829">
      <w:bodyDiv w:val="1"/>
      <w:marLeft w:val="0"/>
      <w:marRight w:val="0"/>
      <w:marTop w:val="0"/>
      <w:marBottom w:val="0"/>
      <w:divBdr>
        <w:top w:val="none" w:sz="0" w:space="0" w:color="auto"/>
        <w:left w:val="none" w:sz="0" w:space="0" w:color="auto"/>
        <w:bottom w:val="none" w:sz="0" w:space="0" w:color="auto"/>
        <w:right w:val="none" w:sz="0" w:space="0" w:color="auto"/>
      </w:divBdr>
    </w:div>
    <w:div w:id="1382093070">
      <w:bodyDiv w:val="1"/>
      <w:marLeft w:val="0"/>
      <w:marRight w:val="0"/>
      <w:marTop w:val="0"/>
      <w:marBottom w:val="0"/>
      <w:divBdr>
        <w:top w:val="none" w:sz="0" w:space="0" w:color="auto"/>
        <w:left w:val="none" w:sz="0" w:space="0" w:color="auto"/>
        <w:bottom w:val="none" w:sz="0" w:space="0" w:color="auto"/>
        <w:right w:val="none" w:sz="0" w:space="0" w:color="auto"/>
      </w:divBdr>
    </w:div>
    <w:div w:id="173450188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9831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34C4-514C-4858-86A8-62406FE3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5832</Words>
  <Characters>34994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Beata_Kocon2</dc:creator>
  <cp:lastModifiedBy>Mariusz Kuczak</cp:lastModifiedBy>
  <cp:revision>38</cp:revision>
  <dcterms:created xsi:type="dcterms:W3CDTF">2015-11-19T14:11:00Z</dcterms:created>
  <dcterms:modified xsi:type="dcterms:W3CDTF">2019-07-09T07:27:00Z</dcterms:modified>
</cp:coreProperties>
</file>