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43" w:rsidRPr="00E71843" w:rsidRDefault="00E71843" w:rsidP="00E71843">
      <w:pPr>
        <w:pStyle w:val="Akapitzlist"/>
        <w:autoSpaceDE w:val="0"/>
        <w:autoSpaceDN w:val="0"/>
        <w:adjustRightInd w:val="0"/>
        <w:spacing w:after="58" w:line="240" w:lineRule="auto"/>
        <w:ind w:left="360"/>
        <w:jc w:val="center"/>
        <w:rPr>
          <w:rFonts w:ascii="Calibri" w:hAnsi="Calibri"/>
          <w:b/>
          <w:sz w:val="24"/>
          <w:szCs w:val="24"/>
        </w:rPr>
      </w:pPr>
      <w:bookmarkStart w:id="0" w:name="_Toc426632922"/>
      <w:bookmarkStart w:id="1" w:name="_Toc430826826"/>
      <w:bookmarkStart w:id="2" w:name="_Toc432758974"/>
      <w:r w:rsidRPr="00E71843">
        <w:rPr>
          <w:rFonts w:ascii="Calibri" w:hAnsi="Calibri" w:cs="Calibri"/>
          <w:b/>
          <w:color w:val="000000"/>
          <w:sz w:val="24"/>
          <w:szCs w:val="24"/>
        </w:rPr>
        <w:t xml:space="preserve">Lista wskaźników na poziomie projektu </w:t>
      </w:r>
    </w:p>
    <w:p w:rsidR="006A0FA8" w:rsidRPr="006A0FA8" w:rsidRDefault="006A0FA8" w:rsidP="006A0FA8">
      <w:pPr>
        <w:autoSpaceDE w:val="0"/>
        <w:autoSpaceDN w:val="0"/>
        <w:spacing w:before="120" w:after="120" w:line="240" w:lineRule="auto"/>
        <w:jc w:val="both"/>
        <w:rPr>
          <w:rFonts w:asciiTheme="minorHAnsi" w:eastAsiaTheme="minorHAnsi" w:hAnsiTheme="minorHAnsi" w:cs="Calibri"/>
          <w:szCs w:val="22"/>
          <w:lang w:eastAsia="en-US"/>
        </w:rPr>
      </w:pPr>
    </w:p>
    <w:p w:rsidR="00F95877" w:rsidRPr="00217AF8" w:rsidRDefault="00F95877" w:rsidP="00F9587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F95877" w:rsidRPr="00217AF8" w:rsidRDefault="00F95877" w:rsidP="00F9587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F95877" w:rsidRPr="00217AF8" w:rsidRDefault="00F95877" w:rsidP="00F9587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F95877" w:rsidRPr="00217AF8" w:rsidRDefault="00F95877" w:rsidP="00F9587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r>
        <w:rPr>
          <w:rFonts w:asciiTheme="minorHAnsi" w:hAnsiTheme="minorHAnsi"/>
          <w:szCs w:val="22"/>
        </w:rPr>
        <w:t>.</w:t>
      </w:r>
    </w:p>
    <w:p w:rsidR="00F95877" w:rsidRPr="00217AF8" w:rsidRDefault="00F95877" w:rsidP="00F9587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r>
        <w:rPr>
          <w:rFonts w:asciiTheme="minorHAnsi" w:eastAsiaTheme="minorHAnsi" w:hAnsiTheme="minorHAnsi" w:cs="Calibri"/>
          <w:szCs w:val="22"/>
          <w:lang w:eastAsia="en-US"/>
        </w:rPr>
        <w:t>Należy wybrać wszystkie wskaźniki adekwatne do zakresu i celu projektu.</w:t>
      </w:r>
    </w:p>
    <w:p w:rsidR="00F95877" w:rsidRPr="00217AF8" w:rsidRDefault="00F95877" w:rsidP="00F95877">
      <w:pPr>
        <w:autoSpaceDE w:val="0"/>
        <w:autoSpaceDN w:val="0"/>
        <w:adjustRightInd w:val="0"/>
        <w:spacing w:before="120" w:after="120" w:line="240" w:lineRule="auto"/>
        <w:jc w:val="both"/>
        <w:rPr>
          <w:rFonts w:asciiTheme="minorHAnsi" w:eastAsiaTheme="minorHAnsi" w:hAnsiTheme="minorHAnsi" w:cs="Calibri"/>
          <w:szCs w:val="22"/>
          <w:lang w:eastAsia="en-US"/>
        </w:rPr>
      </w:pPr>
    </w:p>
    <w:p w:rsidR="00F95877" w:rsidRPr="00217AF8" w:rsidRDefault="00F95877" w:rsidP="00F9587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F95877" w:rsidRPr="00217AF8" w:rsidRDefault="00F95877" w:rsidP="00F9587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F95877" w:rsidRPr="00217AF8" w:rsidRDefault="00F95877" w:rsidP="00F9587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F95877" w:rsidRPr="00217AF8" w:rsidRDefault="00F95877" w:rsidP="00F9587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F95877" w:rsidRPr="00217AF8" w:rsidRDefault="00F95877" w:rsidP="00F95877">
      <w:pPr>
        <w:pStyle w:val="Akapitzlist"/>
        <w:spacing w:before="120" w:after="120" w:line="240" w:lineRule="auto"/>
        <w:ind w:left="720"/>
        <w:jc w:val="both"/>
        <w:rPr>
          <w:rFonts w:asciiTheme="minorHAnsi" w:hAnsiTheme="minorHAnsi"/>
          <w:b/>
          <w:szCs w:val="22"/>
        </w:rPr>
      </w:pPr>
    </w:p>
    <w:p w:rsidR="00F95877" w:rsidRPr="00217AF8" w:rsidRDefault="00F95877" w:rsidP="00F9587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F95877" w:rsidRPr="00217AF8" w:rsidRDefault="00F95877" w:rsidP="00F9587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F95877" w:rsidRPr="00217AF8" w:rsidRDefault="00F95877" w:rsidP="00F95877">
      <w:pPr>
        <w:pStyle w:val="Default"/>
        <w:jc w:val="both"/>
        <w:rPr>
          <w:rFonts w:asciiTheme="minorHAnsi" w:eastAsiaTheme="minorHAnsi" w:hAnsiTheme="minorHAnsi" w:cs="Calibri"/>
          <w:sz w:val="22"/>
          <w:szCs w:val="22"/>
          <w:lang w:eastAsia="en-US"/>
        </w:rPr>
      </w:pPr>
    </w:p>
    <w:p w:rsidR="00F95877" w:rsidRPr="00217AF8" w:rsidRDefault="00F95877" w:rsidP="00F9587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W przypadku, gdy w ramach danego Działania uwzględniony został wskaźnik z RPO WD 2014-2020,</w:t>
      </w:r>
      <w:r>
        <w:rPr>
          <w:rFonts w:asciiTheme="minorHAnsi" w:hAnsiTheme="minorHAnsi"/>
          <w:b/>
          <w:sz w:val="22"/>
          <w:szCs w:val="22"/>
        </w:rPr>
        <w:t xml:space="preserve"> </w:t>
      </w:r>
      <w:proofErr w:type="spellStart"/>
      <w:r>
        <w:rPr>
          <w:rFonts w:asciiTheme="minorHAnsi" w:hAnsiTheme="minorHAnsi"/>
          <w:b/>
          <w:sz w:val="22"/>
          <w:szCs w:val="22"/>
        </w:rPr>
        <w:t>SzOOP</w:t>
      </w:r>
      <w:proofErr w:type="spellEnd"/>
      <w:r>
        <w:rPr>
          <w:rFonts w:asciiTheme="minorHAnsi" w:hAnsiTheme="minorHAnsi"/>
          <w:b/>
          <w:sz w:val="22"/>
          <w:szCs w:val="22"/>
        </w:rPr>
        <w:t xml:space="preserve"> RPO WD 2014 – 2020,</w:t>
      </w:r>
      <w:r w:rsidRPr="00217AF8">
        <w:rPr>
          <w:rFonts w:asciiTheme="minorHAnsi" w:hAnsiTheme="minorHAnsi"/>
          <w:b/>
          <w:sz w:val="22"/>
          <w:szCs w:val="22"/>
        </w:rPr>
        <w:t xml:space="preserve"> który odzwierciedla zakres projektu, jego wykazanie dla Wnioskodawcy jest obligatoryjne. </w:t>
      </w:r>
    </w:p>
    <w:p w:rsidR="00F95877" w:rsidRPr="00217AF8" w:rsidRDefault="00F95877" w:rsidP="00F95877">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lastRenderedPageBreak/>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F95877" w:rsidRPr="00217AF8" w:rsidRDefault="00F95877" w:rsidP="00F9587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F95877" w:rsidRPr="00217AF8" w:rsidRDefault="00F95877" w:rsidP="00F9587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F95877" w:rsidRPr="00217AF8" w:rsidRDefault="00F95877" w:rsidP="00F9587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6A0FA8" w:rsidRPr="006A0FA8" w:rsidRDefault="006A0FA8" w:rsidP="006A0FA8">
      <w:pPr>
        <w:autoSpaceDE w:val="0"/>
        <w:autoSpaceDN w:val="0"/>
        <w:adjustRightInd w:val="0"/>
        <w:spacing w:before="120" w:after="120" w:line="240" w:lineRule="auto"/>
        <w:jc w:val="both"/>
        <w:rPr>
          <w:rFonts w:asciiTheme="minorHAnsi" w:hAnsiTheme="minorHAnsi"/>
          <w:szCs w:val="22"/>
        </w:rPr>
      </w:pPr>
      <w:r w:rsidRPr="006A0FA8">
        <w:rPr>
          <w:rFonts w:asciiTheme="minorHAnsi" w:hAnsiTheme="minorHAnsi"/>
          <w:szCs w:val="22"/>
        </w:rPr>
        <w:t xml:space="preserve">W ramach </w:t>
      </w:r>
      <w:r w:rsidR="00455EB6">
        <w:rPr>
          <w:rFonts w:asciiTheme="minorHAnsi" w:hAnsiTheme="minorHAnsi"/>
          <w:szCs w:val="22"/>
        </w:rPr>
        <w:t xml:space="preserve">Schematu </w:t>
      </w:r>
      <w:r w:rsidR="00045A17">
        <w:rPr>
          <w:rFonts w:asciiTheme="minorHAnsi" w:hAnsiTheme="minorHAnsi"/>
          <w:szCs w:val="22"/>
        </w:rPr>
        <w:t>4</w:t>
      </w:r>
      <w:r w:rsidRPr="006A0FA8">
        <w:rPr>
          <w:rFonts w:asciiTheme="minorHAnsi" w:hAnsiTheme="minorHAnsi"/>
          <w:szCs w:val="22"/>
        </w:rPr>
        <w:t>.</w:t>
      </w:r>
      <w:r w:rsidR="00455EB6">
        <w:rPr>
          <w:rFonts w:asciiTheme="minorHAnsi" w:hAnsiTheme="minorHAnsi"/>
          <w:szCs w:val="22"/>
        </w:rPr>
        <w:t>5.C</w:t>
      </w:r>
      <w:r w:rsidRPr="006A0FA8">
        <w:rPr>
          <w:rFonts w:asciiTheme="minorHAnsi" w:hAnsiTheme="minorHAnsi"/>
          <w:szCs w:val="22"/>
        </w:rPr>
        <w:t xml:space="preserve"> określono poniższe wskaźniki </w:t>
      </w:r>
      <w:r w:rsidRPr="006A0FA8">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35"/>
        <w:gridCol w:w="992"/>
        <w:gridCol w:w="4254"/>
        <w:gridCol w:w="1807"/>
      </w:tblGrid>
      <w:tr w:rsidR="006A0FA8" w:rsidRPr="00F95877" w:rsidTr="00B32871">
        <w:trPr>
          <w:cantSplit/>
          <w:trHeight w:val="20"/>
          <w:jc w:val="center"/>
        </w:trPr>
        <w:tc>
          <w:tcPr>
            <w:tcW w:w="1203" w:type="pct"/>
            <w:shd w:val="clear" w:color="auto" w:fill="auto"/>
            <w:vAlign w:val="center"/>
          </w:tcPr>
          <w:p w:rsidR="006A0FA8" w:rsidRPr="00F95877" w:rsidRDefault="006A0FA8" w:rsidP="00F95877">
            <w:pPr>
              <w:spacing w:before="0" w:line="240" w:lineRule="auto"/>
              <w:jc w:val="center"/>
              <w:rPr>
                <w:rFonts w:asciiTheme="minorHAnsi" w:hAnsiTheme="minorHAnsi"/>
                <w:b/>
              </w:rPr>
            </w:pPr>
            <w:r w:rsidRPr="00F95877">
              <w:rPr>
                <w:rFonts w:asciiTheme="minorHAnsi" w:hAnsiTheme="minorHAnsi"/>
                <w:b/>
              </w:rPr>
              <w:t>Nazwa wskaźnika produktu</w:t>
            </w:r>
          </w:p>
        </w:tc>
        <w:tc>
          <w:tcPr>
            <w:tcW w:w="534" w:type="pct"/>
            <w:vAlign w:val="center"/>
          </w:tcPr>
          <w:p w:rsidR="006A0FA8" w:rsidRPr="00F95877" w:rsidRDefault="006A0FA8" w:rsidP="00F95877">
            <w:pPr>
              <w:suppressAutoHyphens/>
              <w:spacing w:before="0" w:line="240" w:lineRule="auto"/>
              <w:jc w:val="center"/>
              <w:rPr>
                <w:rFonts w:asciiTheme="minorHAnsi" w:hAnsiTheme="minorHAnsi"/>
                <w:b/>
                <w:bCs/>
              </w:rPr>
            </w:pPr>
            <w:r w:rsidRPr="00F95877">
              <w:rPr>
                <w:rFonts w:asciiTheme="minorHAnsi" w:hAnsiTheme="minorHAnsi"/>
                <w:b/>
                <w:bCs/>
              </w:rPr>
              <w:t>Jedn</w:t>
            </w:r>
            <w:r w:rsidR="00F95877" w:rsidRPr="00F95877">
              <w:rPr>
                <w:rFonts w:asciiTheme="minorHAnsi" w:hAnsiTheme="minorHAnsi"/>
                <w:b/>
                <w:bCs/>
              </w:rPr>
              <w:t>.</w:t>
            </w:r>
            <w:r w:rsidRPr="00F95877">
              <w:rPr>
                <w:rFonts w:asciiTheme="minorHAnsi" w:hAnsiTheme="minorHAnsi"/>
                <w:b/>
                <w:bCs/>
              </w:rPr>
              <w:t xml:space="preserve"> miary</w:t>
            </w:r>
          </w:p>
        </w:tc>
        <w:tc>
          <w:tcPr>
            <w:tcW w:w="2290" w:type="pct"/>
            <w:shd w:val="clear" w:color="auto" w:fill="auto"/>
            <w:vAlign w:val="center"/>
          </w:tcPr>
          <w:p w:rsidR="006A0FA8" w:rsidRPr="00F95877" w:rsidRDefault="006A0FA8" w:rsidP="00F95877">
            <w:pPr>
              <w:suppressAutoHyphens/>
              <w:spacing w:before="0" w:line="240" w:lineRule="auto"/>
              <w:jc w:val="center"/>
              <w:rPr>
                <w:rFonts w:asciiTheme="minorHAnsi" w:hAnsiTheme="minorHAnsi"/>
                <w:b/>
              </w:rPr>
            </w:pPr>
            <w:r w:rsidRPr="00F95877">
              <w:rPr>
                <w:rFonts w:asciiTheme="minorHAnsi" w:hAnsiTheme="minorHAnsi"/>
                <w:b/>
                <w:bCs/>
              </w:rPr>
              <w:t>Definicja wskaźnika</w:t>
            </w:r>
          </w:p>
        </w:tc>
        <w:tc>
          <w:tcPr>
            <w:tcW w:w="973" w:type="pct"/>
            <w:vAlign w:val="center"/>
          </w:tcPr>
          <w:p w:rsidR="006A0FA8" w:rsidRPr="00F95877" w:rsidRDefault="006A0FA8" w:rsidP="00F95877">
            <w:pPr>
              <w:suppressAutoHyphens/>
              <w:spacing w:before="0" w:line="240" w:lineRule="auto"/>
              <w:jc w:val="center"/>
              <w:rPr>
                <w:rFonts w:asciiTheme="minorHAnsi" w:hAnsiTheme="minorHAnsi"/>
                <w:b/>
                <w:bCs/>
              </w:rPr>
            </w:pPr>
            <w:r w:rsidRPr="00F95877">
              <w:rPr>
                <w:rFonts w:asciiTheme="minorHAnsi" w:hAnsiTheme="minorHAnsi"/>
                <w:b/>
                <w:bCs/>
              </w:rPr>
              <w:t>Rodzaj dokumentu, w którym określono wskaźnik</w:t>
            </w:r>
          </w:p>
        </w:tc>
      </w:tr>
      <w:tr w:rsidR="00701E7E" w:rsidRPr="00F95877" w:rsidTr="00B32871">
        <w:trPr>
          <w:cantSplit/>
          <w:trHeight w:val="20"/>
          <w:jc w:val="center"/>
        </w:trPr>
        <w:tc>
          <w:tcPr>
            <w:tcW w:w="1203" w:type="pct"/>
            <w:shd w:val="clear" w:color="auto" w:fill="auto"/>
          </w:tcPr>
          <w:p w:rsidR="00455EB6" w:rsidRPr="00455EB6" w:rsidRDefault="00455EB6" w:rsidP="00455EB6">
            <w:pPr>
              <w:spacing w:before="40" w:after="40" w:line="240" w:lineRule="auto"/>
              <w:rPr>
                <w:rFonts w:asciiTheme="minorHAnsi" w:hAnsiTheme="minorHAnsi"/>
                <w:sz w:val="20"/>
              </w:rPr>
            </w:pPr>
            <w:r w:rsidRPr="00455EB6">
              <w:rPr>
                <w:rFonts w:asciiTheme="minorHAnsi" w:hAnsiTheme="minorHAnsi"/>
                <w:sz w:val="20"/>
              </w:rPr>
              <w:t xml:space="preserve">Długość wybudowanej sieci kanalizacji deszczowej </w:t>
            </w:r>
          </w:p>
          <w:p w:rsidR="00701E7E" w:rsidRPr="00F95877" w:rsidRDefault="00701E7E" w:rsidP="00455EB6">
            <w:pPr>
              <w:spacing w:before="40" w:after="40" w:line="240" w:lineRule="auto"/>
              <w:rPr>
                <w:rFonts w:asciiTheme="minorHAnsi" w:hAnsiTheme="minorHAnsi"/>
                <w:sz w:val="20"/>
              </w:rPr>
            </w:pPr>
          </w:p>
        </w:tc>
        <w:tc>
          <w:tcPr>
            <w:tcW w:w="534" w:type="pct"/>
          </w:tcPr>
          <w:p w:rsidR="00701E7E" w:rsidRPr="00F95877" w:rsidRDefault="00455EB6" w:rsidP="00F95877">
            <w:pPr>
              <w:spacing w:line="240" w:lineRule="auto"/>
              <w:jc w:val="center"/>
              <w:rPr>
                <w:rFonts w:asciiTheme="minorHAnsi" w:hAnsiTheme="minorHAnsi"/>
                <w:sz w:val="20"/>
              </w:rPr>
            </w:pPr>
            <w:r>
              <w:rPr>
                <w:rFonts w:asciiTheme="minorHAnsi" w:hAnsiTheme="minorHAnsi"/>
                <w:sz w:val="20"/>
              </w:rPr>
              <w:t>km</w:t>
            </w:r>
          </w:p>
        </w:tc>
        <w:tc>
          <w:tcPr>
            <w:tcW w:w="2290" w:type="pct"/>
            <w:shd w:val="clear" w:color="auto" w:fill="auto"/>
          </w:tcPr>
          <w:p w:rsidR="00D97E39" w:rsidRPr="00D97E39" w:rsidRDefault="00D97E39" w:rsidP="00D97E39">
            <w:pPr>
              <w:spacing w:before="40" w:after="40" w:line="240" w:lineRule="auto"/>
              <w:rPr>
                <w:rFonts w:asciiTheme="minorHAnsi" w:hAnsiTheme="minorHAnsi"/>
                <w:sz w:val="20"/>
              </w:rPr>
            </w:pPr>
            <w:r w:rsidRPr="00D97E39">
              <w:rPr>
                <w:rFonts w:asciiTheme="minorHAnsi" w:hAnsiTheme="minorHAnsi"/>
                <w:sz w:val="20"/>
              </w:rPr>
              <w:t>Łączna długość wybudowanego, w tym rozbudowanego w ramach projektu przewodu kanalizacyjnego wraz z uzbrojeniem i urządzeniami, którymi odprowadzan</w:t>
            </w:r>
            <w:r w:rsidR="007D672B">
              <w:rPr>
                <w:rFonts w:asciiTheme="minorHAnsi" w:hAnsiTheme="minorHAnsi"/>
                <w:sz w:val="20"/>
              </w:rPr>
              <w:t>e są wody opadowe lub roztopowe</w:t>
            </w:r>
            <w:r w:rsidRPr="00D97E39">
              <w:rPr>
                <w:rFonts w:asciiTheme="minorHAnsi" w:hAnsiTheme="minorHAnsi"/>
                <w:sz w:val="20"/>
              </w:rPr>
              <w:t xml:space="preserve">. </w:t>
            </w:r>
          </w:p>
          <w:p w:rsidR="00D97E39" w:rsidRPr="00D97E39" w:rsidRDefault="00D97E39" w:rsidP="00D97E39">
            <w:pPr>
              <w:spacing w:before="40" w:after="40" w:line="240" w:lineRule="auto"/>
              <w:rPr>
                <w:rFonts w:asciiTheme="minorHAnsi" w:hAnsiTheme="minorHAnsi"/>
                <w:sz w:val="20"/>
              </w:rPr>
            </w:pPr>
            <w:r w:rsidRPr="00D97E39">
              <w:rPr>
                <w:rFonts w:asciiTheme="minorHAnsi" w:hAnsiTheme="minorHAnsi"/>
                <w:sz w:val="20"/>
              </w:rPr>
              <w:t>Wody opadowe lub roztopowe, ujęte w otwarte lub zamknięte systemy kanalizacyjne, muszą pochodzić z powierzchni zanieczyszczonych o trwałej nawierzchni, w szczególności z miast, portów, lotnisk, terenów przemysłowych, handlowych, usługowych i składowych, baz transportowych oraz dróg i parkingów,</w:t>
            </w:r>
          </w:p>
          <w:p w:rsidR="00701E7E" w:rsidRPr="00F95877" w:rsidRDefault="00D97E39" w:rsidP="00D97E39">
            <w:pPr>
              <w:spacing w:before="40" w:after="40" w:line="240" w:lineRule="auto"/>
              <w:rPr>
                <w:rFonts w:asciiTheme="minorHAnsi" w:hAnsiTheme="minorHAnsi"/>
                <w:sz w:val="20"/>
              </w:rPr>
            </w:pPr>
            <w:r w:rsidRPr="00D97E39">
              <w:rPr>
                <w:rFonts w:asciiTheme="minorHAnsi" w:hAnsiTheme="minorHAnsi"/>
                <w:sz w:val="20"/>
              </w:rPr>
              <w:t>Przez budowę sieci kanalizacji deszczowej należy rozumieć jej budowę od podstaw. Poprzez rozbudowę - utworzenie nowego odcinka już istniejącego przewodu kanalizacyjnego. W każdym przypadku należy podać wyłącznie długość przewodu, która powstała w wyniku realizacji projektu.</w:t>
            </w:r>
          </w:p>
        </w:tc>
        <w:tc>
          <w:tcPr>
            <w:tcW w:w="973" w:type="pct"/>
          </w:tcPr>
          <w:p w:rsidR="00AC7B21" w:rsidRDefault="00701E7E" w:rsidP="009B0239">
            <w:pPr>
              <w:autoSpaceDE w:val="0"/>
              <w:autoSpaceDN w:val="0"/>
              <w:adjustRightInd w:val="0"/>
              <w:spacing w:before="0" w:line="240" w:lineRule="auto"/>
              <w:jc w:val="center"/>
              <w:rPr>
                <w:rFonts w:asciiTheme="minorHAnsi" w:hAnsiTheme="minorHAnsi"/>
                <w:sz w:val="20"/>
              </w:rPr>
            </w:pPr>
            <w:r w:rsidRPr="00F95877">
              <w:rPr>
                <w:rFonts w:asciiTheme="minorHAnsi" w:hAnsiTheme="minorHAnsi"/>
                <w:sz w:val="20"/>
              </w:rPr>
              <w:t xml:space="preserve">RPO WD </w:t>
            </w:r>
          </w:p>
          <w:p w:rsidR="00701E7E" w:rsidRPr="00F95877" w:rsidRDefault="00701E7E" w:rsidP="009B0239">
            <w:pPr>
              <w:autoSpaceDE w:val="0"/>
              <w:autoSpaceDN w:val="0"/>
              <w:adjustRightInd w:val="0"/>
              <w:spacing w:before="0" w:line="240" w:lineRule="auto"/>
              <w:jc w:val="center"/>
              <w:rPr>
                <w:rFonts w:asciiTheme="minorHAnsi" w:hAnsiTheme="minorHAnsi"/>
                <w:sz w:val="20"/>
              </w:rPr>
            </w:pPr>
            <w:r w:rsidRPr="00F95877">
              <w:rPr>
                <w:rFonts w:asciiTheme="minorHAnsi" w:hAnsiTheme="minorHAnsi"/>
                <w:sz w:val="20"/>
              </w:rPr>
              <w:t>2014-2020</w:t>
            </w:r>
          </w:p>
        </w:tc>
      </w:tr>
      <w:tr w:rsidR="00045A17" w:rsidRPr="00F95877" w:rsidTr="007D672B">
        <w:trPr>
          <w:trHeight w:val="278"/>
          <w:jc w:val="center"/>
        </w:trPr>
        <w:tc>
          <w:tcPr>
            <w:tcW w:w="1203" w:type="pct"/>
            <w:shd w:val="clear" w:color="auto" w:fill="auto"/>
          </w:tcPr>
          <w:p w:rsidR="00045A17" w:rsidRPr="00F95877" w:rsidRDefault="00455EB6" w:rsidP="00455EB6">
            <w:pPr>
              <w:spacing w:before="40" w:after="40" w:line="240" w:lineRule="auto"/>
              <w:rPr>
                <w:rFonts w:asciiTheme="minorHAnsi" w:hAnsiTheme="minorHAnsi"/>
                <w:sz w:val="20"/>
              </w:rPr>
            </w:pPr>
            <w:r w:rsidRPr="00455EB6">
              <w:rPr>
                <w:rFonts w:asciiTheme="minorHAnsi" w:hAnsiTheme="minorHAnsi"/>
                <w:sz w:val="20"/>
              </w:rPr>
              <w:t>Długość przebudowanej sieci kanalizacji deszczowej</w:t>
            </w:r>
          </w:p>
        </w:tc>
        <w:tc>
          <w:tcPr>
            <w:tcW w:w="534" w:type="pct"/>
          </w:tcPr>
          <w:p w:rsidR="00045A17" w:rsidRPr="00F95877" w:rsidRDefault="00455EB6" w:rsidP="00F95877">
            <w:pPr>
              <w:spacing w:line="240" w:lineRule="auto"/>
              <w:jc w:val="center"/>
              <w:rPr>
                <w:rFonts w:asciiTheme="minorHAnsi" w:hAnsiTheme="minorHAnsi"/>
                <w:sz w:val="20"/>
              </w:rPr>
            </w:pPr>
            <w:r>
              <w:rPr>
                <w:rFonts w:asciiTheme="minorHAnsi" w:hAnsiTheme="minorHAnsi"/>
                <w:sz w:val="20"/>
              </w:rPr>
              <w:t>km</w:t>
            </w:r>
          </w:p>
        </w:tc>
        <w:tc>
          <w:tcPr>
            <w:tcW w:w="2290" w:type="pct"/>
            <w:shd w:val="clear" w:color="auto" w:fill="auto"/>
          </w:tcPr>
          <w:p w:rsidR="00D97E39" w:rsidRPr="00D97E39" w:rsidRDefault="00D97E39" w:rsidP="00D97E39">
            <w:pPr>
              <w:spacing w:before="40" w:after="40" w:line="240" w:lineRule="auto"/>
              <w:rPr>
                <w:rFonts w:asciiTheme="minorHAnsi" w:hAnsiTheme="minorHAnsi"/>
                <w:sz w:val="20"/>
              </w:rPr>
            </w:pPr>
            <w:r w:rsidRPr="00D97E39">
              <w:rPr>
                <w:rFonts w:asciiTheme="minorHAnsi" w:hAnsiTheme="minorHAnsi"/>
                <w:sz w:val="20"/>
              </w:rPr>
              <w:t>Łączna długość przebudowanego w ramach projektu przewodu kanalizacyjnego wraz z uzbrojeniem i urządzeniami, którymi odprowadzane są wody opadowe lub ro</w:t>
            </w:r>
            <w:r w:rsidR="007D672B">
              <w:rPr>
                <w:rFonts w:asciiTheme="minorHAnsi" w:hAnsiTheme="minorHAnsi"/>
                <w:sz w:val="20"/>
              </w:rPr>
              <w:t>ztopowe</w:t>
            </w:r>
            <w:r w:rsidRPr="00D97E39">
              <w:rPr>
                <w:rFonts w:asciiTheme="minorHAnsi" w:hAnsiTheme="minorHAnsi"/>
                <w:sz w:val="20"/>
              </w:rPr>
              <w:t xml:space="preserve">. </w:t>
            </w:r>
          </w:p>
          <w:p w:rsidR="00D97E39" w:rsidRPr="00D97E39" w:rsidRDefault="00D97E39" w:rsidP="00D97E39">
            <w:pPr>
              <w:spacing w:before="40" w:after="40" w:line="240" w:lineRule="auto"/>
              <w:rPr>
                <w:rFonts w:asciiTheme="minorHAnsi" w:hAnsiTheme="minorHAnsi"/>
                <w:sz w:val="20"/>
              </w:rPr>
            </w:pPr>
            <w:r w:rsidRPr="00D97E39">
              <w:rPr>
                <w:rFonts w:asciiTheme="minorHAnsi" w:hAnsiTheme="minorHAnsi"/>
                <w:sz w:val="20"/>
              </w:rPr>
              <w:t>Wody opadowe lub roztopowe, ujęte w otwarte lub zamknięte systemy kanalizacyjne, muszą pochodzić z powierzchni zanieczyszczonych o trwałej nawierzchni, w szczególności z miast, portów, lotnisk, terenów przemysłowych, handlowych, usługowych i składowych, baz transportowych oraz dróg i parkingów,</w:t>
            </w:r>
          </w:p>
          <w:p w:rsidR="006526A0" w:rsidRPr="000F1E65" w:rsidRDefault="00D97E39" w:rsidP="000F1E65">
            <w:pPr>
              <w:spacing w:before="40" w:after="40" w:line="240" w:lineRule="auto"/>
              <w:rPr>
                <w:rFonts w:asciiTheme="minorHAnsi" w:hAnsiTheme="minorHAnsi"/>
                <w:sz w:val="20"/>
              </w:rPr>
            </w:pPr>
            <w:r w:rsidRPr="00D97E39">
              <w:rPr>
                <w:rFonts w:asciiTheme="minorHAnsi" w:hAnsiTheme="minorHAnsi"/>
                <w:sz w:val="20"/>
              </w:rPr>
              <w:t xml:space="preserve">Przez przebudowę sieci kanalizacji deszczowej należy rozumieć przeprowadzenie prac budowlanych, w wyniku których  następuje zmiana parametrów użytkowych lub technicznych istniejącej sieci, ale długość pozostaje niezmieniona. Przebudowa wymaga </w:t>
            </w:r>
            <w:r w:rsidR="007D672B">
              <w:rPr>
                <w:rFonts w:asciiTheme="minorHAnsi" w:hAnsiTheme="minorHAnsi"/>
                <w:sz w:val="20"/>
              </w:rPr>
              <w:lastRenderedPageBreak/>
              <w:t>pozwolenia na budowę.</w:t>
            </w:r>
          </w:p>
        </w:tc>
        <w:tc>
          <w:tcPr>
            <w:tcW w:w="973" w:type="pct"/>
          </w:tcPr>
          <w:p w:rsidR="00AC7B21" w:rsidRDefault="00045A17" w:rsidP="009B0239">
            <w:pPr>
              <w:autoSpaceDE w:val="0"/>
              <w:autoSpaceDN w:val="0"/>
              <w:adjustRightInd w:val="0"/>
              <w:spacing w:before="0" w:line="240" w:lineRule="auto"/>
              <w:jc w:val="center"/>
              <w:rPr>
                <w:rFonts w:asciiTheme="minorHAnsi" w:hAnsiTheme="minorHAnsi"/>
                <w:sz w:val="20"/>
              </w:rPr>
            </w:pPr>
            <w:r w:rsidRPr="00F95877">
              <w:rPr>
                <w:rFonts w:asciiTheme="minorHAnsi" w:hAnsiTheme="minorHAnsi"/>
                <w:sz w:val="20"/>
              </w:rPr>
              <w:lastRenderedPageBreak/>
              <w:t xml:space="preserve">RPO WD </w:t>
            </w:r>
          </w:p>
          <w:p w:rsidR="00045A17" w:rsidRPr="00F95877" w:rsidRDefault="00045A17" w:rsidP="009B0239">
            <w:pPr>
              <w:autoSpaceDE w:val="0"/>
              <w:autoSpaceDN w:val="0"/>
              <w:adjustRightInd w:val="0"/>
              <w:spacing w:before="0" w:line="240" w:lineRule="auto"/>
              <w:jc w:val="center"/>
              <w:rPr>
                <w:rFonts w:asciiTheme="minorHAnsi" w:hAnsiTheme="minorHAnsi"/>
                <w:sz w:val="20"/>
              </w:rPr>
            </w:pPr>
            <w:r w:rsidRPr="00F95877">
              <w:rPr>
                <w:rFonts w:asciiTheme="minorHAnsi" w:hAnsiTheme="minorHAnsi"/>
                <w:sz w:val="20"/>
              </w:rPr>
              <w:t>2014-2020</w:t>
            </w:r>
          </w:p>
        </w:tc>
      </w:tr>
      <w:tr w:rsidR="00F95877" w:rsidRPr="00F95877" w:rsidTr="00B32871">
        <w:trPr>
          <w:trHeight w:val="20"/>
          <w:jc w:val="center"/>
        </w:trPr>
        <w:tc>
          <w:tcPr>
            <w:tcW w:w="1203" w:type="pct"/>
            <w:shd w:val="clear" w:color="auto" w:fill="auto"/>
          </w:tcPr>
          <w:p w:rsidR="00F95877" w:rsidRPr="00F95877" w:rsidRDefault="00455EB6" w:rsidP="00455EB6">
            <w:pPr>
              <w:spacing w:before="40" w:after="40" w:line="240" w:lineRule="auto"/>
              <w:rPr>
                <w:rFonts w:asciiTheme="minorHAnsi" w:hAnsiTheme="minorHAnsi"/>
                <w:sz w:val="20"/>
              </w:rPr>
            </w:pPr>
            <w:r w:rsidRPr="00455EB6">
              <w:rPr>
                <w:rFonts w:asciiTheme="minorHAnsi" w:hAnsiTheme="minorHAnsi" w:cs="ArialNarrow"/>
                <w:sz w:val="20"/>
              </w:rPr>
              <w:lastRenderedPageBreak/>
              <w:t xml:space="preserve">Pojemność obiektów małej retencji </w:t>
            </w:r>
          </w:p>
        </w:tc>
        <w:tc>
          <w:tcPr>
            <w:tcW w:w="534" w:type="pct"/>
          </w:tcPr>
          <w:p w:rsidR="00F95877" w:rsidRPr="00455EB6" w:rsidRDefault="00455EB6" w:rsidP="00F95877">
            <w:pPr>
              <w:spacing w:line="240" w:lineRule="auto"/>
              <w:jc w:val="center"/>
              <w:rPr>
                <w:rFonts w:asciiTheme="minorHAnsi" w:hAnsiTheme="minorHAnsi"/>
                <w:sz w:val="20"/>
              </w:rPr>
            </w:pPr>
            <w:r w:rsidRPr="00455EB6">
              <w:rPr>
                <w:rFonts w:asciiTheme="minorHAnsi" w:hAnsiTheme="minorHAnsi"/>
                <w:sz w:val="20"/>
              </w:rPr>
              <w:t>m</w:t>
            </w:r>
            <w:r>
              <w:rPr>
                <w:rFonts w:asciiTheme="minorHAnsi" w:hAnsiTheme="minorHAnsi"/>
                <w:sz w:val="20"/>
                <w:vertAlign w:val="superscript"/>
              </w:rPr>
              <w:t>3</w:t>
            </w:r>
          </w:p>
        </w:tc>
        <w:tc>
          <w:tcPr>
            <w:tcW w:w="2290" w:type="pct"/>
            <w:shd w:val="clear" w:color="auto" w:fill="auto"/>
          </w:tcPr>
          <w:p w:rsidR="00142940" w:rsidRPr="00142940" w:rsidRDefault="00142940" w:rsidP="00142940">
            <w:pPr>
              <w:spacing w:before="0" w:line="240" w:lineRule="auto"/>
              <w:rPr>
                <w:rFonts w:asciiTheme="minorHAnsi" w:hAnsiTheme="minorHAnsi"/>
                <w:sz w:val="20"/>
              </w:rPr>
            </w:pPr>
            <w:r w:rsidRPr="00142940">
              <w:rPr>
                <w:rFonts w:asciiTheme="minorHAnsi" w:hAnsiTheme="minorHAnsi"/>
                <w:sz w:val="20"/>
              </w:rPr>
              <w:t>Możliwa do uzyskania pojemność retencjonowania wody w wyniku budowy lub przebudowy obiektów małej retencji. Obiekty małej retencji to   budowle i urządzenia służące zatrzymaniu jak największej ilości wody w jej powierzchniowym i przypowierzchniowym obiegu. Są to:</w:t>
            </w:r>
          </w:p>
          <w:p w:rsidR="00142940" w:rsidRPr="00142940" w:rsidRDefault="00142940" w:rsidP="00142940">
            <w:pPr>
              <w:tabs>
                <w:tab w:val="left" w:pos="268"/>
              </w:tabs>
              <w:spacing w:before="0" w:line="240" w:lineRule="auto"/>
              <w:ind w:left="317" w:hanging="283"/>
              <w:rPr>
                <w:rFonts w:asciiTheme="minorHAnsi" w:hAnsiTheme="minorHAnsi"/>
                <w:sz w:val="20"/>
              </w:rPr>
            </w:pPr>
            <w:r w:rsidRPr="00142940">
              <w:rPr>
                <w:rFonts w:asciiTheme="minorHAnsi" w:hAnsiTheme="minorHAnsi"/>
                <w:sz w:val="20"/>
              </w:rPr>
              <w:t>•</w:t>
            </w:r>
            <w:r w:rsidRPr="00142940">
              <w:rPr>
                <w:rFonts w:asciiTheme="minorHAnsi" w:hAnsiTheme="minorHAnsi"/>
                <w:sz w:val="20"/>
              </w:rPr>
              <w:tab/>
              <w:t>sztuczne zbiorniki wodne o pojemności do 5 mln</w:t>
            </w:r>
            <w:r>
              <w:rPr>
                <w:rFonts w:asciiTheme="minorHAnsi" w:hAnsiTheme="minorHAnsi"/>
                <w:sz w:val="20"/>
              </w:rPr>
              <w:t xml:space="preserve"> m</w:t>
            </w:r>
            <w:r>
              <w:rPr>
                <w:rFonts w:asciiTheme="minorHAnsi" w:hAnsiTheme="minorHAnsi"/>
                <w:sz w:val="20"/>
                <w:vertAlign w:val="superscript"/>
              </w:rPr>
              <w:t>3</w:t>
            </w:r>
            <w:r w:rsidRPr="00142940">
              <w:rPr>
                <w:rFonts w:asciiTheme="minorHAnsi" w:hAnsiTheme="minorHAnsi"/>
                <w:sz w:val="20"/>
              </w:rPr>
              <w:t>;</w:t>
            </w:r>
          </w:p>
          <w:p w:rsidR="00142940" w:rsidRPr="00142940" w:rsidRDefault="00142940" w:rsidP="00142940">
            <w:pPr>
              <w:tabs>
                <w:tab w:val="left" w:pos="268"/>
              </w:tabs>
              <w:spacing w:before="0" w:line="240" w:lineRule="auto"/>
              <w:ind w:left="317" w:hanging="283"/>
              <w:rPr>
                <w:rFonts w:asciiTheme="minorHAnsi" w:hAnsiTheme="minorHAnsi"/>
                <w:sz w:val="20"/>
              </w:rPr>
            </w:pPr>
            <w:r w:rsidRPr="00142940">
              <w:rPr>
                <w:rFonts w:asciiTheme="minorHAnsi" w:hAnsiTheme="minorHAnsi"/>
                <w:sz w:val="20"/>
              </w:rPr>
              <w:t>•</w:t>
            </w:r>
            <w:r w:rsidRPr="00142940">
              <w:rPr>
                <w:rFonts w:asciiTheme="minorHAnsi" w:hAnsiTheme="minorHAnsi"/>
                <w:sz w:val="20"/>
              </w:rPr>
              <w:tab/>
              <w:t>samodzielne budowle piętrzące i ujęcia wody;</w:t>
            </w:r>
          </w:p>
          <w:p w:rsidR="00142940" w:rsidRPr="00142940" w:rsidRDefault="00142940" w:rsidP="00142940">
            <w:pPr>
              <w:tabs>
                <w:tab w:val="left" w:pos="268"/>
              </w:tabs>
              <w:spacing w:before="0" w:line="240" w:lineRule="auto"/>
              <w:ind w:left="317" w:hanging="283"/>
              <w:rPr>
                <w:rFonts w:asciiTheme="minorHAnsi" w:hAnsiTheme="minorHAnsi"/>
                <w:sz w:val="20"/>
              </w:rPr>
            </w:pPr>
            <w:r w:rsidRPr="00142940">
              <w:rPr>
                <w:rFonts w:asciiTheme="minorHAnsi" w:hAnsiTheme="minorHAnsi"/>
                <w:sz w:val="20"/>
              </w:rPr>
              <w:t>•</w:t>
            </w:r>
            <w:r w:rsidRPr="00142940">
              <w:rPr>
                <w:rFonts w:asciiTheme="minorHAnsi" w:hAnsiTheme="minorHAnsi"/>
                <w:sz w:val="20"/>
              </w:rPr>
              <w:tab/>
              <w:t>stawy rybne;</w:t>
            </w:r>
          </w:p>
          <w:p w:rsidR="00F95877" w:rsidRPr="00F95877" w:rsidRDefault="00142940" w:rsidP="00142940">
            <w:pPr>
              <w:tabs>
                <w:tab w:val="left" w:pos="268"/>
              </w:tabs>
              <w:spacing w:before="0" w:line="240" w:lineRule="auto"/>
              <w:ind w:left="317" w:hanging="283"/>
              <w:rPr>
                <w:rFonts w:asciiTheme="minorHAnsi" w:hAnsiTheme="minorHAnsi"/>
                <w:sz w:val="20"/>
              </w:rPr>
            </w:pPr>
            <w:r w:rsidRPr="00142940">
              <w:rPr>
                <w:rFonts w:asciiTheme="minorHAnsi" w:hAnsiTheme="minorHAnsi"/>
                <w:sz w:val="20"/>
              </w:rPr>
              <w:t>•</w:t>
            </w:r>
            <w:r w:rsidRPr="00142940">
              <w:rPr>
                <w:rFonts w:asciiTheme="minorHAnsi" w:hAnsiTheme="minorHAnsi"/>
                <w:sz w:val="20"/>
              </w:rPr>
              <w:tab/>
              <w:t>inne budowle piętrzące lub transportujące wodę.</w:t>
            </w:r>
          </w:p>
        </w:tc>
        <w:tc>
          <w:tcPr>
            <w:tcW w:w="973" w:type="pct"/>
          </w:tcPr>
          <w:p w:rsidR="00AC7B21" w:rsidRDefault="00F95877" w:rsidP="009B0239">
            <w:pPr>
              <w:autoSpaceDE w:val="0"/>
              <w:autoSpaceDN w:val="0"/>
              <w:adjustRightInd w:val="0"/>
              <w:spacing w:before="0" w:line="240" w:lineRule="auto"/>
              <w:jc w:val="center"/>
              <w:rPr>
                <w:rFonts w:asciiTheme="minorHAnsi" w:hAnsiTheme="minorHAnsi"/>
                <w:sz w:val="20"/>
              </w:rPr>
            </w:pPr>
            <w:r w:rsidRPr="00F95877">
              <w:rPr>
                <w:rFonts w:asciiTheme="minorHAnsi" w:hAnsiTheme="minorHAnsi"/>
                <w:sz w:val="20"/>
              </w:rPr>
              <w:t xml:space="preserve">RPO WD </w:t>
            </w:r>
          </w:p>
          <w:p w:rsidR="00F95877" w:rsidRPr="00F95877" w:rsidRDefault="00F95877" w:rsidP="009B0239">
            <w:pPr>
              <w:autoSpaceDE w:val="0"/>
              <w:autoSpaceDN w:val="0"/>
              <w:adjustRightInd w:val="0"/>
              <w:spacing w:before="0" w:line="240" w:lineRule="auto"/>
              <w:jc w:val="center"/>
              <w:rPr>
                <w:rFonts w:asciiTheme="minorHAnsi" w:hAnsiTheme="minorHAnsi"/>
                <w:sz w:val="20"/>
              </w:rPr>
            </w:pPr>
            <w:r w:rsidRPr="00F95877">
              <w:rPr>
                <w:rFonts w:asciiTheme="minorHAnsi" w:hAnsiTheme="minorHAnsi"/>
                <w:sz w:val="20"/>
              </w:rPr>
              <w:t>2014-2020</w:t>
            </w:r>
          </w:p>
        </w:tc>
      </w:tr>
      <w:tr w:rsidR="00045A17" w:rsidRPr="00F95877" w:rsidTr="00B32871">
        <w:trPr>
          <w:trHeight w:val="20"/>
          <w:jc w:val="center"/>
        </w:trPr>
        <w:tc>
          <w:tcPr>
            <w:tcW w:w="1203" w:type="pct"/>
            <w:shd w:val="clear" w:color="auto" w:fill="auto"/>
            <w:vAlign w:val="center"/>
          </w:tcPr>
          <w:p w:rsidR="00045A17" w:rsidRPr="00F95877" w:rsidRDefault="00045A17" w:rsidP="000E2A4F">
            <w:pPr>
              <w:spacing w:before="0" w:line="240" w:lineRule="auto"/>
              <w:rPr>
                <w:rFonts w:asciiTheme="minorHAnsi" w:eastAsiaTheme="minorHAnsi" w:hAnsiTheme="minorHAnsi"/>
                <w:sz w:val="20"/>
                <w:lang w:eastAsia="en-US"/>
              </w:rPr>
            </w:pPr>
            <w:r w:rsidRPr="00F95877">
              <w:rPr>
                <w:rFonts w:asciiTheme="minorHAnsi" w:eastAsiaTheme="minorHAnsi" w:hAnsiTheme="minorHAnsi"/>
                <w:sz w:val="20"/>
                <w:lang w:eastAsia="en-US"/>
              </w:rPr>
              <w:t>Liczba obiektów dostosowanych do potrzeb osób z niepełnosprawnościami</w:t>
            </w:r>
          </w:p>
        </w:tc>
        <w:tc>
          <w:tcPr>
            <w:tcW w:w="534" w:type="pct"/>
            <w:vAlign w:val="center"/>
          </w:tcPr>
          <w:p w:rsidR="00045A17" w:rsidRPr="00F95877" w:rsidRDefault="00045A17" w:rsidP="00F95877">
            <w:pPr>
              <w:spacing w:before="0" w:line="240" w:lineRule="auto"/>
              <w:jc w:val="center"/>
              <w:rPr>
                <w:rFonts w:asciiTheme="minorHAnsi" w:eastAsiaTheme="minorHAnsi" w:hAnsiTheme="minorHAnsi"/>
                <w:sz w:val="20"/>
                <w:lang w:eastAsia="en-US"/>
              </w:rPr>
            </w:pPr>
            <w:r w:rsidRPr="00F95877">
              <w:rPr>
                <w:rFonts w:asciiTheme="minorHAnsi" w:eastAsiaTheme="minorHAnsi" w:hAnsiTheme="minorHAnsi"/>
                <w:sz w:val="20"/>
                <w:lang w:eastAsia="en-US"/>
              </w:rPr>
              <w:t>szt.</w:t>
            </w:r>
          </w:p>
        </w:tc>
        <w:tc>
          <w:tcPr>
            <w:tcW w:w="2290" w:type="pct"/>
            <w:shd w:val="clear" w:color="auto" w:fill="auto"/>
            <w:vAlign w:val="center"/>
          </w:tcPr>
          <w:p w:rsidR="00045A17" w:rsidRPr="00F95877" w:rsidRDefault="00045A17" w:rsidP="00142940">
            <w:pPr>
              <w:spacing w:before="0" w:line="240" w:lineRule="auto"/>
              <w:rPr>
                <w:rFonts w:asciiTheme="minorHAnsi" w:eastAsiaTheme="minorHAnsi" w:hAnsiTheme="minorHAnsi"/>
                <w:sz w:val="20"/>
                <w:lang w:eastAsia="en-US"/>
              </w:rPr>
            </w:pPr>
            <w:r w:rsidRPr="00F95877">
              <w:rPr>
                <w:rFonts w:asciiTheme="minorHAnsi" w:eastAsiaTheme="minorHAnsi" w:hAnsiTheme="minorHAnsi"/>
                <w:sz w:val="20"/>
                <w:lang w:eastAsia="en-US"/>
              </w:rPr>
              <w:t xml:space="preserve">Wskaźnik odnosi się do liczby obiektów, które zaopatrzono w specjalne podjazdy, windy, urządzenia głośnomówiące, bądź inne </w:t>
            </w:r>
            <w:r w:rsidRPr="00F95877">
              <w:rPr>
                <w:rFonts w:asciiTheme="minorHAnsi" w:eastAsiaTheme="minorHAnsi" w:hAnsiTheme="minorHAnsi" w:cs="Arial"/>
                <w:sz w:val="20"/>
                <w:lang w:eastAsia="en-US"/>
              </w:rPr>
              <w:t xml:space="preserve"> rozwiązania umożliwiające dostęp </w:t>
            </w:r>
            <w:r w:rsidRPr="00F95877">
              <w:rPr>
                <w:rFonts w:asciiTheme="minorHAnsi" w:eastAsiaTheme="minorHAnsi" w:hAnsiTheme="minorHAnsi"/>
                <w:sz w:val="20"/>
                <w:lang w:eastAsia="en-US"/>
              </w:rPr>
              <w:t>(tj. usunięcie barier w dostępie, w szczególności barier architektonicznych) do tych obiektów i poruszanie się po nich osobom niepełnosprawnym ruchowo czy sensorycznie.</w:t>
            </w:r>
          </w:p>
          <w:p w:rsidR="00045A17" w:rsidRPr="00F95877" w:rsidRDefault="00045A17" w:rsidP="00142940">
            <w:pPr>
              <w:spacing w:before="0" w:line="240" w:lineRule="auto"/>
              <w:rPr>
                <w:rFonts w:asciiTheme="minorHAnsi" w:eastAsiaTheme="minorHAnsi" w:hAnsiTheme="minorHAnsi"/>
                <w:sz w:val="20"/>
                <w:lang w:eastAsia="en-US"/>
              </w:rPr>
            </w:pPr>
            <w:r w:rsidRPr="00F95877">
              <w:rPr>
                <w:rFonts w:asciiTheme="minorHAnsi" w:eastAsiaTheme="minorHAnsi" w:hAnsiTheme="minorHAnsi"/>
                <w:sz w:val="20"/>
                <w:lang w:eastAsia="en-US"/>
              </w:rPr>
              <w:t>Jako obiekty budowlane należy rozumieć konstrukcje połączone z gruntem w sposób trwały, wykonane z materiałów budowlanych i elementów składowych, będące wynikiem prac budowlanych (wg. def. PKOB).</w:t>
            </w:r>
          </w:p>
          <w:p w:rsidR="00045A17" w:rsidRPr="00F95877" w:rsidRDefault="00045A17" w:rsidP="00142940">
            <w:pPr>
              <w:spacing w:before="0" w:line="240" w:lineRule="auto"/>
              <w:rPr>
                <w:rFonts w:asciiTheme="minorHAnsi" w:eastAsiaTheme="minorHAnsi" w:hAnsiTheme="minorHAnsi"/>
                <w:sz w:val="20"/>
                <w:lang w:eastAsia="en-US"/>
              </w:rPr>
            </w:pPr>
            <w:r w:rsidRPr="00F95877">
              <w:rPr>
                <w:rFonts w:asciiTheme="minorHAnsi" w:eastAsiaTheme="minorHAnsi" w:hAnsiTheme="minorHAnsi"/>
                <w:sz w:val="20"/>
                <w:lang w:eastAsia="en-US"/>
              </w:rPr>
              <w:t xml:space="preserve">Należy podać liczbę </w:t>
            </w:r>
            <w:r w:rsidRPr="00F95877">
              <w:rPr>
                <w:rFonts w:asciiTheme="minorHAnsi" w:eastAsiaTheme="minorHAnsi" w:hAnsiTheme="minorHAnsi" w:cs="Arial"/>
                <w:sz w:val="20"/>
                <w:lang w:eastAsia="en-US"/>
              </w:rPr>
              <w:t>wspartych lub zaopatrzonych w sprzęt obiektów</w:t>
            </w:r>
            <w:r w:rsidRPr="00F95877">
              <w:rPr>
                <w:rFonts w:asciiTheme="minorHAnsi" w:eastAsiaTheme="minorHAnsi" w:hAnsiTheme="minorHAnsi"/>
                <w:sz w:val="20"/>
                <w:lang w:eastAsia="en-US"/>
              </w:rPr>
              <w:t>, a nie liczbę sprzętów, urządzeń itp., w które obiekty zaopatrzono.</w:t>
            </w:r>
          </w:p>
          <w:p w:rsidR="00045A17" w:rsidRPr="00F95877" w:rsidRDefault="00045A17" w:rsidP="00142940">
            <w:pPr>
              <w:spacing w:before="0" w:line="240" w:lineRule="auto"/>
              <w:rPr>
                <w:rFonts w:asciiTheme="minorHAnsi" w:eastAsiaTheme="minorHAnsi" w:hAnsiTheme="minorHAnsi"/>
                <w:sz w:val="20"/>
                <w:lang w:eastAsia="en-US"/>
              </w:rPr>
            </w:pPr>
            <w:r w:rsidRPr="00F95877">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973" w:type="pct"/>
          </w:tcPr>
          <w:p w:rsidR="00045A17" w:rsidRPr="00F95877" w:rsidRDefault="00045A17" w:rsidP="00E664B7">
            <w:pPr>
              <w:spacing w:line="240" w:lineRule="auto"/>
              <w:jc w:val="center"/>
              <w:rPr>
                <w:rFonts w:asciiTheme="minorHAnsi" w:hAnsiTheme="minorHAnsi"/>
                <w:sz w:val="20"/>
              </w:rPr>
            </w:pPr>
            <w:r w:rsidRPr="00F95877">
              <w:rPr>
                <w:rFonts w:asciiTheme="minorHAnsi" w:hAnsiTheme="minorHAnsi"/>
                <w:sz w:val="20"/>
              </w:rPr>
              <w:t>horyzontalny</w:t>
            </w:r>
          </w:p>
        </w:tc>
      </w:tr>
      <w:tr w:rsidR="00F95877" w:rsidRPr="00F95877" w:rsidTr="00B32871">
        <w:trPr>
          <w:trHeight w:val="20"/>
          <w:jc w:val="center"/>
        </w:trPr>
        <w:tc>
          <w:tcPr>
            <w:tcW w:w="1203" w:type="pct"/>
            <w:shd w:val="clear" w:color="auto" w:fill="auto"/>
            <w:vAlign w:val="center"/>
          </w:tcPr>
          <w:p w:rsidR="00F95877" w:rsidRPr="000F1E65" w:rsidRDefault="00F95877" w:rsidP="00F95877">
            <w:pPr>
              <w:spacing w:before="0" w:line="240" w:lineRule="auto"/>
              <w:rPr>
                <w:rFonts w:asciiTheme="minorHAnsi" w:eastAsiaTheme="minorHAnsi" w:hAnsiTheme="minorHAnsi"/>
                <w:sz w:val="20"/>
                <w:lang w:eastAsia="en-US"/>
              </w:rPr>
            </w:pPr>
            <w:r w:rsidRPr="000F1E65">
              <w:rPr>
                <w:rFonts w:asciiTheme="minorHAnsi" w:eastAsiaTheme="minorHAnsi" w:hAnsiTheme="minorHAnsi"/>
                <w:color w:val="000000" w:themeColor="text1"/>
                <w:sz w:val="20"/>
                <w:lang w:eastAsia="en-US"/>
              </w:rPr>
              <w:t>Liczba podmiotów wykorzystujących technologie informacyjno-komunikacyjne (TIK)</w:t>
            </w:r>
            <w:r w:rsidRPr="000F1E65">
              <w:rPr>
                <w:rFonts w:asciiTheme="minorHAnsi" w:hAnsiTheme="minorHAnsi" w:cs="ArialNarrow"/>
                <w:color w:val="000000" w:themeColor="text1"/>
                <w:sz w:val="20"/>
              </w:rPr>
              <w:t xml:space="preserve"> </w:t>
            </w:r>
          </w:p>
        </w:tc>
        <w:tc>
          <w:tcPr>
            <w:tcW w:w="534" w:type="pct"/>
            <w:vAlign w:val="center"/>
          </w:tcPr>
          <w:p w:rsidR="00F95877" w:rsidRPr="00F95877" w:rsidRDefault="00F95877" w:rsidP="00F95877">
            <w:pPr>
              <w:spacing w:before="0" w:line="240" w:lineRule="auto"/>
              <w:jc w:val="center"/>
              <w:rPr>
                <w:rFonts w:asciiTheme="minorHAnsi" w:eastAsiaTheme="minorHAnsi" w:hAnsiTheme="minorHAnsi"/>
                <w:sz w:val="20"/>
                <w:lang w:eastAsia="en-US"/>
              </w:rPr>
            </w:pPr>
            <w:r w:rsidRPr="00F95877">
              <w:rPr>
                <w:rFonts w:asciiTheme="minorHAnsi" w:eastAsiaTheme="minorHAnsi" w:hAnsiTheme="minorHAnsi"/>
                <w:sz w:val="20"/>
                <w:lang w:eastAsia="en-US"/>
              </w:rPr>
              <w:t>szt.</w:t>
            </w:r>
          </w:p>
        </w:tc>
        <w:tc>
          <w:tcPr>
            <w:tcW w:w="2290" w:type="pct"/>
            <w:shd w:val="clear" w:color="auto" w:fill="auto"/>
            <w:vAlign w:val="center"/>
          </w:tcPr>
          <w:p w:rsidR="00A76EB5" w:rsidRPr="00A76EB5" w:rsidRDefault="00A76EB5" w:rsidP="00142940">
            <w:pPr>
              <w:spacing w:before="0" w:line="240" w:lineRule="auto"/>
              <w:rPr>
                <w:rFonts w:asciiTheme="minorHAnsi" w:eastAsiaTheme="minorHAnsi" w:hAnsiTheme="minorHAnsi"/>
                <w:sz w:val="20"/>
                <w:lang w:eastAsia="en-US"/>
              </w:rPr>
            </w:pPr>
            <w:r w:rsidRPr="00A76EB5">
              <w:rPr>
                <w:rFonts w:asciiTheme="minorHAnsi" w:eastAsiaTheme="minorHAnsi" w:hAnsiTheme="minorHAnsi"/>
                <w:sz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A76EB5" w:rsidRPr="00A76EB5" w:rsidRDefault="00A76EB5" w:rsidP="00142940">
            <w:pPr>
              <w:spacing w:before="0" w:line="240" w:lineRule="auto"/>
              <w:rPr>
                <w:rFonts w:asciiTheme="minorHAnsi" w:eastAsiaTheme="minorHAnsi" w:hAnsiTheme="minorHAnsi"/>
                <w:sz w:val="20"/>
                <w:lang w:eastAsia="en-US"/>
              </w:rPr>
            </w:pPr>
            <w:r w:rsidRPr="00A76EB5">
              <w:rPr>
                <w:rFonts w:asciiTheme="minorHAnsi" w:eastAsiaTheme="minorHAnsi" w:hAnsiTheme="minorHAnsi"/>
                <w:sz w:val="20"/>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A76EB5" w:rsidRPr="00A76EB5" w:rsidRDefault="00A76EB5" w:rsidP="00142940">
            <w:pPr>
              <w:spacing w:before="0" w:line="240" w:lineRule="auto"/>
              <w:rPr>
                <w:rFonts w:asciiTheme="minorHAnsi" w:eastAsiaTheme="minorHAnsi" w:hAnsiTheme="minorHAnsi"/>
                <w:sz w:val="20"/>
                <w:lang w:eastAsia="en-US"/>
              </w:rPr>
            </w:pPr>
            <w:r w:rsidRPr="00A76EB5">
              <w:rPr>
                <w:rFonts w:asciiTheme="minorHAnsi" w:eastAsiaTheme="minorHAnsi" w:hAnsiTheme="minorHAnsi"/>
                <w:sz w:val="20"/>
                <w:lang w:eastAsia="en-US"/>
              </w:rPr>
              <w:t xml:space="preserve">W zakresie EFS podmioty wykorzystujące TIK należy rozumieć jako podmioty (beneficjenci/partnerzy beneficjentów), które w </w:t>
            </w:r>
            <w:r w:rsidRPr="00A76EB5">
              <w:rPr>
                <w:rFonts w:asciiTheme="minorHAnsi" w:eastAsiaTheme="minorHAnsi" w:hAnsiTheme="minorHAnsi"/>
                <w:sz w:val="20"/>
                <w:lang w:eastAsia="en-US"/>
              </w:rPr>
              <w:lastRenderedPageBreak/>
              <w:t xml:space="preserve">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rsidR="00A76EB5" w:rsidRPr="00A76EB5" w:rsidRDefault="00A76EB5" w:rsidP="00142940">
            <w:pPr>
              <w:spacing w:before="0" w:line="240" w:lineRule="auto"/>
              <w:rPr>
                <w:rFonts w:asciiTheme="minorHAnsi" w:eastAsiaTheme="minorHAnsi" w:hAnsiTheme="minorHAnsi"/>
                <w:sz w:val="20"/>
                <w:lang w:eastAsia="en-US"/>
              </w:rPr>
            </w:pPr>
            <w:r w:rsidRPr="00A76EB5">
              <w:rPr>
                <w:rFonts w:asciiTheme="minorHAnsi" w:eastAsiaTheme="minorHAnsi" w:hAnsiTheme="minorHAnsi"/>
                <w:sz w:val="20"/>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F95877" w:rsidRPr="00F95877" w:rsidRDefault="00A76EB5" w:rsidP="00142940">
            <w:pPr>
              <w:spacing w:before="0" w:line="240" w:lineRule="auto"/>
              <w:rPr>
                <w:rFonts w:asciiTheme="minorHAnsi" w:eastAsiaTheme="minorHAnsi" w:hAnsiTheme="minorHAnsi"/>
                <w:sz w:val="20"/>
                <w:lang w:eastAsia="en-US"/>
              </w:rPr>
            </w:pPr>
            <w:r w:rsidRPr="00A76EB5">
              <w:rPr>
                <w:rFonts w:asciiTheme="minorHAnsi" w:eastAsiaTheme="minorHAnsi" w:hAnsiTheme="minorHAnsi"/>
                <w:sz w:val="20"/>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973" w:type="pct"/>
          </w:tcPr>
          <w:p w:rsidR="00F95877" w:rsidRPr="00F95877" w:rsidRDefault="000F1E65" w:rsidP="00E664B7">
            <w:pPr>
              <w:spacing w:line="240" w:lineRule="auto"/>
              <w:jc w:val="center"/>
              <w:rPr>
                <w:rFonts w:asciiTheme="minorHAnsi" w:hAnsiTheme="minorHAnsi"/>
                <w:sz w:val="20"/>
              </w:rPr>
            </w:pPr>
            <w:r w:rsidRPr="00F95877">
              <w:rPr>
                <w:rFonts w:asciiTheme="minorHAnsi" w:hAnsiTheme="minorHAnsi"/>
                <w:sz w:val="20"/>
              </w:rPr>
              <w:lastRenderedPageBreak/>
              <w:t>horyzontalny</w:t>
            </w:r>
          </w:p>
        </w:tc>
      </w:tr>
      <w:tr w:rsidR="00045A17" w:rsidRPr="00F95877" w:rsidTr="00B32871">
        <w:trPr>
          <w:trHeight w:val="20"/>
          <w:jc w:val="center"/>
        </w:trPr>
        <w:tc>
          <w:tcPr>
            <w:tcW w:w="1203" w:type="pct"/>
            <w:shd w:val="clear" w:color="auto" w:fill="auto"/>
          </w:tcPr>
          <w:p w:rsidR="00045A17" w:rsidRPr="00F95877" w:rsidRDefault="00045A17" w:rsidP="000E2A4F">
            <w:pPr>
              <w:spacing w:before="0" w:line="240" w:lineRule="auto"/>
              <w:rPr>
                <w:rFonts w:asciiTheme="minorHAnsi" w:eastAsiaTheme="minorHAnsi" w:hAnsiTheme="minorHAnsi"/>
                <w:sz w:val="20"/>
                <w:lang w:eastAsia="en-US"/>
              </w:rPr>
            </w:pPr>
            <w:r w:rsidRPr="00F95877">
              <w:rPr>
                <w:rFonts w:asciiTheme="minorHAnsi" w:eastAsiaTheme="minorHAnsi" w:hAnsiTheme="minorHAnsi"/>
                <w:sz w:val="20"/>
                <w:lang w:eastAsia="en-US"/>
              </w:rPr>
              <w:lastRenderedPageBreak/>
              <w:t>Liczba osób objętych szkoleniami / doradztwem w zakresie kompetencji cyfrowych O/K/M</w:t>
            </w:r>
          </w:p>
        </w:tc>
        <w:tc>
          <w:tcPr>
            <w:tcW w:w="534" w:type="pct"/>
          </w:tcPr>
          <w:p w:rsidR="00045A17" w:rsidRPr="00F95877" w:rsidRDefault="00045A17" w:rsidP="00F95877">
            <w:pPr>
              <w:spacing w:before="0" w:line="240" w:lineRule="auto"/>
              <w:jc w:val="center"/>
              <w:rPr>
                <w:rFonts w:asciiTheme="minorHAnsi" w:eastAsiaTheme="minorHAnsi" w:hAnsiTheme="minorHAnsi"/>
                <w:sz w:val="20"/>
                <w:lang w:eastAsia="en-US"/>
              </w:rPr>
            </w:pPr>
            <w:r w:rsidRPr="00F95877">
              <w:rPr>
                <w:rFonts w:asciiTheme="minorHAnsi" w:eastAsiaTheme="minorHAnsi" w:hAnsiTheme="minorHAnsi"/>
                <w:sz w:val="20"/>
                <w:lang w:eastAsia="en-US"/>
              </w:rPr>
              <w:t>os.</w:t>
            </w:r>
          </w:p>
        </w:tc>
        <w:tc>
          <w:tcPr>
            <w:tcW w:w="2290" w:type="pct"/>
            <w:shd w:val="clear" w:color="auto" w:fill="auto"/>
            <w:vAlign w:val="center"/>
          </w:tcPr>
          <w:p w:rsidR="00045A17" w:rsidRPr="00F95877" w:rsidRDefault="00045A17" w:rsidP="000E7D02">
            <w:pPr>
              <w:spacing w:before="0" w:line="240" w:lineRule="auto"/>
              <w:rPr>
                <w:rFonts w:asciiTheme="minorHAnsi" w:eastAsiaTheme="minorHAnsi" w:hAnsiTheme="minorHAnsi"/>
                <w:sz w:val="20"/>
                <w:lang w:eastAsia="en-US"/>
              </w:rPr>
            </w:pPr>
            <w:r w:rsidRPr="00F95877">
              <w:rPr>
                <w:rFonts w:asciiTheme="minorHAnsi" w:eastAsiaTheme="minorHAnsi" w:hAnsiTheme="minorHAnsi"/>
                <w:sz w:val="20"/>
                <w:lang w:eastAsia="en-US"/>
              </w:rPr>
              <w:t xml:space="preserve">Wskaźnik mierzy liczbę osób objętych szkoleniami/doradztwem w zakresie nabywania /doskonalenia umiejętności warunkujących efektywne korzystanie z mediów elektronicznych tj. m.in. korzystania z komputera, różnych rodzajów oprogramowania, </w:t>
            </w:r>
            <w:proofErr w:type="spellStart"/>
            <w:r w:rsidRPr="00F95877">
              <w:rPr>
                <w:rFonts w:asciiTheme="minorHAnsi" w:eastAsiaTheme="minorHAnsi" w:hAnsiTheme="minorHAnsi"/>
                <w:sz w:val="20"/>
                <w:lang w:eastAsia="en-US"/>
              </w:rPr>
              <w:t>internetu</w:t>
            </w:r>
            <w:proofErr w:type="spellEnd"/>
            <w:r w:rsidRPr="00F95877">
              <w:rPr>
                <w:rFonts w:asciiTheme="minorHAnsi" w:eastAsiaTheme="minorHAnsi" w:hAnsiTheme="minorHAnsi"/>
                <w:sz w:val="20"/>
                <w:lang w:eastAsia="en-US"/>
              </w:rPr>
              <w:t xml:space="preserve"> oraz kompetencji ściśle informatycznych (np. programowanie, zarządzanie bazami danych, administracja sieciami, administracja witrynami internetowymi).</w:t>
            </w:r>
          </w:p>
        </w:tc>
        <w:tc>
          <w:tcPr>
            <w:tcW w:w="973" w:type="pct"/>
          </w:tcPr>
          <w:p w:rsidR="00045A17" w:rsidRPr="00F95877" w:rsidRDefault="00045A17" w:rsidP="00AC7B21">
            <w:pPr>
              <w:spacing w:line="240" w:lineRule="auto"/>
              <w:jc w:val="center"/>
              <w:rPr>
                <w:rFonts w:asciiTheme="minorHAnsi" w:hAnsiTheme="minorHAnsi"/>
                <w:sz w:val="20"/>
              </w:rPr>
            </w:pPr>
            <w:r w:rsidRPr="00F95877">
              <w:rPr>
                <w:rFonts w:asciiTheme="minorHAnsi" w:hAnsiTheme="minorHAnsi"/>
                <w:sz w:val="20"/>
              </w:rPr>
              <w:t>horyzontalny</w:t>
            </w:r>
          </w:p>
        </w:tc>
      </w:tr>
      <w:tr w:rsidR="00045A17" w:rsidRPr="00F95877" w:rsidTr="00B32871">
        <w:trPr>
          <w:trHeight w:val="20"/>
          <w:jc w:val="center"/>
        </w:trPr>
        <w:tc>
          <w:tcPr>
            <w:tcW w:w="1203" w:type="pct"/>
            <w:shd w:val="clear" w:color="auto" w:fill="auto"/>
          </w:tcPr>
          <w:p w:rsidR="00045A17" w:rsidRPr="00F95877" w:rsidRDefault="00045A17" w:rsidP="000E2A4F">
            <w:pPr>
              <w:spacing w:before="0" w:line="240" w:lineRule="auto"/>
              <w:rPr>
                <w:rFonts w:asciiTheme="minorHAnsi" w:eastAsiaTheme="minorHAnsi" w:hAnsiTheme="minorHAnsi"/>
                <w:sz w:val="20"/>
                <w:lang w:eastAsia="en-US"/>
              </w:rPr>
            </w:pPr>
            <w:r w:rsidRPr="00F95877">
              <w:rPr>
                <w:rFonts w:asciiTheme="minorHAnsi" w:eastAsiaTheme="minorHAnsi" w:hAnsiTheme="minorHAnsi" w:cs="Arial"/>
                <w:sz w:val="20"/>
                <w:lang w:eastAsia="en-US"/>
              </w:rPr>
              <w:t>Liczba projektów, w których sfinansowano koszty racjonalnych usprawnień dla osób z niepełnosprawnościami</w:t>
            </w:r>
          </w:p>
        </w:tc>
        <w:tc>
          <w:tcPr>
            <w:tcW w:w="534" w:type="pct"/>
          </w:tcPr>
          <w:p w:rsidR="00045A17" w:rsidRPr="00F95877" w:rsidRDefault="00045A17" w:rsidP="00F95877">
            <w:pPr>
              <w:spacing w:before="0" w:line="240" w:lineRule="auto"/>
              <w:jc w:val="center"/>
              <w:rPr>
                <w:rFonts w:asciiTheme="minorHAnsi" w:eastAsiaTheme="minorHAnsi" w:hAnsiTheme="minorHAnsi"/>
                <w:sz w:val="20"/>
                <w:lang w:eastAsia="en-US"/>
              </w:rPr>
            </w:pPr>
            <w:r w:rsidRPr="00F95877">
              <w:rPr>
                <w:rFonts w:asciiTheme="minorHAnsi" w:eastAsiaTheme="minorHAnsi" w:hAnsiTheme="minorHAnsi"/>
                <w:sz w:val="20"/>
                <w:lang w:eastAsia="en-US"/>
              </w:rPr>
              <w:t>szt.</w:t>
            </w:r>
          </w:p>
        </w:tc>
        <w:tc>
          <w:tcPr>
            <w:tcW w:w="2290" w:type="pct"/>
            <w:shd w:val="clear" w:color="auto" w:fill="auto"/>
            <w:vAlign w:val="center"/>
          </w:tcPr>
          <w:p w:rsidR="00045A17" w:rsidRPr="00F95877" w:rsidRDefault="00045A17" w:rsidP="000E7D02">
            <w:pPr>
              <w:autoSpaceDE w:val="0"/>
              <w:autoSpaceDN w:val="0"/>
              <w:adjustRightInd w:val="0"/>
              <w:spacing w:before="0" w:line="240" w:lineRule="auto"/>
              <w:rPr>
                <w:rFonts w:asciiTheme="minorHAnsi" w:eastAsiaTheme="minorHAnsi" w:hAnsiTheme="minorHAnsi" w:cs="Arial"/>
                <w:sz w:val="20"/>
                <w:lang w:eastAsia="en-US"/>
              </w:rPr>
            </w:pPr>
            <w:r w:rsidRPr="00F95877">
              <w:rPr>
                <w:rFonts w:asciiTheme="minorHAnsi" w:eastAsiaTheme="minorHAnsi" w:hAnsiTheme="minorHAnsi" w:cs="Arial"/>
                <w:sz w:val="20"/>
                <w:lang w:eastAsia="en-US"/>
              </w:rPr>
              <w:t xml:space="preserve">Racjonalne usprawnienie oznacza konieczne </w:t>
            </w:r>
            <w:r w:rsidRPr="00F95877">
              <w:rPr>
                <w:rFonts w:asciiTheme="minorHAnsi" w:eastAsiaTheme="minorHAnsi" w:hAnsiTheme="minorHAnsi" w:cs="Arial"/>
                <w:sz w:val="20"/>
                <w:lang w:eastAsia="en-US"/>
              </w:rPr>
              <w:br/>
              <w:t>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p>
          <w:p w:rsidR="00045A17" w:rsidRPr="00F95877" w:rsidRDefault="00045A17" w:rsidP="000E7D02">
            <w:pPr>
              <w:autoSpaceDE w:val="0"/>
              <w:autoSpaceDN w:val="0"/>
              <w:adjustRightInd w:val="0"/>
              <w:spacing w:before="0" w:line="240" w:lineRule="auto"/>
              <w:rPr>
                <w:rFonts w:asciiTheme="minorHAnsi" w:eastAsiaTheme="minorHAnsi" w:hAnsiTheme="minorHAnsi" w:cs="Arial"/>
                <w:sz w:val="20"/>
                <w:lang w:eastAsia="en-US"/>
              </w:rPr>
            </w:pPr>
            <w:r w:rsidRPr="00F95877">
              <w:rPr>
                <w:rFonts w:asciiTheme="minorHAnsi" w:eastAsiaTheme="minorHAnsi" w:hAnsiTheme="minorHAnsi" w:cs="Arial"/>
                <w:sz w:val="20"/>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045A17" w:rsidRPr="00F95877" w:rsidRDefault="00045A17" w:rsidP="000E7D02">
            <w:pPr>
              <w:spacing w:before="0" w:line="240" w:lineRule="auto"/>
              <w:rPr>
                <w:rFonts w:asciiTheme="minorHAnsi" w:eastAsiaTheme="minorHAnsi" w:hAnsiTheme="minorHAnsi"/>
                <w:sz w:val="20"/>
                <w:lang w:eastAsia="en-US"/>
              </w:rPr>
            </w:pPr>
            <w:r w:rsidRPr="00F95877">
              <w:rPr>
                <w:rFonts w:asciiTheme="minorHAnsi" w:eastAsiaTheme="minorHAnsi" w:hAnsiTheme="minorHAnsi" w:cs="Arial"/>
                <w:sz w:val="20"/>
                <w:lang w:eastAsia="en-US"/>
              </w:rPr>
              <w:t xml:space="preserve">Definicja na podstawie </w:t>
            </w:r>
            <w:r w:rsidRPr="00F95877">
              <w:rPr>
                <w:rFonts w:asciiTheme="minorHAnsi" w:eastAsiaTheme="minorHAnsi" w:hAnsiTheme="minorHAnsi" w:cs="Arial"/>
                <w:i/>
                <w:iCs/>
                <w:sz w:val="20"/>
                <w:lang w:eastAsia="en-US"/>
              </w:rPr>
              <w:t xml:space="preserve">Wytycznych w zakresie </w:t>
            </w:r>
            <w:r w:rsidRPr="00F95877">
              <w:rPr>
                <w:rFonts w:asciiTheme="minorHAnsi" w:eastAsiaTheme="minorHAnsi" w:hAnsiTheme="minorHAnsi" w:cs="Arial"/>
                <w:i/>
                <w:iCs/>
                <w:sz w:val="20"/>
                <w:lang w:eastAsia="en-US"/>
              </w:rPr>
              <w:lastRenderedPageBreak/>
              <w:t xml:space="preserve">realizacji zasady równości szans </w:t>
            </w:r>
            <w:r w:rsidRPr="00F95877">
              <w:rPr>
                <w:rFonts w:asciiTheme="minorHAnsi" w:eastAsiaTheme="minorHAnsi" w:hAnsiTheme="minorHAnsi" w:cs="Arial"/>
                <w:i/>
                <w:iCs/>
                <w:sz w:val="20"/>
                <w:lang w:eastAsia="en-US"/>
              </w:rPr>
              <w:br/>
              <w:t>i niedyskryminacji, w tym dostępności dla osób z niepełnosprawnościami oraz równości szans kobiet i mężczyzn w ramach funduszy unijnych na lata 2014-2020</w:t>
            </w:r>
            <w:r w:rsidRPr="00F95877">
              <w:rPr>
                <w:rFonts w:asciiTheme="minorHAnsi" w:eastAsiaTheme="minorHAnsi" w:hAnsiTheme="minorHAnsi" w:cs="Arial"/>
                <w:sz w:val="20"/>
                <w:lang w:eastAsia="en-US"/>
              </w:rPr>
              <w:t>.</w:t>
            </w:r>
          </w:p>
        </w:tc>
        <w:tc>
          <w:tcPr>
            <w:tcW w:w="973" w:type="pct"/>
          </w:tcPr>
          <w:p w:rsidR="00045A17" w:rsidRPr="00F95877" w:rsidRDefault="00045A17" w:rsidP="00AC7B21">
            <w:pPr>
              <w:spacing w:line="240" w:lineRule="auto"/>
              <w:jc w:val="center"/>
              <w:rPr>
                <w:rFonts w:asciiTheme="minorHAnsi" w:hAnsiTheme="minorHAnsi"/>
                <w:sz w:val="20"/>
              </w:rPr>
            </w:pPr>
            <w:r w:rsidRPr="00F95877">
              <w:rPr>
                <w:rFonts w:asciiTheme="minorHAnsi" w:hAnsiTheme="minorHAnsi"/>
                <w:sz w:val="20"/>
              </w:rPr>
              <w:lastRenderedPageBreak/>
              <w:t>horyzontalny</w:t>
            </w:r>
          </w:p>
        </w:tc>
      </w:tr>
    </w:tbl>
    <w:p w:rsidR="00D2500C" w:rsidRDefault="00D2500C" w:rsidP="006A0FA8">
      <w:pPr>
        <w:spacing w:line="240" w:lineRule="auto"/>
        <w:jc w:val="both"/>
        <w:rPr>
          <w:rFonts w:asciiTheme="minorHAnsi" w:hAnsiTheme="minorHAnsi"/>
          <w:b/>
          <w:szCs w:val="22"/>
        </w:rPr>
      </w:pPr>
    </w:p>
    <w:p w:rsidR="006A0FA8" w:rsidRPr="006A0FA8" w:rsidRDefault="006A0FA8" w:rsidP="006A0FA8">
      <w:pPr>
        <w:spacing w:line="240" w:lineRule="auto"/>
        <w:jc w:val="both"/>
        <w:rPr>
          <w:rFonts w:asciiTheme="minorHAnsi" w:hAnsiTheme="minorHAnsi" w:cs="Arial"/>
          <w:szCs w:val="22"/>
        </w:rPr>
      </w:pPr>
      <w:r w:rsidRPr="006A0FA8">
        <w:rPr>
          <w:rFonts w:asciiTheme="minorHAnsi" w:hAnsiTheme="minorHAnsi"/>
          <w:b/>
          <w:szCs w:val="22"/>
        </w:rPr>
        <w:t>Wskaźniki rezultatu bezpośredniego</w:t>
      </w:r>
      <w:r w:rsidRPr="006A0FA8">
        <w:rPr>
          <w:rFonts w:asciiTheme="minorHAnsi" w:hAnsiTheme="minorHAnsi"/>
          <w:szCs w:val="22"/>
        </w:rPr>
        <w:t xml:space="preserve"> są to w</w:t>
      </w:r>
      <w:r w:rsidRPr="006A0FA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6A0FA8" w:rsidRPr="006A0FA8" w:rsidRDefault="006A0FA8" w:rsidP="006A0FA8">
      <w:pPr>
        <w:autoSpaceDE w:val="0"/>
        <w:autoSpaceDN w:val="0"/>
        <w:adjustRightInd w:val="0"/>
        <w:spacing w:before="0" w:line="240" w:lineRule="auto"/>
        <w:jc w:val="both"/>
        <w:rPr>
          <w:rFonts w:ascii="TimesNewRoman,Bold" w:hAnsi="TimesNewRoman,Bold" w:cs="TimesNewRoman,Bold"/>
          <w:szCs w:val="22"/>
        </w:rPr>
      </w:pPr>
    </w:p>
    <w:p w:rsidR="006A0FA8" w:rsidRPr="006A0FA8" w:rsidRDefault="006A0FA8" w:rsidP="006A0FA8">
      <w:pPr>
        <w:autoSpaceDE w:val="0"/>
        <w:autoSpaceDN w:val="0"/>
        <w:adjustRightInd w:val="0"/>
        <w:spacing w:before="0" w:line="240" w:lineRule="auto"/>
        <w:jc w:val="both"/>
        <w:rPr>
          <w:rFonts w:asciiTheme="minorHAnsi" w:hAnsiTheme="minorHAnsi" w:cs="TimesNewRoman,Bold"/>
          <w:szCs w:val="22"/>
        </w:rPr>
      </w:pPr>
      <w:r w:rsidRPr="006A0FA8">
        <w:rPr>
          <w:rFonts w:asciiTheme="minorHAnsi" w:hAnsiTheme="minorHAnsi" w:cs="TimesNewRoman,Bold"/>
          <w:szCs w:val="22"/>
        </w:rPr>
        <w:t xml:space="preserve">Dla każdego z wybranych wskaźników Wnioskodawca zobowiązany jest do wskazania </w:t>
      </w:r>
      <w:r w:rsidRPr="006A0FA8">
        <w:rPr>
          <w:rFonts w:asciiTheme="minorHAnsi" w:hAnsiTheme="minorHAnsi" w:cs="TimesNewRoman,Bold"/>
          <w:i/>
          <w:szCs w:val="22"/>
        </w:rPr>
        <w:t>„Jednostki miary”</w:t>
      </w:r>
      <w:r w:rsidRPr="006A0FA8">
        <w:rPr>
          <w:rFonts w:asciiTheme="minorHAnsi" w:hAnsiTheme="minorHAnsi" w:cs="TimesNewRoman,Bold"/>
          <w:szCs w:val="22"/>
        </w:rPr>
        <w:t xml:space="preserve">, </w:t>
      </w:r>
      <w:r w:rsidRPr="006A0FA8">
        <w:rPr>
          <w:rFonts w:asciiTheme="minorHAnsi" w:hAnsiTheme="minorHAnsi" w:cs="TimesNewRoman,Bold"/>
          <w:i/>
          <w:szCs w:val="22"/>
        </w:rPr>
        <w:t>„Wartości bazowej”</w:t>
      </w:r>
      <w:r w:rsidRPr="006A0FA8">
        <w:rPr>
          <w:rFonts w:asciiTheme="minorHAnsi" w:hAnsiTheme="minorHAnsi" w:cs="TimesNewRoman,Bold"/>
          <w:szCs w:val="22"/>
        </w:rPr>
        <w:t xml:space="preserve">, </w:t>
      </w:r>
      <w:r w:rsidRPr="006A0FA8">
        <w:rPr>
          <w:rFonts w:asciiTheme="minorHAnsi" w:hAnsiTheme="minorHAnsi" w:cs="TimesNewRoman,Bold"/>
          <w:i/>
          <w:szCs w:val="22"/>
        </w:rPr>
        <w:t>„Wartości docelowej wskaźnika”</w:t>
      </w:r>
      <w:r w:rsidRPr="006A0FA8">
        <w:rPr>
          <w:rFonts w:asciiTheme="minorHAnsi" w:hAnsiTheme="minorHAnsi" w:cs="TimesNewRoman,Bold"/>
          <w:szCs w:val="22"/>
        </w:rPr>
        <w:t xml:space="preserve">, a także </w:t>
      </w:r>
      <w:r w:rsidRPr="006A0FA8">
        <w:rPr>
          <w:rFonts w:asciiTheme="minorHAnsi" w:hAnsiTheme="minorHAnsi" w:cs="TimesNewRoman,Bold"/>
          <w:i/>
          <w:szCs w:val="22"/>
        </w:rPr>
        <w:t>„Źródła informacji o wskaźniku”</w:t>
      </w:r>
      <w:r w:rsidRPr="006A0FA8">
        <w:rPr>
          <w:rFonts w:asciiTheme="minorHAnsi" w:hAnsiTheme="minorHAnsi" w:cs="TimesNewRoman,Bold"/>
          <w:szCs w:val="22"/>
        </w:rPr>
        <w:t xml:space="preserve">. </w:t>
      </w:r>
    </w:p>
    <w:p w:rsidR="006A0FA8" w:rsidRPr="006A0FA8" w:rsidRDefault="006A0FA8" w:rsidP="006A0FA8">
      <w:pPr>
        <w:autoSpaceDE w:val="0"/>
        <w:autoSpaceDN w:val="0"/>
        <w:adjustRightInd w:val="0"/>
        <w:spacing w:before="0" w:line="240" w:lineRule="auto"/>
        <w:jc w:val="both"/>
        <w:rPr>
          <w:rFonts w:asciiTheme="minorHAnsi" w:hAnsiTheme="minorHAnsi" w:cs="TimesNewRoman,Bold"/>
          <w:szCs w:val="22"/>
        </w:rPr>
      </w:pPr>
      <w:r w:rsidRPr="006A0FA8">
        <w:rPr>
          <w:rFonts w:asciiTheme="minorHAnsi" w:hAnsiTheme="minorHAnsi" w:cs="TimesNewRoman,Bold"/>
          <w:szCs w:val="22"/>
        </w:rPr>
        <w:t xml:space="preserve">Wartość docelowa dla wskaźnika rezultatu to wyrażony liczbowo stan danego wskaźnika uzyskany w efekcie realizacji projektu </w:t>
      </w:r>
    </w:p>
    <w:p w:rsidR="006A0FA8" w:rsidRPr="006A0FA8" w:rsidRDefault="006A0FA8" w:rsidP="006A0FA8">
      <w:pPr>
        <w:autoSpaceDE w:val="0"/>
        <w:autoSpaceDN w:val="0"/>
        <w:adjustRightInd w:val="0"/>
        <w:spacing w:before="0" w:line="240" w:lineRule="auto"/>
        <w:jc w:val="both"/>
        <w:rPr>
          <w:rFonts w:asciiTheme="minorHAnsi" w:hAnsiTheme="minorHAnsi"/>
        </w:rPr>
      </w:pPr>
      <w:r w:rsidRPr="006A0FA8">
        <w:rPr>
          <w:rFonts w:asciiTheme="minorHAnsi" w:hAnsiTheme="minorHAnsi"/>
        </w:rPr>
        <w:t>Jako źródło informacji o wskaźniku wskazać należy odpowiedni dokument (np.</w:t>
      </w:r>
      <w:r w:rsidR="00B91785">
        <w:rPr>
          <w:rFonts w:asciiTheme="minorHAnsi" w:hAnsiTheme="minorHAnsi"/>
        </w:rPr>
        <w:t xml:space="preserve"> ewidencja przerobionych odpadów</w:t>
      </w:r>
      <w:r w:rsidRPr="006A0FA8">
        <w:rPr>
          <w:rFonts w:asciiTheme="minorHAnsi" w:hAnsiTheme="minorHAnsi"/>
        </w:rPr>
        <w:t>).</w:t>
      </w:r>
    </w:p>
    <w:p w:rsidR="006A0FA8" w:rsidRPr="006A0FA8" w:rsidRDefault="006A0FA8" w:rsidP="006A0FA8">
      <w:pPr>
        <w:autoSpaceDE w:val="0"/>
        <w:autoSpaceDN w:val="0"/>
        <w:adjustRightInd w:val="0"/>
        <w:spacing w:before="120" w:after="120" w:line="240" w:lineRule="auto"/>
        <w:jc w:val="both"/>
        <w:rPr>
          <w:rFonts w:asciiTheme="minorHAnsi" w:hAnsiTheme="minorHAnsi"/>
          <w:szCs w:val="22"/>
        </w:rPr>
      </w:pPr>
      <w:r w:rsidRPr="006A0FA8">
        <w:rPr>
          <w:rFonts w:asciiTheme="minorHAnsi" w:hAnsiTheme="minorHAnsi"/>
          <w:szCs w:val="22"/>
        </w:rPr>
        <w:t xml:space="preserve">W ramach </w:t>
      </w:r>
      <w:r w:rsidR="00455EB6">
        <w:rPr>
          <w:rFonts w:asciiTheme="minorHAnsi" w:hAnsiTheme="minorHAnsi"/>
          <w:szCs w:val="22"/>
        </w:rPr>
        <w:t xml:space="preserve">schematu </w:t>
      </w:r>
      <w:r w:rsidR="00B91785">
        <w:rPr>
          <w:rFonts w:asciiTheme="minorHAnsi" w:hAnsiTheme="minorHAnsi"/>
          <w:szCs w:val="22"/>
        </w:rPr>
        <w:t>4</w:t>
      </w:r>
      <w:r w:rsidRPr="006A0FA8">
        <w:rPr>
          <w:rFonts w:asciiTheme="minorHAnsi" w:hAnsiTheme="minorHAnsi"/>
          <w:szCs w:val="22"/>
        </w:rPr>
        <w:t>.</w:t>
      </w:r>
      <w:r w:rsidR="00455EB6">
        <w:rPr>
          <w:rFonts w:asciiTheme="minorHAnsi" w:hAnsiTheme="minorHAnsi"/>
          <w:szCs w:val="22"/>
        </w:rPr>
        <w:t>5.C</w:t>
      </w:r>
      <w:r w:rsidRPr="006A0FA8">
        <w:rPr>
          <w:rFonts w:asciiTheme="minorHAnsi" w:hAnsiTheme="minorHAnsi"/>
          <w:szCs w:val="22"/>
        </w:rPr>
        <w:t xml:space="preserve"> określono poniższe wskaźniki</w:t>
      </w:r>
      <w:r w:rsidRPr="006A0FA8">
        <w:rPr>
          <w:rFonts w:asciiTheme="minorHAnsi" w:hAnsiTheme="minorHAnsi"/>
          <w:b/>
          <w:szCs w:val="22"/>
        </w:rPr>
        <w:t xml:space="preserve"> rezultatu bezpośredniego</w:t>
      </w:r>
      <w:r w:rsidRPr="006A0FA8">
        <w:rPr>
          <w:rFonts w:asciiTheme="minorHAnsi" w:hAnsiTheme="minorHAnsi"/>
          <w:szCs w:val="22"/>
        </w:rPr>
        <w:t>:</w:t>
      </w:r>
    </w:p>
    <w:tbl>
      <w:tblPr>
        <w:tblW w:w="5059" w:type="pct"/>
        <w:jc w:val="center"/>
        <w:tblInd w:w="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26"/>
        <w:gridCol w:w="1135"/>
        <w:gridCol w:w="4231"/>
        <w:gridCol w:w="1906"/>
      </w:tblGrid>
      <w:tr w:rsidR="006A0FA8" w:rsidRPr="006A0FA8" w:rsidTr="00B21BBC">
        <w:trPr>
          <w:trHeight w:val="20"/>
          <w:jc w:val="center"/>
        </w:trPr>
        <w:tc>
          <w:tcPr>
            <w:tcW w:w="1131" w:type="pct"/>
            <w:shd w:val="clear" w:color="auto" w:fill="auto"/>
            <w:vAlign w:val="center"/>
          </w:tcPr>
          <w:p w:rsidR="006A0FA8" w:rsidRPr="006A0FA8" w:rsidRDefault="006A0FA8" w:rsidP="00F95877">
            <w:pPr>
              <w:spacing w:before="0" w:line="240" w:lineRule="auto"/>
              <w:jc w:val="center"/>
              <w:rPr>
                <w:rFonts w:asciiTheme="minorHAnsi" w:hAnsiTheme="minorHAnsi"/>
                <w:b/>
                <w:szCs w:val="22"/>
              </w:rPr>
            </w:pPr>
            <w:r w:rsidRPr="006A0FA8">
              <w:rPr>
                <w:rFonts w:asciiTheme="minorHAnsi" w:hAnsiTheme="minorHAnsi"/>
                <w:b/>
                <w:szCs w:val="22"/>
              </w:rPr>
              <w:t>Nazwa wskaźnika rezultatu bezpośredniego</w:t>
            </w:r>
          </w:p>
        </w:tc>
        <w:tc>
          <w:tcPr>
            <w:tcW w:w="604" w:type="pct"/>
            <w:vAlign w:val="center"/>
          </w:tcPr>
          <w:p w:rsidR="006A0FA8" w:rsidRPr="006A0FA8" w:rsidRDefault="006A0FA8" w:rsidP="00D22F8E">
            <w:pPr>
              <w:suppressAutoHyphens/>
              <w:spacing w:before="0" w:line="240" w:lineRule="auto"/>
              <w:jc w:val="center"/>
              <w:rPr>
                <w:rFonts w:asciiTheme="minorHAnsi" w:hAnsiTheme="minorHAnsi"/>
                <w:b/>
                <w:bCs/>
                <w:szCs w:val="22"/>
              </w:rPr>
            </w:pPr>
            <w:r w:rsidRPr="006A0FA8">
              <w:rPr>
                <w:rFonts w:asciiTheme="minorHAnsi" w:hAnsiTheme="minorHAnsi"/>
                <w:b/>
                <w:bCs/>
                <w:szCs w:val="22"/>
              </w:rPr>
              <w:t>Jedn</w:t>
            </w:r>
            <w:r w:rsidR="00F95877">
              <w:rPr>
                <w:rFonts w:asciiTheme="minorHAnsi" w:hAnsiTheme="minorHAnsi"/>
                <w:b/>
                <w:bCs/>
                <w:szCs w:val="22"/>
              </w:rPr>
              <w:t>.</w:t>
            </w:r>
            <w:r w:rsidR="00B21BBC">
              <w:rPr>
                <w:rFonts w:asciiTheme="minorHAnsi" w:hAnsiTheme="minorHAnsi"/>
                <w:b/>
                <w:bCs/>
                <w:szCs w:val="22"/>
              </w:rPr>
              <w:t xml:space="preserve"> </w:t>
            </w:r>
            <w:r w:rsidRPr="006A0FA8">
              <w:rPr>
                <w:rFonts w:asciiTheme="minorHAnsi" w:hAnsiTheme="minorHAnsi"/>
                <w:b/>
                <w:bCs/>
                <w:szCs w:val="22"/>
              </w:rPr>
              <w:t>miary</w:t>
            </w:r>
          </w:p>
        </w:tc>
        <w:tc>
          <w:tcPr>
            <w:tcW w:w="2251" w:type="pct"/>
            <w:shd w:val="clear" w:color="auto" w:fill="auto"/>
            <w:vAlign w:val="center"/>
          </w:tcPr>
          <w:p w:rsidR="006A0FA8" w:rsidRPr="006A0FA8" w:rsidRDefault="006A0FA8" w:rsidP="00F95877">
            <w:pPr>
              <w:suppressAutoHyphens/>
              <w:spacing w:before="0" w:line="240" w:lineRule="auto"/>
              <w:jc w:val="center"/>
              <w:rPr>
                <w:rFonts w:asciiTheme="minorHAnsi" w:hAnsiTheme="minorHAnsi"/>
                <w:b/>
                <w:szCs w:val="22"/>
              </w:rPr>
            </w:pPr>
            <w:r w:rsidRPr="006A0FA8">
              <w:rPr>
                <w:rFonts w:asciiTheme="minorHAnsi" w:hAnsiTheme="minorHAnsi"/>
                <w:b/>
                <w:bCs/>
                <w:szCs w:val="22"/>
              </w:rPr>
              <w:t>Definicja wskaźnika</w:t>
            </w:r>
          </w:p>
        </w:tc>
        <w:tc>
          <w:tcPr>
            <w:tcW w:w="1014" w:type="pct"/>
            <w:vAlign w:val="center"/>
          </w:tcPr>
          <w:p w:rsidR="006A0FA8" w:rsidRPr="006A0FA8" w:rsidRDefault="006A0FA8" w:rsidP="00D22F8E">
            <w:pPr>
              <w:suppressAutoHyphens/>
              <w:spacing w:before="0" w:line="240" w:lineRule="auto"/>
              <w:jc w:val="center"/>
              <w:rPr>
                <w:rFonts w:asciiTheme="minorHAnsi" w:hAnsiTheme="minorHAnsi"/>
                <w:b/>
                <w:bCs/>
                <w:szCs w:val="22"/>
              </w:rPr>
            </w:pPr>
            <w:r w:rsidRPr="006A0FA8">
              <w:rPr>
                <w:rFonts w:asciiTheme="minorHAnsi" w:hAnsiTheme="minorHAnsi"/>
                <w:b/>
                <w:bCs/>
                <w:szCs w:val="22"/>
              </w:rPr>
              <w:t>Rodzaj dokumentu, w którym określono wskaźnik</w:t>
            </w:r>
          </w:p>
        </w:tc>
      </w:tr>
      <w:tr w:rsidR="00045A17" w:rsidRPr="006A0FA8" w:rsidTr="007C0706">
        <w:trPr>
          <w:trHeight w:val="20"/>
          <w:jc w:val="center"/>
        </w:trPr>
        <w:tc>
          <w:tcPr>
            <w:tcW w:w="1131" w:type="pct"/>
            <w:shd w:val="clear" w:color="auto" w:fill="auto"/>
          </w:tcPr>
          <w:p w:rsidR="00045A17" w:rsidRPr="00D22F8E" w:rsidRDefault="00455EB6" w:rsidP="00D22F8E">
            <w:pPr>
              <w:autoSpaceDE w:val="0"/>
              <w:autoSpaceDN w:val="0"/>
              <w:adjustRightInd w:val="0"/>
              <w:spacing w:before="0" w:line="240" w:lineRule="auto"/>
              <w:contextualSpacing/>
              <w:rPr>
                <w:rFonts w:asciiTheme="minorHAnsi" w:hAnsiTheme="minorHAnsi" w:cs="ArialNarrow"/>
                <w:sz w:val="20"/>
              </w:rPr>
            </w:pPr>
            <w:r w:rsidRPr="00D22F8E">
              <w:rPr>
                <w:rFonts w:asciiTheme="minorHAnsi" w:hAnsiTheme="minorHAnsi" w:cs="ArialNarrow"/>
                <w:sz w:val="20"/>
              </w:rPr>
              <w:t xml:space="preserve">Liczba miast, w których podjęto działania związane z zabezpieczeniem przed niekorzystnymi zjawiskami pogodowymi </w:t>
            </w:r>
          </w:p>
        </w:tc>
        <w:tc>
          <w:tcPr>
            <w:tcW w:w="604" w:type="pct"/>
          </w:tcPr>
          <w:p w:rsidR="00045A17" w:rsidRPr="00D22F8E" w:rsidRDefault="00455EB6" w:rsidP="00D22F8E">
            <w:pPr>
              <w:spacing w:before="0" w:line="240" w:lineRule="auto"/>
              <w:jc w:val="center"/>
              <w:rPr>
                <w:rFonts w:asciiTheme="minorHAnsi" w:hAnsiTheme="minorHAnsi" w:cs="ArialNarrow"/>
                <w:sz w:val="20"/>
              </w:rPr>
            </w:pPr>
            <w:r w:rsidRPr="00D22F8E">
              <w:rPr>
                <w:rFonts w:asciiTheme="minorHAnsi" w:hAnsiTheme="minorHAnsi" w:cs="ArialNarrow"/>
                <w:sz w:val="20"/>
              </w:rPr>
              <w:t>szt.</w:t>
            </w:r>
          </w:p>
        </w:tc>
        <w:tc>
          <w:tcPr>
            <w:tcW w:w="2251" w:type="pct"/>
            <w:shd w:val="clear" w:color="auto" w:fill="auto"/>
          </w:tcPr>
          <w:p w:rsidR="00045A17" w:rsidRPr="00D22F8E" w:rsidRDefault="007C0706" w:rsidP="007C0706">
            <w:pPr>
              <w:pStyle w:val="Default"/>
              <w:rPr>
                <w:rFonts w:asciiTheme="minorHAnsi" w:hAnsiTheme="minorHAnsi"/>
              </w:rPr>
            </w:pPr>
            <w:r w:rsidRPr="00D22F8E">
              <w:rPr>
                <w:rFonts w:asciiTheme="minorHAnsi" w:hAnsiTheme="minorHAnsi" w:cs="ArialNarrow"/>
              </w:rPr>
              <w:t>Liczba miast, w których podjęto działania związane z zabezpieczeniem przed niekorzystnymi zjawiskami pogodowymi</w:t>
            </w:r>
          </w:p>
        </w:tc>
        <w:tc>
          <w:tcPr>
            <w:tcW w:w="1014" w:type="pct"/>
          </w:tcPr>
          <w:p w:rsidR="00AC7B21" w:rsidRPr="00D22F8E" w:rsidRDefault="00045A17" w:rsidP="00D22F8E">
            <w:pPr>
              <w:spacing w:before="0" w:line="240" w:lineRule="auto"/>
              <w:jc w:val="center"/>
              <w:rPr>
                <w:rFonts w:asciiTheme="minorHAnsi" w:hAnsiTheme="minorHAnsi"/>
                <w:sz w:val="20"/>
              </w:rPr>
            </w:pPr>
            <w:r w:rsidRPr="00D22F8E">
              <w:rPr>
                <w:rFonts w:asciiTheme="minorHAnsi" w:hAnsiTheme="minorHAnsi"/>
                <w:sz w:val="20"/>
              </w:rPr>
              <w:t>RPO WD</w:t>
            </w:r>
          </w:p>
          <w:p w:rsidR="00045A17" w:rsidRPr="00D22F8E" w:rsidRDefault="00045A17" w:rsidP="00D22F8E">
            <w:pPr>
              <w:spacing w:before="0" w:line="240" w:lineRule="auto"/>
              <w:jc w:val="center"/>
              <w:rPr>
                <w:rFonts w:asciiTheme="minorHAnsi" w:hAnsiTheme="minorHAnsi"/>
                <w:sz w:val="20"/>
              </w:rPr>
            </w:pPr>
            <w:r w:rsidRPr="00D22F8E">
              <w:rPr>
                <w:rFonts w:asciiTheme="minorHAnsi" w:hAnsiTheme="minorHAnsi"/>
                <w:sz w:val="20"/>
              </w:rPr>
              <w:t>2014-2020</w:t>
            </w:r>
          </w:p>
        </w:tc>
      </w:tr>
      <w:tr w:rsidR="00045A17" w:rsidRPr="006A0FA8" w:rsidTr="00B21BBC">
        <w:trPr>
          <w:trHeight w:val="973"/>
          <w:jc w:val="center"/>
        </w:trPr>
        <w:tc>
          <w:tcPr>
            <w:tcW w:w="1131" w:type="pct"/>
            <w:tcBorders>
              <w:top w:val="single" w:sz="6" w:space="0" w:color="000000" w:themeColor="text1"/>
              <w:left w:val="single" w:sz="8" w:space="0" w:color="000000" w:themeColor="text1"/>
              <w:bottom w:val="single" w:sz="4" w:space="0" w:color="auto"/>
              <w:right w:val="single" w:sz="6" w:space="0" w:color="000000" w:themeColor="text1"/>
            </w:tcBorders>
            <w:shd w:val="clear" w:color="auto" w:fill="auto"/>
          </w:tcPr>
          <w:p w:rsidR="00045A17" w:rsidRPr="00D22F8E" w:rsidRDefault="00045A17" w:rsidP="00D22F8E">
            <w:pPr>
              <w:autoSpaceDE w:val="0"/>
              <w:autoSpaceDN w:val="0"/>
              <w:adjustRightInd w:val="0"/>
              <w:spacing w:before="0" w:line="240" w:lineRule="auto"/>
              <w:rPr>
                <w:rFonts w:asciiTheme="minorHAnsi" w:hAnsiTheme="minorHAnsi" w:cs="ArialNarrow"/>
                <w:sz w:val="20"/>
              </w:rPr>
            </w:pPr>
            <w:bookmarkStart w:id="3" w:name="_GoBack"/>
            <w:bookmarkEnd w:id="3"/>
            <w:r w:rsidRPr="00D22F8E">
              <w:rPr>
                <w:rFonts w:asciiTheme="minorHAnsi" w:hAnsiTheme="minorHAnsi" w:cs="ArialNarrow"/>
                <w:sz w:val="20"/>
              </w:rPr>
              <w:t>Wzrost zatrudnienia we wspieranych podmiotach (innych niż przedsiębiorstwa)</w:t>
            </w:r>
          </w:p>
          <w:p w:rsidR="00045A17" w:rsidRPr="00D22F8E" w:rsidRDefault="00045A17" w:rsidP="00D22F8E">
            <w:pPr>
              <w:autoSpaceDE w:val="0"/>
              <w:autoSpaceDN w:val="0"/>
              <w:adjustRightInd w:val="0"/>
              <w:spacing w:before="0" w:line="240" w:lineRule="auto"/>
              <w:rPr>
                <w:rFonts w:asciiTheme="minorHAnsi" w:hAnsiTheme="minorHAnsi" w:cs="ArialNarrow"/>
                <w:sz w:val="20"/>
              </w:rPr>
            </w:pPr>
            <w:r w:rsidRPr="00D22F8E">
              <w:rPr>
                <w:rFonts w:asciiTheme="minorHAnsi" w:hAnsiTheme="minorHAnsi" w:cs="ArialNarrow"/>
                <w:sz w:val="20"/>
              </w:rPr>
              <w:t>O/K/M</w:t>
            </w:r>
          </w:p>
        </w:tc>
        <w:tc>
          <w:tcPr>
            <w:tcW w:w="604" w:type="pct"/>
            <w:tcBorders>
              <w:top w:val="single" w:sz="6" w:space="0" w:color="000000" w:themeColor="text1"/>
              <w:left w:val="single" w:sz="6" w:space="0" w:color="000000" w:themeColor="text1"/>
              <w:bottom w:val="single" w:sz="4" w:space="0" w:color="auto"/>
              <w:right w:val="single" w:sz="6" w:space="0" w:color="000000" w:themeColor="text1"/>
            </w:tcBorders>
          </w:tcPr>
          <w:p w:rsidR="00045A17" w:rsidRPr="00D22F8E" w:rsidRDefault="00045A17" w:rsidP="00D22F8E">
            <w:pPr>
              <w:spacing w:before="0" w:line="240" w:lineRule="auto"/>
              <w:jc w:val="center"/>
              <w:rPr>
                <w:rFonts w:asciiTheme="minorHAnsi" w:hAnsiTheme="minorHAnsi" w:cs="ArialNarrow"/>
                <w:sz w:val="20"/>
              </w:rPr>
            </w:pPr>
            <w:r w:rsidRPr="00D22F8E">
              <w:rPr>
                <w:rFonts w:asciiTheme="minorHAnsi" w:hAnsiTheme="minorHAnsi" w:cs="ArialNarrow"/>
                <w:sz w:val="20"/>
              </w:rPr>
              <w:t>EPC</w:t>
            </w:r>
          </w:p>
        </w:tc>
        <w:tc>
          <w:tcPr>
            <w:tcW w:w="2251" w:type="pct"/>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vAlign w:val="center"/>
          </w:tcPr>
          <w:p w:rsidR="00045A17" w:rsidRPr="00D22F8E" w:rsidRDefault="00045A17" w:rsidP="00D22F8E">
            <w:pPr>
              <w:spacing w:line="240" w:lineRule="auto"/>
              <w:rPr>
                <w:rFonts w:asciiTheme="minorHAnsi" w:hAnsiTheme="minorHAnsi"/>
                <w:sz w:val="20"/>
              </w:rPr>
            </w:pPr>
            <w:r w:rsidRPr="00D22F8E">
              <w:rPr>
                <w:rFonts w:asciiTheme="minorHAnsi" w:hAnsiTheme="minorHAnsi"/>
                <w:sz w:val="20"/>
              </w:rPr>
              <w:t xml:space="preserve">Nowe miejsca pracy brutto we wspartych  podmiotach wyrażone w ekwiwalencie pełnego czasu pracy (EPC). </w:t>
            </w:r>
          </w:p>
          <w:p w:rsidR="00045A17" w:rsidRPr="00D22F8E" w:rsidRDefault="00045A17" w:rsidP="00D22F8E">
            <w:pPr>
              <w:spacing w:line="240" w:lineRule="auto"/>
              <w:rPr>
                <w:rFonts w:asciiTheme="minorHAnsi" w:hAnsiTheme="minorHAnsi"/>
                <w:sz w:val="20"/>
              </w:rPr>
            </w:pPr>
            <w:r w:rsidRPr="00D22F8E">
              <w:rPr>
                <w:rFonts w:asciiTheme="minorHAnsi" w:hAnsiTheme="minorHAnsi"/>
                <w:sz w:val="20"/>
              </w:rPr>
              <w:t xml:space="preserve">Wskaźnik ukazuje zmianę "przed-po" </w:t>
            </w:r>
            <w:r w:rsidRPr="00D22F8E">
              <w:rPr>
                <w:rFonts w:asciiTheme="minorHAnsi" w:hAnsiTheme="minorHAnsi"/>
                <w:sz w:val="20"/>
              </w:rPr>
              <w:br/>
              <w:t xml:space="preserve">i obejmuje część wzrostu zatrudnienia </w:t>
            </w:r>
            <w:r w:rsidRPr="00D22F8E">
              <w:rPr>
                <w:rFonts w:asciiTheme="minorHAnsi" w:hAnsiTheme="minorHAnsi"/>
                <w:sz w:val="20"/>
              </w:rPr>
              <w:br/>
              <w:t xml:space="preserve">w podmiocie będącego bezpośrednim skutkiem zakończenia realizacji projektu (nie są wliczani pracownicy zatrudnieni do realizacji projektu). </w:t>
            </w:r>
          </w:p>
          <w:p w:rsidR="00045A17" w:rsidRPr="00D22F8E" w:rsidRDefault="00045A17" w:rsidP="00D22F8E">
            <w:pPr>
              <w:spacing w:after="240" w:line="240" w:lineRule="auto"/>
              <w:rPr>
                <w:rFonts w:asciiTheme="minorHAnsi" w:hAnsiTheme="minorHAnsi"/>
                <w:sz w:val="20"/>
              </w:rPr>
            </w:pPr>
            <w:r w:rsidRPr="00D22F8E">
              <w:rPr>
                <w:rFonts w:asciiTheme="minorHAnsi" w:hAnsiTheme="minorHAnsi"/>
                <w:sz w:val="20"/>
              </w:rPr>
              <w:t xml:space="preserve">Uwzględnia się obsadzone miejsca pracy (wakaty nie są liczone), które zwiększają łączną liczbę miejsc pracy w podmiocie. Brak wzrostu w całkowitym zatrudnieniu </w:t>
            </w:r>
            <w:r w:rsidRPr="00D22F8E">
              <w:rPr>
                <w:rFonts w:asciiTheme="minorHAnsi" w:hAnsiTheme="minorHAnsi"/>
                <w:sz w:val="20"/>
              </w:rPr>
              <w:br/>
              <w:t>w podmiocie oznacza, że wartość wskaźnika jest równa zero, co traktuje się jako wyrównanie miejsc pracy, a nie wzrost. Nie wlicza się miejsc pracy, np. utrzymanych dzięki realizacji projektu.</w:t>
            </w:r>
          </w:p>
          <w:p w:rsidR="00045A17" w:rsidRPr="00D22F8E" w:rsidRDefault="00045A17" w:rsidP="00D22F8E">
            <w:pPr>
              <w:spacing w:after="240" w:line="240" w:lineRule="auto"/>
              <w:rPr>
                <w:rFonts w:asciiTheme="minorHAnsi" w:hAnsiTheme="minorHAnsi"/>
                <w:sz w:val="20"/>
              </w:rPr>
            </w:pPr>
            <w:r w:rsidRPr="00D22F8E">
              <w:rPr>
                <w:rFonts w:asciiTheme="minorHAnsi" w:hAnsiTheme="minorHAnsi"/>
                <w:sz w:val="20"/>
              </w:rPr>
              <w:lastRenderedPageBreak/>
              <w:t>Brutto: Nie uwzględniamy miejsca pracy otrzymanego w wyniku zmian wewnątrz podmiocie, dopóki nie przyczyni się to do całkowitego wzrostu liczby miejsc pracy.. Wskaźnik powinien być zastosowany, jeżeli wzrost zatrudnienia może być wiarygodnie przypisany do wsparcia w ramach projektu.</w:t>
            </w:r>
          </w:p>
          <w:p w:rsidR="00045A17" w:rsidRPr="00D22F8E" w:rsidRDefault="00045A17" w:rsidP="00D22F8E">
            <w:pPr>
              <w:spacing w:line="240" w:lineRule="auto"/>
              <w:rPr>
                <w:rFonts w:asciiTheme="minorHAnsi" w:hAnsiTheme="minorHAnsi"/>
                <w:sz w:val="20"/>
              </w:rPr>
            </w:pPr>
            <w:r w:rsidRPr="00D22F8E">
              <w:rPr>
                <w:rFonts w:asciiTheme="minorHAnsi" w:hAnsiTheme="minorHAnsi"/>
                <w:sz w:val="20"/>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D22F8E">
              <w:rPr>
                <w:rFonts w:asciiTheme="minorHAnsi" w:hAnsiTheme="minorHAnsi"/>
                <w:sz w:val="20"/>
              </w:rPr>
              <w:br/>
              <w:t xml:space="preserve">z wykorzystaniem standardów ILO (Międzynarodowa Organizacja Pracy)/ statystycznych/innych. </w:t>
            </w:r>
          </w:p>
          <w:p w:rsidR="00045A17" w:rsidRPr="00D22F8E" w:rsidRDefault="00045A17" w:rsidP="00D22F8E">
            <w:pPr>
              <w:spacing w:line="240" w:lineRule="auto"/>
              <w:rPr>
                <w:rFonts w:asciiTheme="minorHAnsi" w:hAnsiTheme="minorHAnsi"/>
                <w:color w:val="333399"/>
                <w:sz w:val="20"/>
              </w:rPr>
            </w:pPr>
          </w:p>
        </w:tc>
        <w:tc>
          <w:tcPr>
            <w:tcW w:w="1014" w:type="pct"/>
            <w:tcBorders>
              <w:top w:val="single" w:sz="6" w:space="0" w:color="000000" w:themeColor="text1"/>
              <w:left w:val="single" w:sz="6" w:space="0" w:color="000000" w:themeColor="text1"/>
              <w:bottom w:val="single" w:sz="4" w:space="0" w:color="auto"/>
              <w:right w:val="single" w:sz="8" w:space="0" w:color="000000" w:themeColor="text1"/>
            </w:tcBorders>
          </w:tcPr>
          <w:p w:rsidR="00045A17" w:rsidRPr="00D22F8E" w:rsidRDefault="00045A17" w:rsidP="00D22F8E">
            <w:pPr>
              <w:spacing w:line="240" w:lineRule="auto"/>
              <w:jc w:val="center"/>
              <w:rPr>
                <w:rFonts w:asciiTheme="minorHAnsi" w:hAnsiTheme="minorHAnsi"/>
                <w:sz w:val="20"/>
              </w:rPr>
            </w:pPr>
            <w:r w:rsidRPr="00D22F8E">
              <w:rPr>
                <w:rFonts w:asciiTheme="minorHAnsi" w:hAnsiTheme="minorHAnsi"/>
                <w:sz w:val="20"/>
              </w:rPr>
              <w:lastRenderedPageBreak/>
              <w:t>horyzontalny</w:t>
            </w:r>
          </w:p>
        </w:tc>
      </w:tr>
      <w:tr w:rsidR="00DD6FA0" w:rsidRPr="00DD6FA0" w:rsidTr="00B21BBC">
        <w:trPr>
          <w:trHeight w:val="973"/>
          <w:jc w:val="center"/>
        </w:trPr>
        <w:tc>
          <w:tcPr>
            <w:tcW w:w="1131" w:type="pct"/>
            <w:tcBorders>
              <w:top w:val="single" w:sz="6" w:space="0" w:color="000000" w:themeColor="text1"/>
              <w:left w:val="single" w:sz="8" w:space="0" w:color="000000" w:themeColor="text1"/>
              <w:bottom w:val="single" w:sz="4" w:space="0" w:color="auto"/>
              <w:right w:val="single" w:sz="6" w:space="0" w:color="000000" w:themeColor="text1"/>
            </w:tcBorders>
            <w:shd w:val="clear" w:color="auto" w:fill="auto"/>
          </w:tcPr>
          <w:p w:rsidR="00DD6FA0" w:rsidRPr="00D22F8E" w:rsidRDefault="00DD6FA0" w:rsidP="00D22F8E">
            <w:pPr>
              <w:autoSpaceDE w:val="0"/>
              <w:autoSpaceDN w:val="0"/>
              <w:adjustRightInd w:val="0"/>
              <w:spacing w:before="0" w:line="240" w:lineRule="auto"/>
              <w:rPr>
                <w:rFonts w:asciiTheme="minorHAnsi" w:hAnsiTheme="minorHAnsi" w:cs="ArialNarrow"/>
                <w:sz w:val="20"/>
              </w:rPr>
            </w:pPr>
            <w:r w:rsidRPr="00D22F8E">
              <w:rPr>
                <w:rFonts w:asciiTheme="minorHAnsi" w:hAnsiTheme="minorHAnsi" w:cs="ArialNarrow"/>
                <w:sz w:val="20"/>
              </w:rPr>
              <w:lastRenderedPageBreak/>
              <w:t>Wzrost zatrudnienia we wspieranych przedsiębiorstwach O/K/M</w:t>
            </w:r>
          </w:p>
        </w:tc>
        <w:tc>
          <w:tcPr>
            <w:tcW w:w="604" w:type="pct"/>
            <w:tcBorders>
              <w:top w:val="single" w:sz="6" w:space="0" w:color="000000" w:themeColor="text1"/>
              <w:left w:val="single" w:sz="6" w:space="0" w:color="000000" w:themeColor="text1"/>
              <w:bottom w:val="single" w:sz="4" w:space="0" w:color="auto"/>
              <w:right w:val="single" w:sz="6" w:space="0" w:color="000000" w:themeColor="text1"/>
            </w:tcBorders>
          </w:tcPr>
          <w:p w:rsidR="00DD6FA0" w:rsidRPr="00D22F8E" w:rsidRDefault="00DD6FA0" w:rsidP="00D22F8E">
            <w:pPr>
              <w:spacing w:before="0" w:line="240" w:lineRule="auto"/>
              <w:jc w:val="center"/>
              <w:rPr>
                <w:rFonts w:asciiTheme="minorHAnsi" w:hAnsiTheme="minorHAnsi" w:cs="ArialNarrow"/>
                <w:sz w:val="20"/>
              </w:rPr>
            </w:pPr>
            <w:r w:rsidRPr="00D22F8E">
              <w:rPr>
                <w:rFonts w:asciiTheme="minorHAnsi" w:hAnsiTheme="minorHAnsi" w:cs="ArialNarrow"/>
                <w:sz w:val="20"/>
              </w:rPr>
              <w:t>EPC</w:t>
            </w:r>
          </w:p>
        </w:tc>
        <w:tc>
          <w:tcPr>
            <w:tcW w:w="2251" w:type="pct"/>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vAlign w:val="center"/>
          </w:tcPr>
          <w:p w:rsidR="00DD6FA0" w:rsidRPr="00D22F8E" w:rsidRDefault="00DD6FA0" w:rsidP="00D22F8E">
            <w:pPr>
              <w:spacing w:line="240" w:lineRule="auto"/>
              <w:rPr>
                <w:rFonts w:asciiTheme="minorHAnsi" w:hAnsiTheme="minorHAnsi"/>
                <w:sz w:val="20"/>
              </w:rPr>
            </w:pPr>
            <w:r w:rsidRPr="00D22F8E">
              <w:rPr>
                <w:rFonts w:asciiTheme="minorHAnsi" w:hAnsiTheme="minorHAnsi"/>
                <w:sz w:val="20"/>
              </w:rPr>
              <w:t xml:space="preserve">Nowe miejsca pracy brutto we wspartych  przedsiębiorstwach wyrażone w ekwiwalencie pełnego czasu pracy (EPC). </w:t>
            </w:r>
          </w:p>
          <w:p w:rsidR="00DD6FA0" w:rsidRPr="00D22F8E" w:rsidRDefault="00DD6FA0" w:rsidP="00D22F8E">
            <w:pPr>
              <w:spacing w:line="240" w:lineRule="auto"/>
              <w:rPr>
                <w:rFonts w:asciiTheme="minorHAnsi" w:hAnsiTheme="minorHAnsi"/>
                <w:sz w:val="20"/>
              </w:rPr>
            </w:pPr>
            <w:r w:rsidRPr="00D22F8E">
              <w:rPr>
                <w:rFonts w:asciiTheme="minorHAnsi" w:hAnsiTheme="minorHAnsi"/>
                <w:sz w:val="20"/>
              </w:rPr>
              <w:t xml:space="preserve">Wskaźnik ukazuje zmianę "przed-po" </w:t>
            </w:r>
            <w:r w:rsidRPr="00D22F8E">
              <w:rPr>
                <w:rFonts w:asciiTheme="minorHAnsi" w:hAnsiTheme="minorHAnsi"/>
                <w:sz w:val="20"/>
              </w:rPr>
              <w:br/>
              <w:t xml:space="preserve">i obejmuje część wzrostu zatrudnienia </w:t>
            </w:r>
            <w:r w:rsidRPr="00D22F8E">
              <w:rPr>
                <w:rFonts w:asciiTheme="minorHAnsi" w:hAnsiTheme="minorHAnsi"/>
                <w:sz w:val="20"/>
              </w:rPr>
              <w:br/>
              <w:t xml:space="preserve">w przedsiębiorstwie będącego bezpośrednim skutkiem zakończenia realizacji projektu (nie są wliczani pracownicy zatrudnieni do realizacji projektu). </w:t>
            </w:r>
          </w:p>
          <w:p w:rsidR="00DD6FA0" w:rsidRPr="00D22F8E" w:rsidRDefault="00DD6FA0" w:rsidP="00D22F8E">
            <w:pPr>
              <w:spacing w:after="240" w:line="240" w:lineRule="auto"/>
              <w:rPr>
                <w:rFonts w:asciiTheme="minorHAnsi" w:hAnsiTheme="minorHAnsi"/>
                <w:sz w:val="20"/>
              </w:rPr>
            </w:pPr>
            <w:r w:rsidRPr="00D22F8E">
              <w:rPr>
                <w:rFonts w:asciiTheme="minorHAnsi" w:hAnsiTheme="minorHAnsi"/>
                <w:sz w:val="20"/>
              </w:rPr>
              <w:t xml:space="preserve">Uwzględnia się obsadzone miejsca pracy (wakaty nie są liczone), które zwiększają łączną liczbę miejsc pracy </w:t>
            </w:r>
            <w:r w:rsidRPr="00D22F8E">
              <w:rPr>
                <w:rFonts w:asciiTheme="minorHAnsi" w:hAnsiTheme="minorHAnsi"/>
                <w:sz w:val="20"/>
              </w:rPr>
              <w:br/>
              <w:t xml:space="preserve">w przedsiębiorstwie. Brak wzrostu </w:t>
            </w:r>
            <w:r w:rsidRPr="00D22F8E">
              <w:rPr>
                <w:rFonts w:asciiTheme="minorHAnsi" w:hAnsiTheme="minorHAnsi"/>
                <w:sz w:val="20"/>
              </w:rPr>
              <w:br/>
              <w:t xml:space="preserve">w całkowitym zatrudnieniu </w:t>
            </w:r>
            <w:r w:rsidRPr="00D22F8E">
              <w:rPr>
                <w:rFonts w:asciiTheme="minorHAnsi" w:hAnsiTheme="minorHAnsi"/>
                <w:sz w:val="20"/>
              </w:rPr>
              <w:br/>
              <w:t>w przedsiębiorstwie oznacza, że wartość wskaźnika jest równa zero, co traktuje się jako wyrównanie miejsc pracy, a nie wzrost. Nie wlicza się miejsc pracy, np. utrzymanych dzięki realizacji projektu.</w:t>
            </w:r>
          </w:p>
          <w:p w:rsidR="00DD6FA0" w:rsidRPr="00D22F8E" w:rsidRDefault="00DD6FA0" w:rsidP="00D22F8E">
            <w:pPr>
              <w:spacing w:after="240" w:line="240" w:lineRule="auto"/>
              <w:rPr>
                <w:rFonts w:asciiTheme="minorHAnsi" w:hAnsiTheme="minorHAnsi"/>
                <w:sz w:val="20"/>
              </w:rPr>
            </w:pPr>
            <w:r w:rsidRPr="00D22F8E">
              <w:rPr>
                <w:rFonts w:asciiTheme="minorHAnsi" w:hAnsiTheme="minorHAnsi"/>
                <w:sz w:val="20"/>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D22F8E">
              <w:rPr>
                <w:rFonts w:asciiTheme="minorHAnsi" w:hAnsiTheme="minorHAnsi"/>
                <w:sz w:val="20"/>
              </w:rPr>
              <w:br/>
              <w:t>w ramach projektu.</w:t>
            </w:r>
          </w:p>
          <w:p w:rsidR="00DD6FA0" w:rsidRPr="00D22F8E" w:rsidRDefault="00DD6FA0" w:rsidP="00D22F8E">
            <w:pPr>
              <w:spacing w:line="240" w:lineRule="auto"/>
              <w:rPr>
                <w:rFonts w:asciiTheme="minorHAnsi" w:hAnsiTheme="minorHAnsi"/>
                <w:i/>
                <w:sz w:val="20"/>
              </w:rPr>
            </w:pPr>
            <w:r w:rsidRPr="00D22F8E">
              <w:rPr>
                <w:rFonts w:asciiTheme="minorHAnsi" w:hAnsiTheme="minorHAnsi"/>
                <w:sz w:val="20"/>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D22F8E">
              <w:rPr>
                <w:rFonts w:asciiTheme="minorHAnsi" w:hAnsiTheme="minorHAnsi"/>
                <w:sz w:val="20"/>
              </w:rPr>
              <w:br/>
            </w:r>
            <w:r w:rsidRPr="00D22F8E">
              <w:rPr>
                <w:rFonts w:asciiTheme="minorHAnsi" w:hAnsiTheme="minorHAnsi"/>
                <w:sz w:val="20"/>
              </w:rPr>
              <w:lastRenderedPageBreak/>
              <w:t>z wykorzystaniem standardów ILO (Międzynarodowa Organizacja Pracy)/ statystycznych/innych.</w:t>
            </w:r>
            <w:r w:rsidRPr="00D22F8E">
              <w:rPr>
                <w:rFonts w:asciiTheme="minorHAnsi" w:hAnsiTheme="minorHAnsi"/>
                <w:i/>
                <w:sz w:val="20"/>
              </w:rPr>
              <w:t xml:space="preserve"> </w:t>
            </w:r>
          </w:p>
          <w:p w:rsidR="00DD6FA0" w:rsidRPr="00D22F8E" w:rsidRDefault="00DD6FA0" w:rsidP="00D22F8E">
            <w:pPr>
              <w:spacing w:line="240" w:lineRule="auto"/>
              <w:rPr>
                <w:rFonts w:asciiTheme="minorHAnsi" w:hAnsiTheme="minorHAnsi"/>
                <w:sz w:val="20"/>
                <w:lang w:val="en-US"/>
              </w:rPr>
            </w:pPr>
            <w:r w:rsidRPr="00D22F8E">
              <w:rPr>
                <w:rFonts w:asciiTheme="minorHAnsi" w:hAnsiTheme="minorHAnsi"/>
                <w:sz w:val="20"/>
                <w:lang w:val="en-US"/>
              </w:rPr>
              <w:t xml:space="preserve">Gross new working positions in supported enterprises in full time equivalents (FTE). </w:t>
            </w:r>
          </w:p>
          <w:p w:rsidR="00DD6FA0" w:rsidRPr="00D22F8E" w:rsidRDefault="00DD6FA0" w:rsidP="00D22F8E">
            <w:pPr>
              <w:spacing w:line="240" w:lineRule="auto"/>
              <w:rPr>
                <w:rFonts w:asciiTheme="minorHAnsi" w:hAnsiTheme="minorHAnsi"/>
                <w:sz w:val="20"/>
                <w:lang w:val="en-US"/>
              </w:rPr>
            </w:pPr>
            <w:r w:rsidRPr="00D22F8E">
              <w:rPr>
                <w:rFonts w:asciiTheme="minorHAnsi" w:hAnsiTheme="minorHAnsi"/>
                <w:sz w:val="20"/>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DD6FA0" w:rsidRPr="00D22F8E" w:rsidRDefault="00DD6FA0" w:rsidP="00D22F8E">
            <w:pPr>
              <w:spacing w:before="120" w:line="240" w:lineRule="auto"/>
              <w:rPr>
                <w:rFonts w:asciiTheme="minorHAnsi" w:hAnsiTheme="minorHAnsi"/>
                <w:sz w:val="20"/>
                <w:lang w:val="en-US"/>
              </w:rPr>
            </w:pPr>
            <w:r w:rsidRPr="00D22F8E">
              <w:rPr>
                <w:rFonts w:asciiTheme="minorHAnsi" w:hAnsiTheme="minorHAnsi"/>
                <w:sz w:val="20"/>
                <w:lang w:val="en-US"/>
              </w:rPr>
              <w:t xml:space="preserve">Gross: Not counting the origin of the jobholder as long as it directly contributes to the increase of total jobs in the </w:t>
            </w:r>
            <w:proofErr w:type="spellStart"/>
            <w:r w:rsidRPr="00D22F8E">
              <w:rPr>
                <w:rFonts w:asciiTheme="minorHAnsi" w:hAnsiTheme="minorHAnsi"/>
                <w:sz w:val="20"/>
                <w:lang w:val="en-US"/>
              </w:rPr>
              <w:t>organisation</w:t>
            </w:r>
            <w:proofErr w:type="spellEnd"/>
            <w:r w:rsidRPr="00D22F8E">
              <w:rPr>
                <w:rFonts w:asciiTheme="minorHAnsi" w:hAnsiTheme="minorHAnsi"/>
                <w:sz w:val="20"/>
                <w:lang w:val="en-US"/>
              </w:rPr>
              <w:t xml:space="preserve">. The indicator should be used if the employment increase can plausibly be attributed to the support. </w:t>
            </w:r>
          </w:p>
          <w:p w:rsidR="00DD6FA0" w:rsidRPr="00D22F8E" w:rsidRDefault="00DD6FA0" w:rsidP="00D22F8E">
            <w:pPr>
              <w:spacing w:line="240" w:lineRule="auto"/>
              <w:rPr>
                <w:rFonts w:asciiTheme="minorHAnsi" w:hAnsiTheme="minorHAnsi"/>
                <w:i/>
                <w:sz w:val="20"/>
                <w:lang w:val="en-US"/>
              </w:rPr>
            </w:pPr>
            <w:r w:rsidRPr="00D22F8E">
              <w:rPr>
                <w:rFonts w:asciiTheme="minorHAnsi" w:hAnsiTheme="minorHAnsi"/>
                <w:sz w:val="20"/>
                <w:lang w:val="en-US"/>
              </w:rPr>
              <w:t xml:space="preserve">Full-time equivalent: Jobs can be full time, </w:t>
            </w:r>
            <w:proofErr w:type="spellStart"/>
            <w:r w:rsidRPr="00D22F8E">
              <w:rPr>
                <w:rFonts w:asciiTheme="minorHAnsi" w:hAnsiTheme="minorHAnsi"/>
                <w:sz w:val="20"/>
                <w:lang w:val="en-US"/>
              </w:rPr>
              <w:t>parttime</w:t>
            </w:r>
            <w:proofErr w:type="spellEnd"/>
            <w:r w:rsidRPr="00D22F8E">
              <w:rPr>
                <w:rFonts w:asciiTheme="minorHAnsi" w:hAnsiTheme="minorHAnsi"/>
                <w:sz w:val="20"/>
                <w:lang w:val="en-US"/>
              </w:rPr>
              <w:t xml:space="preserve"> or seasonal. Seasonal and part time jobs are to be converted to FTE using ILO/statistical/other standards. </w:t>
            </w:r>
          </w:p>
        </w:tc>
        <w:tc>
          <w:tcPr>
            <w:tcW w:w="1014" w:type="pct"/>
            <w:tcBorders>
              <w:top w:val="single" w:sz="6" w:space="0" w:color="000000" w:themeColor="text1"/>
              <w:left w:val="single" w:sz="6" w:space="0" w:color="000000" w:themeColor="text1"/>
              <w:bottom w:val="single" w:sz="4" w:space="0" w:color="auto"/>
              <w:right w:val="single" w:sz="8" w:space="0" w:color="000000" w:themeColor="text1"/>
            </w:tcBorders>
          </w:tcPr>
          <w:p w:rsidR="00AC7B21" w:rsidRPr="00D22F8E" w:rsidRDefault="00DD6FA0" w:rsidP="00D22F8E">
            <w:pPr>
              <w:spacing w:before="0" w:line="240" w:lineRule="auto"/>
              <w:jc w:val="center"/>
              <w:rPr>
                <w:rFonts w:asciiTheme="minorHAnsi" w:hAnsiTheme="minorHAnsi"/>
                <w:sz w:val="20"/>
              </w:rPr>
            </w:pPr>
            <w:r w:rsidRPr="00D22F8E">
              <w:rPr>
                <w:rFonts w:asciiTheme="minorHAnsi" w:hAnsiTheme="minorHAnsi"/>
                <w:sz w:val="20"/>
              </w:rPr>
              <w:lastRenderedPageBreak/>
              <w:t>RPO WD</w:t>
            </w:r>
          </w:p>
          <w:p w:rsidR="00DD6FA0" w:rsidRPr="00D22F8E" w:rsidRDefault="00DD6FA0" w:rsidP="00D22F8E">
            <w:pPr>
              <w:spacing w:before="0" w:line="240" w:lineRule="auto"/>
              <w:jc w:val="center"/>
              <w:rPr>
                <w:rFonts w:asciiTheme="minorHAnsi" w:hAnsiTheme="minorHAnsi"/>
                <w:sz w:val="20"/>
                <w:lang w:val="en-US"/>
              </w:rPr>
            </w:pPr>
            <w:r w:rsidRPr="00D22F8E">
              <w:rPr>
                <w:rFonts w:asciiTheme="minorHAnsi" w:hAnsiTheme="minorHAnsi"/>
                <w:sz w:val="20"/>
              </w:rPr>
              <w:t>2014-2020</w:t>
            </w:r>
          </w:p>
        </w:tc>
      </w:tr>
      <w:tr w:rsidR="00DD6FA0" w:rsidRPr="006A0FA8" w:rsidTr="00B21BBC">
        <w:trPr>
          <w:cantSplit/>
          <w:trHeight w:val="20"/>
          <w:jc w:val="center"/>
        </w:trPr>
        <w:tc>
          <w:tcPr>
            <w:tcW w:w="1131"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E664B7" w:rsidRPr="00D22F8E" w:rsidRDefault="00DD6FA0" w:rsidP="00D22F8E">
            <w:pPr>
              <w:autoSpaceDE w:val="0"/>
              <w:autoSpaceDN w:val="0"/>
              <w:adjustRightInd w:val="0"/>
              <w:spacing w:before="0" w:line="240" w:lineRule="auto"/>
              <w:rPr>
                <w:rFonts w:asciiTheme="minorHAnsi" w:hAnsiTheme="minorHAnsi" w:cs="ArialNarrow"/>
                <w:sz w:val="20"/>
              </w:rPr>
            </w:pPr>
            <w:r w:rsidRPr="00D22F8E">
              <w:rPr>
                <w:rFonts w:asciiTheme="minorHAnsi" w:hAnsiTheme="minorHAnsi" w:cs="ArialNarrow"/>
                <w:sz w:val="20"/>
              </w:rPr>
              <w:lastRenderedPageBreak/>
              <w:t>Liczba utrzymanych miejsc pracy</w:t>
            </w:r>
            <w:r w:rsidR="00E664B7" w:rsidRPr="00D22F8E">
              <w:rPr>
                <w:rFonts w:asciiTheme="minorHAnsi" w:hAnsiTheme="minorHAnsi" w:cs="ArialNarrow"/>
                <w:sz w:val="20"/>
              </w:rPr>
              <w:t xml:space="preserve"> </w:t>
            </w:r>
          </w:p>
          <w:p w:rsidR="00DD6FA0" w:rsidRPr="00D22F8E" w:rsidRDefault="00E664B7" w:rsidP="00D22F8E">
            <w:pPr>
              <w:autoSpaceDE w:val="0"/>
              <w:autoSpaceDN w:val="0"/>
              <w:adjustRightInd w:val="0"/>
              <w:spacing w:before="0" w:line="240" w:lineRule="auto"/>
              <w:rPr>
                <w:rFonts w:asciiTheme="minorHAnsi" w:hAnsiTheme="minorHAnsi" w:cs="ArialNarrow"/>
                <w:sz w:val="20"/>
              </w:rPr>
            </w:pPr>
            <w:r w:rsidRPr="00D22F8E">
              <w:rPr>
                <w:rFonts w:asciiTheme="minorHAnsi" w:eastAsiaTheme="minorHAnsi" w:hAnsiTheme="minorHAnsi"/>
                <w:sz w:val="20"/>
                <w:lang w:eastAsia="en-US"/>
              </w:rPr>
              <w:t>O/K/M</w:t>
            </w:r>
          </w:p>
        </w:tc>
        <w:tc>
          <w:tcPr>
            <w:tcW w:w="60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D6FA0" w:rsidRPr="00D22F8E" w:rsidRDefault="00DD6FA0" w:rsidP="00D22F8E">
            <w:pPr>
              <w:spacing w:before="0" w:line="240" w:lineRule="auto"/>
              <w:jc w:val="center"/>
              <w:rPr>
                <w:rFonts w:asciiTheme="minorHAnsi" w:hAnsiTheme="minorHAnsi" w:cs="ArialNarrow"/>
                <w:sz w:val="20"/>
              </w:rPr>
            </w:pPr>
            <w:r w:rsidRPr="00D22F8E">
              <w:rPr>
                <w:rFonts w:asciiTheme="minorHAnsi" w:hAnsiTheme="minorHAnsi" w:cs="ArialNarrow"/>
                <w:sz w:val="20"/>
              </w:rPr>
              <w:t>EPC</w:t>
            </w:r>
          </w:p>
        </w:tc>
        <w:tc>
          <w:tcPr>
            <w:tcW w:w="225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DD6FA0" w:rsidRPr="00D22F8E" w:rsidRDefault="00DD6FA0" w:rsidP="00D22F8E">
            <w:pPr>
              <w:autoSpaceDE w:val="0"/>
              <w:autoSpaceDN w:val="0"/>
              <w:adjustRightInd w:val="0"/>
              <w:spacing w:before="0" w:line="240" w:lineRule="auto"/>
              <w:rPr>
                <w:rFonts w:asciiTheme="minorHAnsi" w:eastAsiaTheme="minorHAnsi" w:hAnsiTheme="minorHAnsi" w:cstheme="minorBidi"/>
                <w:sz w:val="20"/>
                <w:lang w:eastAsia="en-US"/>
              </w:rPr>
            </w:pPr>
            <w:r w:rsidRPr="00D22F8E">
              <w:rPr>
                <w:rFonts w:asciiTheme="minorHAnsi" w:eastAsiaTheme="minorHAnsi" w:hAnsiTheme="minorHAnsi" w:cstheme="minorBidi"/>
                <w:sz w:val="20"/>
                <w:lang w:eastAsia="en-US"/>
              </w:rPr>
              <w:t>Miejsca pracy utworzone w wyniku realizacji projektu, lecz nie powodują wzrostu zatrudnienia w organizacji</w:t>
            </w:r>
          </w:p>
          <w:p w:rsidR="00DD6FA0" w:rsidRPr="00D22F8E" w:rsidRDefault="00DD6FA0" w:rsidP="00D22F8E">
            <w:pPr>
              <w:spacing w:line="240" w:lineRule="auto"/>
              <w:rPr>
                <w:rFonts w:ascii="Arial Narrow" w:hAnsi="Arial Narrow"/>
                <w:color w:val="333399"/>
                <w:sz w:val="20"/>
              </w:rPr>
            </w:pPr>
          </w:p>
        </w:tc>
        <w:tc>
          <w:tcPr>
            <w:tcW w:w="1014"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DD6FA0" w:rsidRPr="00D22F8E" w:rsidRDefault="00DD6FA0" w:rsidP="00D22F8E">
            <w:pPr>
              <w:spacing w:line="240" w:lineRule="auto"/>
              <w:jc w:val="center"/>
              <w:rPr>
                <w:rFonts w:asciiTheme="minorHAnsi" w:hAnsiTheme="minorHAnsi"/>
                <w:sz w:val="20"/>
              </w:rPr>
            </w:pPr>
            <w:r w:rsidRPr="00D22F8E">
              <w:rPr>
                <w:rFonts w:asciiTheme="minorHAnsi" w:hAnsiTheme="minorHAnsi"/>
                <w:sz w:val="20"/>
              </w:rPr>
              <w:t>horyzontalny</w:t>
            </w:r>
          </w:p>
        </w:tc>
      </w:tr>
      <w:tr w:rsidR="00DD6FA0" w:rsidRPr="006A0FA8" w:rsidTr="00B21BBC">
        <w:trPr>
          <w:cantSplit/>
          <w:trHeight w:val="20"/>
          <w:jc w:val="center"/>
        </w:trPr>
        <w:tc>
          <w:tcPr>
            <w:tcW w:w="1131"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E664B7" w:rsidRPr="00D22F8E" w:rsidRDefault="00DD6FA0" w:rsidP="00D22F8E">
            <w:pPr>
              <w:autoSpaceDE w:val="0"/>
              <w:autoSpaceDN w:val="0"/>
              <w:adjustRightInd w:val="0"/>
              <w:spacing w:before="0" w:line="240" w:lineRule="auto"/>
              <w:rPr>
                <w:rFonts w:asciiTheme="minorHAnsi" w:hAnsiTheme="minorHAnsi" w:cs="ArialNarrow"/>
                <w:sz w:val="20"/>
              </w:rPr>
            </w:pPr>
            <w:r w:rsidRPr="00D22F8E">
              <w:rPr>
                <w:rFonts w:asciiTheme="minorHAnsi" w:hAnsiTheme="minorHAnsi" w:cs="ArialNarrow"/>
                <w:sz w:val="20"/>
              </w:rPr>
              <w:t xml:space="preserve">Liczba nowo utworzonych miejsc pracy - pozostałe formy </w:t>
            </w:r>
          </w:p>
          <w:p w:rsidR="00DD6FA0" w:rsidRPr="00D22F8E" w:rsidRDefault="00E664B7" w:rsidP="00D22F8E">
            <w:pPr>
              <w:autoSpaceDE w:val="0"/>
              <w:autoSpaceDN w:val="0"/>
              <w:adjustRightInd w:val="0"/>
              <w:spacing w:before="0" w:line="240" w:lineRule="auto"/>
              <w:rPr>
                <w:rFonts w:asciiTheme="minorHAnsi" w:hAnsiTheme="minorHAnsi" w:cs="ArialNarrow"/>
                <w:sz w:val="20"/>
              </w:rPr>
            </w:pPr>
            <w:r w:rsidRPr="00D22F8E">
              <w:rPr>
                <w:rFonts w:asciiTheme="minorHAnsi" w:eastAsiaTheme="minorHAnsi" w:hAnsiTheme="minorHAnsi"/>
                <w:sz w:val="20"/>
                <w:lang w:eastAsia="en-US"/>
              </w:rPr>
              <w:t>O/K/M</w:t>
            </w:r>
          </w:p>
        </w:tc>
        <w:tc>
          <w:tcPr>
            <w:tcW w:w="604"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DD6FA0" w:rsidRPr="00D22F8E" w:rsidRDefault="00DD6FA0" w:rsidP="00D22F8E">
            <w:pPr>
              <w:spacing w:before="0" w:line="240" w:lineRule="auto"/>
              <w:jc w:val="center"/>
              <w:rPr>
                <w:rFonts w:asciiTheme="minorHAnsi" w:hAnsiTheme="minorHAnsi" w:cs="ArialNarrow"/>
                <w:sz w:val="20"/>
              </w:rPr>
            </w:pPr>
            <w:r w:rsidRPr="00D22F8E">
              <w:rPr>
                <w:rFonts w:asciiTheme="minorHAnsi" w:hAnsiTheme="minorHAnsi" w:cs="ArialNarrow"/>
                <w:sz w:val="20"/>
              </w:rPr>
              <w:t>EPC</w:t>
            </w:r>
          </w:p>
        </w:tc>
        <w:tc>
          <w:tcPr>
            <w:tcW w:w="225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DD6FA0" w:rsidRPr="00D22F8E" w:rsidRDefault="00DD6FA0" w:rsidP="00D22F8E">
            <w:pPr>
              <w:autoSpaceDE w:val="0"/>
              <w:autoSpaceDN w:val="0"/>
              <w:adjustRightInd w:val="0"/>
              <w:spacing w:before="0" w:line="240" w:lineRule="auto"/>
              <w:rPr>
                <w:rFonts w:asciiTheme="minorHAnsi" w:eastAsiaTheme="minorHAnsi" w:hAnsiTheme="minorHAnsi" w:cs="Verdana"/>
                <w:sz w:val="20"/>
                <w:lang w:eastAsia="en-US"/>
              </w:rPr>
            </w:pPr>
            <w:r w:rsidRPr="00D22F8E">
              <w:rPr>
                <w:rFonts w:asciiTheme="minorHAnsi" w:eastAsiaTheme="minorHAnsi" w:hAnsiTheme="minorHAnsi" w:cstheme="minorBidi"/>
                <w:iCs/>
                <w:sz w:val="20"/>
                <w:lang w:eastAsia="en-US"/>
              </w:rPr>
              <w:t>Pozostałe formy</w:t>
            </w:r>
            <w:r w:rsidRPr="00D22F8E">
              <w:rPr>
                <w:rFonts w:asciiTheme="minorHAnsi" w:eastAsiaTheme="minorHAnsi" w:hAnsiTheme="minorHAnsi" w:cs="Verdana"/>
                <w:sz w:val="20"/>
                <w:lang w:eastAsia="en-US"/>
              </w:rPr>
              <w:t xml:space="preserve">, np. umowy cywilnoprawne, miejsca pracy do obsługi projektu, nietrwałe miejsca pracy </w:t>
            </w:r>
          </w:p>
          <w:p w:rsidR="00DD6FA0" w:rsidRPr="00D22F8E" w:rsidRDefault="00DD6FA0" w:rsidP="00D22F8E">
            <w:pPr>
              <w:spacing w:line="240" w:lineRule="auto"/>
              <w:rPr>
                <w:rFonts w:ascii="Arial Narrow" w:hAnsi="Arial Narrow"/>
                <w:color w:val="333399"/>
                <w:sz w:val="20"/>
              </w:rPr>
            </w:pPr>
          </w:p>
        </w:tc>
        <w:tc>
          <w:tcPr>
            <w:tcW w:w="1014"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DD6FA0" w:rsidRPr="00D22F8E" w:rsidRDefault="00DD6FA0" w:rsidP="00D22F8E">
            <w:pPr>
              <w:spacing w:line="240" w:lineRule="auto"/>
              <w:jc w:val="center"/>
              <w:rPr>
                <w:rFonts w:asciiTheme="minorHAnsi" w:hAnsiTheme="minorHAnsi"/>
                <w:sz w:val="20"/>
              </w:rPr>
            </w:pPr>
            <w:r w:rsidRPr="00D22F8E">
              <w:rPr>
                <w:rFonts w:asciiTheme="minorHAnsi" w:hAnsiTheme="minorHAnsi"/>
                <w:sz w:val="20"/>
              </w:rPr>
              <w:t>horyzontalny</w:t>
            </w:r>
          </w:p>
        </w:tc>
      </w:tr>
      <w:bookmarkEnd w:id="0"/>
      <w:bookmarkEnd w:id="1"/>
      <w:bookmarkEnd w:id="2"/>
    </w:tbl>
    <w:p w:rsidR="009F72BB" w:rsidRDefault="009F72BB" w:rsidP="008F1C36">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9F72BB" w:rsidRPr="00C912B2" w:rsidRDefault="009F72BB" w:rsidP="009F72BB">
      <w:pPr>
        <w:pStyle w:val="Default"/>
        <w:spacing w:after="120"/>
        <w:jc w:val="both"/>
        <w:rPr>
          <w:rFonts w:asciiTheme="minorHAnsi" w:hAnsiTheme="minorHAnsi"/>
          <w:sz w:val="22"/>
          <w:szCs w:val="22"/>
        </w:rPr>
      </w:pPr>
      <w:r w:rsidRPr="00C912B2">
        <w:rPr>
          <w:rFonts w:asciiTheme="minorHAnsi" w:hAnsiTheme="minorHAnsi"/>
          <w:sz w:val="22"/>
          <w:szCs w:val="22"/>
        </w:rPr>
        <w:t xml:space="preserve">Zgodnie z załącznikiem nr 2 „Lista Wskaźników do wykonania celów pośrednich oraz końcowych”  Aneksu Nr </w:t>
      </w:r>
      <w:r w:rsidR="006706C6">
        <w:rPr>
          <w:rFonts w:asciiTheme="minorHAnsi" w:hAnsiTheme="minorHAnsi"/>
          <w:sz w:val="22"/>
          <w:szCs w:val="22"/>
        </w:rPr>
        <w:t>6</w:t>
      </w:r>
      <w:r w:rsidRPr="00C912B2">
        <w:rPr>
          <w:rFonts w:asciiTheme="minorHAnsi" w:hAnsiTheme="minorHAnsi"/>
          <w:sz w:val="22"/>
          <w:szCs w:val="22"/>
        </w:rPr>
        <w:t xml:space="preserve"> (z dnia </w:t>
      </w:r>
      <w:r w:rsidR="006706C6">
        <w:rPr>
          <w:rFonts w:asciiTheme="minorHAnsi" w:hAnsiTheme="minorHAnsi"/>
          <w:sz w:val="22"/>
          <w:szCs w:val="22"/>
        </w:rPr>
        <w:t>8</w:t>
      </w:r>
      <w:r w:rsidRPr="00C912B2">
        <w:rPr>
          <w:rFonts w:asciiTheme="minorHAnsi" w:hAnsiTheme="minorHAnsi"/>
          <w:sz w:val="22"/>
          <w:szCs w:val="22"/>
        </w:rPr>
        <w:t xml:space="preserve"> </w:t>
      </w:r>
      <w:r w:rsidR="006706C6">
        <w:rPr>
          <w:rFonts w:asciiTheme="minorHAnsi" w:hAnsiTheme="minorHAnsi"/>
          <w:sz w:val="22"/>
          <w:szCs w:val="22"/>
        </w:rPr>
        <w:t xml:space="preserve">listopada </w:t>
      </w:r>
      <w:r w:rsidRPr="00C912B2">
        <w:rPr>
          <w:rFonts w:asciiTheme="minorHAnsi" w:hAnsiTheme="minorHAnsi"/>
          <w:sz w:val="22"/>
          <w:szCs w:val="22"/>
        </w:rPr>
        <w:t>201</w:t>
      </w:r>
      <w:r>
        <w:rPr>
          <w:rFonts w:asciiTheme="minorHAnsi" w:hAnsiTheme="minorHAnsi"/>
          <w:sz w:val="22"/>
          <w:szCs w:val="22"/>
        </w:rPr>
        <w:t>8</w:t>
      </w:r>
      <w:r w:rsidRPr="00C912B2">
        <w:rPr>
          <w:rFonts w:asciiTheme="minorHAnsi" w:hAnsiTheme="minorHAnsi"/>
          <w:sz w:val="22"/>
          <w:szCs w:val="22"/>
        </w:rPr>
        <w:t xml:space="preserve"> r.) do Porozumienia nr DEF-Z/986/15 z dnia 9 czerwca 2015 r. zawartego pomiędzy Województwem Dolnośląskim – Zarządem Województwa Dolnośląskiego, pełniącym funkcję IZ a Gminą Wrocław pełniącą funkcję Instytucji Pośredniczącej, wskaźniki produktu weryfikowane na etapie oceny zgodności ze Strategią ZIT </w:t>
      </w:r>
      <w:proofErr w:type="spellStart"/>
      <w:r w:rsidRPr="00C912B2">
        <w:rPr>
          <w:rFonts w:asciiTheme="minorHAnsi" w:hAnsiTheme="minorHAnsi"/>
          <w:sz w:val="22"/>
          <w:szCs w:val="22"/>
        </w:rPr>
        <w:t>WrOF</w:t>
      </w:r>
      <w:proofErr w:type="spellEnd"/>
      <w:r w:rsidRPr="00C912B2">
        <w:rPr>
          <w:rFonts w:asciiTheme="minorHAnsi" w:hAnsiTheme="minorHAnsi"/>
          <w:sz w:val="22"/>
          <w:szCs w:val="22"/>
        </w:rPr>
        <w:t xml:space="preserve"> są tożsame z wyżej wskazanymi tj.:</w:t>
      </w:r>
    </w:p>
    <w:p w:rsidR="006706C6" w:rsidRPr="006706C6" w:rsidRDefault="006706C6" w:rsidP="009F72BB">
      <w:pPr>
        <w:pStyle w:val="Akapitzlist"/>
        <w:numPr>
          <w:ilvl w:val="0"/>
          <w:numId w:val="18"/>
        </w:numPr>
        <w:autoSpaceDE w:val="0"/>
        <w:autoSpaceDN w:val="0"/>
        <w:adjustRightInd w:val="0"/>
        <w:spacing w:before="0" w:line="240" w:lineRule="auto"/>
        <w:contextualSpacing/>
        <w:jc w:val="both"/>
        <w:rPr>
          <w:rFonts w:asciiTheme="minorHAnsi" w:hAnsiTheme="minorHAnsi" w:cs="ArialNarrow"/>
          <w:szCs w:val="22"/>
        </w:rPr>
      </w:pPr>
      <w:r>
        <w:rPr>
          <w:rFonts w:asciiTheme="minorHAnsi" w:hAnsiTheme="minorHAnsi" w:cs="ArialNarrow"/>
          <w:szCs w:val="22"/>
        </w:rPr>
        <w:t>Długość sieci kanalizacji deszczowej</w:t>
      </w:r>
    </w:p>
    <w:p w:rsidR="009F72BB" w:rsidRPr="006706C6" w:rsidRDefault="006706C6" w:rsidP="009F72BB">
      <w:pPr>
        <w:pStyle w:val="Akapitzlist"/>
        <w:numPr>
          <w:ilvl w:val="0"/>
          <w:numId w:val="18"/>
        </w:numPr>
        <w:autoSpaceDE w:val="0"/>
        <w:autoSpaceDN w:val="0"/>
        <w:adjustRightInd w:val="0"/>
        <w:spacing w:before="0" w:line="240" w:lineRule="auto"/>
        <w:contextualSpacing/>
        <w:jc w:val="both"/>
        <w:rPr>
          <w:rFonts w:asciiTheme="minorHAnsi" w:hAnsiTheme="minorHAnsi" w:cs="ArialNarrow"/>
          <w:szCs w:val="22"/>
        </w:rPr>
      </w:pPr>
      <w:r>
        <w:rPr>
          <w:rFonts w:asciiTheme="minorHAnsi" w:hAnsiTheme="minorHAnsi" w:cs="Calibri"/>
          <w:szCs w:val="22"/>
        </w:rPr>
        <w:t>Pojemność obiektów małej retencji</w:t>
      </w:r>
      <w:r w:rsidR="009F72BB" w:rsidRPr="00C912B2">
        <w:rPr>
          <w:rFonts w:asciiTheme="minorHAnsi" w:hAnsiTheme="minorHAnsi" w:cs="Calibri"/>
          <w:szCs w:val="22"/>
        </w:rPr>
        <w:t xml:space="preserve"> </w:t>
      </w:r>
    </w:p>
    <w:p w:rsidR="009F72BB" w:rsidRDefault="009F72BB">
      <w:pPr>
        <w:spacing w:before="0" w:after="200" w:line="276" w:lineRule="auto"/>
        <w:rPr>
          <w:rFonts w:asciiTheme="minorHAnsi" w:eastAsiaTheme="minorHAnsi" w:hAnsiTheme="minorHAnsi" w:cs="Arial"/>
          <w:szCs w:val="22"/>
          <w:lang w:eastAsia="en-US"/>
        </w:rPr>
      </w:pPr>
    </w:p>
    <w:p w:rsidR="008F1C36" w:rsidRPr="00217AF8" w:rsidRDefault="008F1C36" w:rsidP="008F1C36">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8F1C36" w:rsidRPr="00217AF8" w:rsidRDefault="008F1C36" w:rsidP="008F1C36">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lastRenderedPageBreak/>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8F1C36" w:rsidRPr="00217AF8" w:rsidRDefault="008F1C36" w:rsidP="008F1C3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rsidR="008F1C36" w:rsidRPr="00217AF8" w:rsidRDefault="00E50E37" w:rsidP="008F1C36">
      <w:pPr>
        <w:spacing w:line="240" w:lineRule="auto"/>
        <w:jc w:val="both"/>
        <w:rPr>
          <w:rFonts w:asciiTheme="minorHAnsi" w:hAnsiTheme="minorHAnsi" w:cs="Arial"/>
          <w:b/>
          <w:szCs w:val="22"/>
          <w:u w:val="single"/>
        </w:rPr>
      </w:pPr>
      <w:r>
        <w:rPr>
          <w:rFonts w:asciiTheme="minorHAnsi" w:hAnsiTheme="minorHAnsi" w:cs="Arial"/>
          <w:b/>
          <w:szCs w:val="22"/>
          <w:u w:val="single"/>
        </w:rPr>
        <w:t>E</w:t>
      </w:r>
      <w:r w:rsidR="008F1C36" w:rsidRPr="00217AF8">
        <w:rPr>
          <w:rFonts w:asciiTheme="minorHAnsi" w:hAnsiTheme="minorHAnsi" w:cs="Arial"/>
          <w:b/>
          <w:szCs w:val="22"/>
          <w:u w:val="single"/>
        </w:rPr>
        <w:t xml:space="preserve">fekt wsparcia na poziomie projektu występuje: </w:t>
      </w:r>
    </w:p>
    <w:p w:rsidR="008F1C36" w:rsidRPr="00217AF8" w:rsidRDefault="008F1C36" w:rsidP="008F1C3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 dofinansowanie, przy czym osiągnięte wartości powinny zostać wykazane najpóźniej we wniosku o płatność końcową</w:t>
      </w:r>
      <w:r w:rsidR="00E50E37">
        <w:rPr>
          <w:rFonts w:asciiTheme="minorHAnsi" w:hAnsiTheme="minorHAnsi" w:cs="Arial"/>
          <w:b/>
          <w:szCs w:val="22"/>
          <w:u w:val="single"/>
        </w:rPr>
        <w:t xml:space="preserve"> </w:t>
      </w:r>
      <w:r w:rsidR="00E50E37">
        <w:rPr>
          <w:rFonts w:ascii="Calibri" w:hAnsi="Calibri" w:cs="Arial"/>
          <w:b/>
          <w:u w:val="single"/>
        </w:rPr>
        <w:t>oraz utrzymane w okresie trwałości projektu</w:t>
      </w:r>
      <w:r w:rsidRPr="00217AF8">
        <w:rPr>
          <w:rFonts w:asciiTheme="minorHAnsi" w:hAnsiTheme="minorHAnsi" w:cs="Arial"/>
          <w:b/>
          <w:szCs w:val="22"/>
          <w:u w:val="single"/>
        </w:rPr>
        <w:t xml:space="preserve">, </w:t>
      </w:r>
    </w:p>
    <w:p w:rsidR="008F1C36" w:rsidRPr="00217AF8" w:rsidRDefault="008F1C36" w:rsidP="008F1C3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8F1C36" w:rsidRPr="00217AF8" w:rsidRDefault="008F1C36" w:rsidP="008F1C36">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 xml:space="preserve">co do zasady – w okresie 12 miesięcy od zakończenia okresu realizacji projektu określonego w umowie o dofinansowaniu projektu lub, o ile wynika to ze specyfiki projektu, od uruchomienia przedsięwzięcia, przy czym osiągnięte wartości wykazywane są </w:t>
      </w:r>
      <w:r w:rsidR="00E50E37">
        <w:rPr>
          <w:rFonts w:asciiTheme="minorHAnsi" w:hAnsiTheme="minorHAnsi" w:cs="Arial"/>
          <w:b/>
          <w:szCs w:val="22"/>
          <w:u w:val="single"/>
        </w:rPr>
        <w:t>we</w:t>
      </w:r>
      <w:r w:rsidRPr="00217AF8">
        <w:rPr>
          <w:rFonts w:asciiTheme="minorHAnsi" w:hAnsiTheme="minorHAnsi" w:cs="Arial"/>
          <w:b/>
          <w:szCs w:val="22"/>
          <w:u w:val="single"/>
        </w:rPr>
        <w:t xml:space="preserve"> wniosku o płatność końcową</w:t>
      </w:r>
      <w:r w:rsidR="00E50E37">
        <w:rPr>
          <w:rFonts w:asciiTheme="minorHAnsi" w:hAnsiTheme="minorHAnsi" w:cs="Arial"/>
          <w:b/>
          <w:szCs w:val="22"/>
          <w:u w:val="single"/>
        </w:rPr>
        <w:t xml:space="preserve"> </w:t>
      </w:r>
      <w:r w:rsidR="00E50E37">
        <w:rPr>
          <w:rFonts w:ascii="Calibri" w:hAnsi="Calibri" w:cs="Arial"/>
          <w:b/>
          <w:u w:val="single"/>
        </w:rPr>
        <w:t>lub jego korekcie. Wskaźniki rezultatu powinny być utrzymane w okresie trwałości projektu</w:t>
      </w:r>
      <w:r w:rsidRPr="00217AF8">
        <w:rPr>
          <w:rFonts w:asciiTheme="minorHAnsi" w:hAnsiTheme="minorHAnsi" w:cs="Arial"/>
          <w:b/>
          <w:szCs w:val="22"/>
          <w:u w:val="single"/>
        </w:rPr>
        <w:t>.</w:t>
      </w:r>
    </w:p>
    <w:p w:rsidR="00E50E37" w:rsidRPr="00E50E37" w:rsidRDefault="00E50E37" w:rsidP="00E50E37">
      <w:pPr>
        <w:spacing w:line="240" w:lineRule="auto"/>
        <w:jc w:val="both"/>
        <w:rPr>
          <w:rFonts w:asciiTheme="minorHAnsi" w:hAnsiTheme="minorHAnsi"/>
          <w:szCs w:val="22"/>
        </w:rPr>
      </w:pPr>
      <w:r w:rsidRPr="00E50E37">
        <w:rPr>
          <w:rFonts w:asciiTheme="minorHAnsi" w:hAnsiTheme="minorHAnsi"/>
          <w:szCs w:val="22"/>
        </w:rPr>
        <w:t>lub</w:t>
      </w:r>
    </w:p>
    <w:p w:rsidR="00E50E37" w:rsidRPr="00E50E37" w:rsidRDefault="00E50E37" w:rsidP="00C762AC">
      <w:pPr>
        <w:pStyle w:val="Akapitzlist"/>
        <w:numPr>
          <w:ilvl w:val="0"/>
          <w:numId w:val="6"/>
        </w:numPr>
        <w:spacing w:before="0" w:line="240" w:lineRule="auto"/>
        <w:ind w:left="1134" w:hanging="357"/>
        <w:jc w:val="both"/>
        <w:rPr>
          <w:rFonts w:asciiTheme="minorHAnsi" w:hAnsiTheme="minorHAnsi"/>
          <w:szCs w:val="22"/>
        </w:rPr>
      </w:pPr>
      <w:r w:rsidRPr="00E50E37">
        <w:rPr>
          <w:rFonts w:asciiTheme="minorHAnsi" w:hAnsiTheme="minorHAnsi"/>
          <w:szCs w:val="22"/>
        </w:rPr>
        <w:t>w okresie trwałości projektu, na zasadach o</w:t>
      </w:r>
      <w:r w:rsidR="003C61BA">
        <w:rPr>
          <w:rFonts w:asciiTheme="minorHAnsi" w:hAnsiTheme="minorHAnsi"/>
          <w:szCs w:val="22"/>
        </w:rPr>
        <w:t>kreślonych przez IZ (w umowie o </w:t>
      </w:r>
      <w:r w:rsidRPr="00E50E37">
        <w:rPr>
          <w:rFonts w:asciiTheme="minorHAnsi" w:hAnsiTheme="minorHAnsi"/>
          <w:szCs w:val="22"/>
        </w:rPr>
        <w:t>dofinansowanie projektu)- w przypadku wskaźników, których termin realizacji został wydłużony na wniosek beneficjenta i za zgodą IZ, jednak nie później niż do dnia 31.12.2023 r.,</w:t>
      </w:r>
    </w:p>
    <w:p w:rsidR="008F1C36" w:rsidRPr="00217AF8" w:rsidRDefault="008F1C36" w:rsidP="00E50E37">
      <w:pPr>
        <w:spacing w:line="240" w:lineRule="auto"/>
        <w:ind w:left="1134"/>
        <w:rPr>
          <w:rFonts w:asciiTheme="minorHAnsi" w:hAnsiTheme="minorHAnsi"/>
          <w:szCs w:val="22"/>
        </w:rPr>
      </w:pPr>
    </w:p>
    <w:p w:rsidR="0032765F" w:rsidRPr="00217AF8" w:rsidRDefault="0032765F" w:rsidP="008F1C36">
      <w:pPr>
        <w:autoSpaceDE w:val="0"/>
        <w:autoSpaceDN w:val="0"/>
        <w:adjustRightInd w:val="0"/>
        <w:spacing w:before="120" w:after="120" w:line="240" w:lineRule="auto"/>
        <w:jc w:val="both"/>
        <w:rPr>
          <w:rFonts w:asciiTheme="minorHAnsi" w:hAnsiTheme="minorHAnsi"/>
          <w:szCs w:val="22"/>
        </w:rPr>
      </w:pPr>
    </w:p>
    <w:sectPr w:rsidR="0032765F" w:rsidRPr="00217AF8"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36" w:rsidRDefault="00005E36" w:rsidP="008C495E">
      <w:pPr>
        <w:spacing w:before="0" w:line="240" w:lineRule="auto"/>
      </w:pPr>
      <w:r>
        <w:separator/>
      </w:r>
    </w:p>
  </w:endnote>
  <w:endnote w:type="continuationSeparator" w:id="0">
    <w:p w:rsidR="00005E36" w:rsidRDefault="00005E36"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E61858">
          <w:rPr>
            <w:noProof/>
          </w:rPr>
          <w:t>4</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E61858">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36" w:rsidRDefault="00005E36" w:rsidP="008C495E">
      <w:pPr>
        <w:spacing w:before="0" w:line="240" w:lineRule="auto"/>
      </w:pPr>
      <w:r>
        <w:separator/>
      </w:r>
    </w:p>
  </w:footnote>
  <w:footnote w:type="continuationSeparator" w:id="0">
    <w:p w:rsidR="00005E36" w:rsidRDefault="00005E36"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20BE5BB6" wp14:editId="41D109B8">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980DED" w:rsidRDefault="00980DED" w:rsidP="003A3F65">
    <w:pPr>
      <w:pStyle w:val="Nagwek"/>
      <w:jc w:val="right"/>
      <w:rPr>
        <w:rFonts w:asciiTheme="minorHAnsi" w:hAnsiTheme="minorHAnsi"/>
        <w:sz w:val="16"/>
        <w:szCs w:val="16"/>
      </w:rPr>
    </w:pPr>
  </w:p>
  <w:p w:rsidR="003A3F65" w:rsidRPr="009A2C8E" w:rsidRDefault="009A2C8E" w:rsidP="009A2C8E">
    <w:pPr>
      <w:pStyle w:val="Nagwek"/>
      <w:jc w:val="right"/>
      <w:rPr>
        <w:rFonts w:asciiTheme="minorHAnsi" w:hAnsiTheme="minorHAnsi"/>
        <w:b/>
        <w:sz w:val="24"/>
        <w:szCs w:val="16"/>
      </w:rPr>
    </w:pPr>
    <w:r>
      <w:rPr>
        <w:rFonts w:asciiTheme="minorHAnsi" w:hAnsiTheme="minorHAnsi"/>
        <w:b/>
        <w:sz w:val="24"/>
        <w:szCs w:val="16"/>
      </w:rPr>
      <w:t xml:space="preserve">Załącznik  </w:t>
    </w:r>
    <w:r w:rsidRPr="009A2C8E">
      <w:rPr>
        <w:rFonts w:asciiTheme="minorHAnsi" w:hAnsiTheme="minorHAnsi"/>
        <w:b/>
        <w:sz w:val="24"/>
        <w:szCs w:val="16"/>
      </w:rPr>
      <w:t>nr 2 do Regulamin</w:t>
    </w:r>
    <w:r>
      <w:rPr>
        <w:rFonts w:asciiTheme="minorHAnsi" w:hAnsiTheme="minorHAnsi"/>
        <w:b/>
        <w:sz w:val="24"/>
        <w:szCs w:val="16"/>
      </w:rPr>
      <w:t>u</w:t>
    </w:r>
    <w:r w:rsidR="003A3F65" w:rsidRPr="009A2C8E">
      <w:rPr>
        <w:rFonts w:asciiTheme="minorHAnsi" w:hAnsiTheme="minorHAnsi"/>
        <w:b/>
        <w:sz w:val="24"/>
        <w:szCs w:val="16"/>
      </w:rPr>
      <w:t xml:space="preserve"> konkurs</w:t>
    </w:r>
    <w:r>
      <w:rPr>
        <w:rFonts w:asciiTheme="minorHAnsi" w:hAnsiTheme="minorHAnsi"/>
        <w:b/>
        <w:sz w:val="24"/>
        <w:szCs w:val="16"/>
      </w:rPr>
      <w:t>ów</w:t>
    </w:r>
  </w:p>
  <w:p w:rsidR="009A2C8E" w:rsidRPr="009A2C8E" w:rsidRDefault="009A2C8E" w:rsidP="009A2C8E">
    <w:pPr>
      <w:spacing w:before="0" w:line="240" w:lineRule="auto"/>
      <w:jc w:val="right"/>
      <w:rPr>
        <w:rFonts w:asciiTheme="minorHAnsi" w:hAnsiTheme="minorHAnsi"/>
        <w:b/>
        <w:sz w:val="24"/>
        <w:szCs w:val="24"/>
      </w:rPr>
    </w:pPr>
    <w:r w:rsidRPr="009A2C8E">
      <w:rPr>
        <w:rFonts w:asciiTheme="minorHAnsi" w:hAnsiTheme="minorHAnsi"/>
        <w:b/>
        <w:sz w:val="24"/>
        <w:szCs w:val="24"/>
      </w:rPr>
      <w:t>RPDS.04.05.01-IZ.00-02-353/19</w:t>
    </w:r>
  </w:p>
  <w:p w:rsidR="00BD6CEC" w:rsidRPr="009A2C8E" w:rsidRDefault="009A2C8E" w:rsidP="009A2C8E">
    <w:pPr>
      <w:pStyle w:val="Nagwek"/>
      <w:jc w:val="right"/>
      <w:rPr>
        <w:rFonts w:asciiTheme="minorHAnsi" w:hAnsiTheme="minorHAnsi"/>
        <w:b/>
        <w:sz w:val="16"/>
        <w:szCs w:val="16"/>
      </w:rPr>
    </w:pPr>
    <w:r w:rsidRPr="009A2C8E">
      <w:rPr>
        <w:rFonts w:asciiTheme="minorHAnsi" w:hAnsiTheme="minorHAnsi"/>
        <w:b/>
        <w:sz w:val="24"/>
        <w:szCs w:val="24"/>
      </w:rPr>
      <w:t>RPDS.04.05.02-IZ.00-02-354/19</w:t>
    </w:r>
  </w:p>
  <w:p w:rsidR="00980DED" w:rsidRPr="00E53C6C" w:rsidRDefault="00980DED" w:rsidP="003A3F65">
    <w:pPr>
      <w:pStyle w:val="Nagwek"/>
      <w:jc w:val="right"/>
      <w:rPr>
        <w:rFonts w:asciiTheme="minorHAnsi" w:hAnsiTheme="min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400"/>
    <w:multiLevelType w:val="hybridMultilevel"/>
    <w:tmpl w:val="29842B04"/>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4">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FEB0D58"/>
    <w:multiLevelType w:val="hybridMultilevel"/>
    <w:tmpl w:val="27FEA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82E0AA3"/>
    <w:multiLevelType w:val="hybridMultilevel"/>
    <w:tmpl w:val="03728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6">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7"/>
  </w:num>
  <w:num w:numId="8">
    <w:abstractNumId w:val="16"/>
  </w:num>
  <w:num w:numId="9">
    <w:abstractNumId w:val="7"/>
  </w:num>
  <w:num w:numId="10">
    <w:abstractNumId w:val="3"/>
  </w:num>
  <w:num w:numId="11">
    <w:abstractNumId w:val="15"/>
  </w:num>
  <w:num w:numId="12">
    <w:abstractNumId w:val="12"/>
  </w:num>
  <w:num w:numId="13">
    <w:abstractNumId w:val="0"/>
  </w:num>
  <w:num w:numId="14">
    <w:abstractNumId w:val="13"/>
  </w:num>
  <w:num w:numId="15">
    <w:abstractNumId w:val="9"/>
  </w:num>
  <w:num w:numId="16">
    <w:abstractNumId w:val="1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2E70"/>
    <w:rsid w:val="00005E36"/>
    <w:rsid w:val="000253C7"/>
    <w:rsid w:val="00045A17"/>
    <w:rsid w:val="00057C26"/>
    <w:rsid w:val="00094C3F"/>
    <w:rsid w:val="000972D6"/>
    <w:rsid w:val="000B05C7"/>
    <w:rsid w:val="000C0A4C"/>
    <w:rsid w:val="000D6F36"/>
    <w:rsid w:val="000E7D02"/>
    <w:rsid w:val="000F1E65"/>
    <w:rsid w:val="000F2F7C"/>
    <w:rsid w:val="000F5C98"/>
    <w:rsid w:val="00141571"/>
    <w:rsid w:val="00142940"/>
    <w:rsid w:val="001437C9"/>
    <w:rsid w:val="0015486C"/>
    <w:rsid w:val="00184A53"/>
    <w:rsid w:val="0019150A"/>
    <w:rsid w:val="00191605"/>
    <w:rsid w:val="001B3153"/>
    <w:rsid w:val="001C4F9E"/>
    <w:rsid w:val="001D3A12"/>
    <w:rsid w:val="00204697"/>
    <w:rsid w:val="00217AF8"/>
    <w:rsid w:val="00222A42"/>
    <w:rsid w:val="002261A4"/>
    <w:rsid w:val="002275FC"/>
    <w:rsid w:val="00232E0F"/>
    <w:rsid w:val="00237177"/>
    <w:rsid w:val="002408B0"/>
    <w:rsid w:val="00253FAA"/>
    <w:rsid w:val="00266D58"/>
    <w:rsid w:val="002972E4"/>
    <w:rsid w:val="002B246A"/>
    <w:rsid w:val="002B5DA0"/>
    <w:rsid w:val="002B767A"/>
    <w:rsid w:val="002B7FEA"/>
    <w:rsid w:val="002C76F4"/>
    <w:rsid w:val="002D5507"/>
    <w:rsid w:val="002F6273"/>
    <w:rsid w:val="00307535"/>
    <w:rsid w:val="003256DF"/>
    <w:rsid w:val="00326529"/>
    <w:rsid w:val="0032765F"/>
    <w:rsid w:val="00335935"/>
    <w:rsid w:val="00340A6B"/>
    <w:rsid w:val="00370466"/>
    <w:rsid w:val="00370881"/>
    <w:rsid w:val="00380861"/>
    <w:rsid w:val="00381C30"/>
    <w:rsid w:val="00396F3C"/>
    <w:rsid w:val="003A3F65"/>
    <w:rsid w:val="003A6137"/>
    <w:rsid w:val="003C55C7"/>
    <w:rsid w:val="003C61BA"/>
    <w:rsid w:val="003D2C3D"/>
    <w:rsid w:val="003D3BC5"/>
    <w:rsid w:val="003E12B2"/>
    <w:rsid w:val="003F6384"/>
    <w:rsid w:val="003F6A6D"/>
    <w:rsid w:val="0041446A"/>
    <w:rsid w:val="00414AF4"/>
    <w:rsid w:val="00421C29"/>
    <w:rsid w:val="0044238B"/>
    <w:rsid w:val="00443051"/>
    <w:rsid w:val="00455EB6"/>
    <w:rsid w:val="0046263E"/>
    <w:rsid w:val="0046493A"/>
    <w:rsid w:val="00471B0C"/>
    <w:rsid w:val="00476947"/>
    <w:rsid w:val="00485CDD"/>
    <w:rsid w:val="004B303A"/>
    <w:rsid w:val="004C6C36"/>
    <w:rsid w:val="005025FD"/>
    <w:rsid w:val="00506413"/>
    <w:rsid w:val="00516B06"/>
    <w:rsid w:val="00522930"/>
    <w:rsid w:val="00530E5D"/>
    <w:rsid w:val="00535E8F"/>
    <w:rsid w:val="00545C21"/>
    <w:rsid w:val="00555321"/>
    <w:rsid w:val="005615C8"/>
    <w:rsid w:val="005657D8"/>
    <w:rsid w:val="00572667"/>
    <w:rsid w:val="00593AA2"/>
    <w:rsid w:val="005947E7"/>
    <w:rsid w:val="005A1857"/>
    <w:rsid w:val="005B5C20"/>
    <w:rsid w:val="005F7B50"/>
    <w:rsid w:val="0060140B"/>
    <w:rsid w:val="00604576"/>
    <w:rsid w:val="0061737E"/>
    <w:rsid w:val="00620A45"/>
    <w:rsid w:val="00620B41"/>
    <w:rsid w:val="00635DB0"/>
    <w:rsid w:val="006526A0"/>
    <w:rsid w:val="006706C6"/>
    <w:rsid w:val="0067179E"/>
    <w:rsid w:val="00677786"/>
    <w:rsid w:val="00695CF6"/>
    <w:rsid w:val="006A09F0"/>
    <w:rsid w:val="006A0FA8"/>
    <w:rsid w:val="006A2353"/>
    <w:rsid w:val="006B05A8"/>
    <w:rsid w:val="006C3827"/>
    <w:rsid w:val="006C652C"/>
    <w:rsid w:val="006D3B7E"/>
    <w:rsid w:val="00701E65"/>
    <w:rsid w:val="00701E7E"/>
    <w:rsid w:val="00704B1F"/>
    <w:rsid w:val="007207C0"/>
    <w:rsid w:val="00726AC4"/>
    <w:rsid w:val="0072750F"/>
    <w:rsid w:val="007300ED"/>
    <w:rsid w:val="0073373A"/>
    <w:rsid w:val="00741B27"/>
    <w:rsid w:val="007650AC"/>
    <w:rsid w:val="00770BD0"/>
    <w:rsid w:val="00782324"/>
    <w:rsid w:val="00785C6B"/>
    <w:rsid w:val="00787387"/>
    <w:rsid w:val="007B0AA3"/>
    <w:rsid w:val="007B58EE"/>
    <w:rsid w:val="007C0706"/>
    <w:rsid w:val="007D1CF1"/>
    <w:rsid w:val="007D672B"/>
    <w:rsid w:val="007D7DE7"/>
    <w:rsid w:val="007E025A"/>
    <w:rsid w:val="007E26CB"/>
    <w:rsid w:val="007E6D53"/>
    <w:rsid w:val="00831FC4"/>
    <w:rsid w:val="0083253A"/>
    <w:rsid w:val="00833AD5"/>
    <w:rsid w:val="00844DE8"/>
    <w:rsid w:val="008554A8"/>
    <w:rsid w:val="0085713F"/>
    <w:rsid w:val="008A09D1"/>
    <w:rsid w:val="008A195C"/>
    <w:rsid w:val="008B21E1"/>
    <w:rsid w:val="008B673D"/>
    <w:rsid w:val="008C495E"/>
    <w:rsid w:val="008E16E2"/>
    <w:rsid w:val="008E34DE"/>
    <w:rsid w:val="008E3F0D"/>
    <w:rsid w:val="008F1C36"/>
    <w:rsid w:val="008F4BAC"/>
    <w:rsid w:val="008F5AB8"/>
    <w:rsid w:val="009024D3"/>
    <w:rsid w:val="00905F01"/>
    <w:rsid w:val="00911273"/>
    <w:rsid w:val="00916677"/>
    <w:rsid w:val="009449EE"/>
    <w:rsid w:val="009456DB"/>
    <w:rsid w:val="00945728"/>
    <w:rsid w:val="00946665"/>
    <w:rsid w:val="00957260"/>
    <w:rsid w:val="009609F6"/>
    <w:rsid w:val="00980DED"/>
    <w:rsid w:val="00982504"/>
    <w:rsid w:val="009926BE"/>
    <w:rsid w:val="0099367C"/>
    <w:rsid w:val="009A2C8E"/>
    <w:rsid w:val="009B0239"/>
    <w:rsid w:val="009B235B"/>
    <w:rsid w:val="009B52F7"/>
    <w:rsid w:val="009C6F27"/>
    <w:rsid w:val="009D3C56"/>
    <w:rsid w:val="009E65D0"/>
    <w:rsid w:val="009F3688"/>
    <w:rsid w:val="009F72BB"/>
    <w:rsid w:val="00A318E7"/>
    <w:rsid w:val="00A459F4"/>
    <w:rsid w:val="00A47D66"/>
    <w:rsid w:val="00A66C0C"/>
    <w:rsid w:val="00A7445E"/>
    <w:rsid w:val="00A76EB5"/>
    <w:rsid w:val="00A804DB"/>
    <w:rsid w:val="00AC7B21"/>
    <w:rsid w:val="00AD2437"/>
    <w:rsid w:val="00AF478C"/>
    <w:rsid w:val="00B145AE"/>
    <w:rsid w:val="00B17F26"/>
    <w:rsid w:val="00B204DD"/>
    <w:rsid w:val="00B21BBC"/>
    <w:rsid w:val="00B235B0"/>
    <w:rsid w:val="00B32871"/>
    <w:rsid w:val="00B32BB7"/>
    <w:rsid w:val="00B40F0F"/>
    <w:rsid w:val="00B6146D"/>
    <w:rsid w:val="00B61B7A"/>
    <w:rsid w:val="00B65942"/>
    <w:rsid w:val="00B840A9"/>
    <w:rsid w:val="00B91785"/>
    <w:rsid w:val="00BC03CE"/>
    <w:rsid w:val="00BD6CEC"/>
    <w:rsid w:val="00C0278F"/>
    <w:rsid w:val="00C02ABB"/>
    <w:rsid w:val="00C10532"/>
    <w:rsid w:val="00C40E8D"/>
    <w:rsid w:val="00C426DA"/>
    <w:rsid w:val="00C43453"/>
    <w:rsid w:val="00C47C80"/>
    <w:rsid w:val="00C645A3"/>
    <w:rsid w:val="00C708E7"/>
    <w:rsid w:val="00C762AC"/>
    <w:rsid w:val="00C90F5E"/>
    <w:rsid w:val="00C9174F"/>
    <w:rsid w:val="00C94E13"/>
    <w:rsid w:val="00C96A75"/>
    <w:rsid w:val="00CA4AEC"/>
    <w:rsid w:val="00CC7758"/>
    <w:rsid w:val="00CF5466"/>
    <w:rsid w:val="00CF69D1"/>
    <w:rsid w:val="00D03CAB"/>
    <w:rsid w:val="00D11CB4"/>
    <w:rsid w:val="00D11E26"/>
    <w:rsid w:val="00D135E7"/>
    <w:rsid w:val="00D22F8E"/>
    <w:rsid w:val="00D2500C"/>
    <w:rsid w:val="00D5098A"/>
    <w:rsid w:val="00D57D29"/>
    <w:rsid w:val="00D93881"/>
    <w:rsid w:val="00D97E39"/>
    <w:rsid w:val="00DB617A"/>
    <w:rsid w:val="00DC184F"/>
    <w:rsid w:val="00DD181F"/>
    <w:rsid w:val="00DD6FA0"/>
    <w:rsid w:val="00E1332B"/>
    <w:rsid w:val="00E201B7"/>
    <w:rsid w:val="00E232BD"/>
    <w:rsid w:val="00E32094"/>
    <w:rsid w:val="00E32822"/>
    <w:rsid w:val="00E32B6F"/>
    <w:rsid w:val="00E4616B"/>
    <w:rsid w:val="00E464EE"/>
    <w:rsid w:val="00E46E68"/>
    <w:rsid w:val="00E50E37"/>
    <w:rsid w:val="00E53C6C"/>
    <w:rsid w:val="00E6017F"/>
    <w:rsid w:val="00E61834"/>
    <w:rsid w:val="00E61858"/>
    <w:rsid w:val="00E664B7"/>
    <w:rsid w:val="00E71843"/>
    <w:rsid w:val="00E72468"/>
    <w:rsid w:val="00E90CA0"/>
    <w:rsid w:val="00EA265F"/>
    <w:rsid w:val="00EF5AA6"/>
    <w:rsid w:val="00F02218"/>
    <w:rsid w:val="00F065BF"/>
    <w:rsid w:val="00F11106"/>
    <w:rsid w:val="00F17083"/>
    <w:rsid w:val="00F33FEF"/>
    <w:rsid w:val="00F56AFD"/>
    <w:rsid w:val="00F66AA4"/>
    <w:rsid w:val="00F72230"/>
    <w:rsid w:val="00F762C4"/>
    <w:rsid w:val="00F85644"/>
    <w:rsid w:val="00F95877"/>
    <w:rsid w:val="00FC6B1D"/>
    <w:rsid w:val="00FD40E1"/>
    <w:rsid w:val="00FD7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 w:type="paragraph" w:styleId="Spistreci1">
    <w:name w:val="toc 1"/>
    <w:basedOn w:val="Normalny"/>
    <w:next w:val="Normalny"/>
    <w:autoRedefine/>
    <w:uiPriority w:val="39"/>
    <w:unhideWhenUsed/>
    <w:rsid w:val="009A2C8E"/>
    <w:pPr>
      <w:spacing w:before="240" w:after="120" w:line="276" w:lineRule="auto"/>
    </w:pPr>
    <w:rPr>
      <w:rFonts w:asciiTheme="minorHAnsi" w:eastAsiaTheme="minorHAnsi" w:hAnsiTheme="minorHAnsi" w:cstheme="minorBidi"/>
      <w:b/>
      <w:b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 w:type="paragraph" w:styleId="Spistreci1">
    <w:name w:val="toc 1"/>
    <w:basedOn w:val="Normalny"/>
    <w:next w:val="Normalny"/>
    <w:autoRedefine/>
    <w:uiPriority w:val="39"/>
    <w:unhideWhenUsed/>
    <w:rsid w:val="009A2C8E"/>
    <w:pPr>
      <w:spacing w:before="240" w:after="120" w:line="276" w:lineRule="auto"/>
    </w:pPr>
    <w:rPr>
      <w:rFonts w:asciiTheme="minorHAnsi" w:eastAsiaTheme="minorHAnsi" w:hAnsiTheme="minorHAnsi" w:cstheme="minorBidi"/>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0537">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278831242">
      <w:bodyDiv w:val="1"/>
      <w:marLeft w:val="0"/>
      <w:marRight w:val="0"/>
      <w:marTop w:val="0"/>
      <w:marBottom w:val="0"/>
      <w:divBdr>
        <w:top w:val="none" w:sz="0" w:space="0" w:color="auto"/>
        <w:left w:val="none" w:sz="0" w:space="0" w:color="auto"/>
        <w:bottom w:val="none" w:sz="0" w:space="0" w:color="auto"/>
        <w:right w:val="none" w:sz="0" w:space="0" w:color="auto"/>
      </w:divBdr>
      <w:divsChild>
        <w:div w:id="1036928806">
          <w:marLeft w:val="0"/>
          <w:marRight w:val="0"/>
          <w:marTop w:val="0"/>
          <w:marBottom w:val="0"/>
          <w:divBdr>
            <w:top w:val="none" w:sz="0" w:space="0" w:color="auto"/>
            <w:left w:val="none" w:sz="0" w:space="0" w:color="auto"/>
            <w:bottom w:val="none" w:sz="0" w:space="0" w:color="auto"/>
            <w:right w:val="none" w:sz="0" w:space="0" w:color="auto"/>
          </w:divBdr>
        </w:div>
        <w:div w:id="177084828">
          <w:marLeft w:val="0"/>
          <w:marRight w:val="0"/>
          <w:marTop w:val="0"/>
          <w:marBottom w:val="0"/>
          <w:divBdr>
            <w:top w:val="none" w:sz="0" w:space="0" w:color="auto"/>
            <w:left w:val="none" w:sz="0" w:space="0" w:color="auto"/>
            <w:bottom w:val="none" w:sz="0" w:space="0" w:color="auto"/>
            <w:right w:val="none" w:sz="0" w:space="0" w:color="auto"/>
          </w:divBdr>
        </w:div>
        <w:div w:id="318048235">
          <w:marLeft w:val="0"/>
          <w:marRight w:val="0"/>
          <w:marTop w:val="0"/>
          <w:marBottom w:val="0"/>
          <w:divBdr>
            <w:top w:val="none" w:sz="0" w:space="0" w:color="auto"/>
            <w:left w:val="none" w:sz="0" w:space="0" w:color="auto"/>
            <w:bottom w:val="none" w:sz="0" w:space="0" w:color="auto"/>
            <w:right w:val="none" w:sz="0" w:space="0" w:color="auto"/>
          </w:divBdr>
        </w:div>
        <w:div w:id="1242376851">
          <w:marLeft w:val="0"/>
          <w:marRight w:val="0"/>
          <w:marTop w:val="0"/>
          <w:marBottom w:val="0"/>
          <w:divBdr>
            <w:top w:val="none" w:sz="0" w:space="0" w:color="auto"/>
            <w:left w:val="none" w:sz="0" w:space="0" w:color="auto"/>
            <w:bottom w:val="none" w:sz="0" w:space="0" w:color="auto"/>
            <w:right w:val="none" w:sz="0" w:space="0" w:color="auto"/>
          </w:divBdr>
        </w:div>
        <w:div w:id="1719471919">
          <w:marLeft w:val="0"/>
          <w:marRight w:val="0"/>
          <w:marTop w:val="0"/>
          <w:marBottom w:val="0"/>
          <w:divBdr>
            <w:top w:val="none" w:sz="0" w:space="0" w:color="auto"/>
            <w:left w:val="none" w:sz="0" w:space="0" w:color="auto"/>
            <w:bottom w:val="none" w:sz="0" w:space="0" w:color="auto"/>
            <w:right w:val="none" w:sz="0" w:space="0" w:color="auto"/>
          </w:divBdr>
        </w:div>
        <w:div w:id="467942476">
          <w:marLeft w:val="0"/>
          <w:marRight w:val="0"/>
          <w:marTop w:val="0"/>
          <w:marBottom w:val="0"/>
          <w:divBdr>
            <w:top w:val="none" w:sz="0" w:space="0" w:color="auto"/>
            <w:left w:val="none" w:sz="0" w:space="0" w:color="auto"/>
            <w:bottom w:val="none" w:sz="0" w:space="0" w:color="auto"/>
            <w:right w:val="none" w:sz="0" w:space="0" w:color="auto"/>
          </w:divBdr>
        </w:div>
        <w:div w:id="1387559559">
          <w:marLeft w:val="0"/>
          <w:marRight w:val="0"/>
          <w:marTop w:val="0"/>
          <w:marBottom w:val="0"/>
          <w:divBdr>
            <w:top w:val="none" w:sz="0" w:space="0" w:color="auto"/>
            <w:left w:val="none" w:sz="0" w:space="0" w:color="auto"/>
            <w:bottom w:val="none" w:sz="0" w:space="0" w:color="auto"/>
            <w:right w:val="none" w:sz="0" w:space="0" w:color="auto"/>
          </w:divBdr>
        </w:div>
        <w:div w:id="1090852839">
          <w:marLeft w:val="0"/>
          <w:marRight w:val="0"/>
          <w:marTop w:val="0"/>
          <w:marBottom w:val="0"/>
          <w:divBdr>
            <w:top w:val="none" w:sz="0" w:space="0" w:color="auto"/>
            <w:left w:val="none" w:sz="0" w:space="0" w:color="auto"/>
            <w:bottom w:val="none" w:sz="0" w:space="0" w:color="auto"/>
            <w:right w:val="none" w:sz="0" w:space="0" w:color="auto"/>
          </w:divBdr>
        </w:div>
        <w:div w:id="2141651866">
          <w:marLeft w:val="0"/>
          <w:marRight w:val="0"/>
          <w:marTop w:val="0"/>
          <w:marBottom w:val="0"/>
          <w:divBdr>
            <w:top w:val="none" w:sz="0" w:space="0" w:color="auto"/>
            <w:left w:val="none" w:sz="0" w:space="0" w:color="auto"/>
            <w:bottom w:val="none" w:sz="0" w:space="0" w:color="auto"/>
            <w:right w:val="none" w:sz="0" w:space="0" w:color="auto"/>
          </w:divBdr>
        </w:div>
        <w:div w:id="730538237">
          <w:marLeft w:val="0"/>
          <w:marRight w:val="0"/>
          <w:marTop w:val="0"/>
          <w:marBottom w:val="0"/>
          <w:divBdr>
            <w:top w:val="none" w:sz="0" w:space="0" w:color="auto"/>
            <w:left w:val="none" w:sz="0" w:space="0" w:color="auto"/>
            <w:bottom w:val="none" w:sz="0" w:space="0" w:color="auto"/>
            <w:right w:val="none" w:sz="0" w:space="0" w:color="auto"/>
          </w:divBdr>
        </w:div>
        <w:div w:id="281233716">
          <w:marLeft w:val="0"/>
          <w:marRight w:val="0"/>
          <w:marTop w:val="0"/>
          <w:marBottom w:val="0"/>
          <w:divBdr>
            <w:top w:val="none" w:sz="0" w:space="0" w:color="auto"/>
            <w:left w:val="none" w:sz="0" w:space="0" w:color="auto"/>
            <w:bottom w:val="none" w:sz="0" w:space="0" w:color="auto"/>
            <w:right w:val="none" w:sz="0" w:space="0" w:color="auto"/>
          </w:divBdr>
        </w:div>
        <w:div w:id="1830097074">
          <w:marLeft w:val="0"/>
          <w:marRight w:val="0"/>
          <w:marTop w:val="0"/>
          <w:marBottom w:val="0"/>
          <w:divBdr>
            <w:top w:val="none" w:sz="0" w:space="0" w:color="auto"/>
            <w:left w:val="none" w:sz="0" w:space="0" w:color="auto"/>
            <w:bottom w:val="none" w:sz="0" w:space="0" w:color="auto"/>
            <w:right w:val="none" w:sz="0" w:space="0" w:color="auto"/>
          </w:divBdr>
        </w:div>
        <w:div w:id="425005869">
          <w:marLeft w:val="0"/>
          <w:marRight w:val="0"/>
          <w:marTop w:val="0"/>
          <w:marBottom w:val="0"/>
          <w:divBdr>
            <w:top w:val="none" w:sz="0" w:space="0" w:color="auto"/>
            <w:left w:val="none" w:sz="0" w:space="0" w:color="auto"/>
            <w:bottom w:val="none" w:sz="0" w:space="0" w:color="auto"/>
            <w:right w:val="none" w:sz="0" w:space="0" w:color="auto"/>
          </w:divBdr>
        </w:div>
        <w:div w:id="971056870">
          <w:marLeft w:val="0"/>
          <w:marRight w:val="0"/>
          <w:marTop w:val="0"/>
          <w:marBottom w:val="0"/>
          <w:divBdr>
            <w:top w:val="none" w:sz="0" w:space="0" w:color="auto"/>
            <w:left w:val="none" w:sz="0" w:space="0" w:color="auto"/>
            <w:bottom w:val="none" w:sz="0" w:space="0" w:color="auto"/>
            <w:right w:val="none" w:sz="0" w:space="0" w:color="auto"/>
          </w:divBdr>
        </w:div>
        <w:div w:id="1716853700">
          <w:marLeft w:val="0"/>
          <w:marRight w:val="0"/>
          <w:marTop w:val="0"/>
          <w:marBottom w:val="0"/>
          <w:divBdr>
            <w:top w:val="none" w:sz="0" w:space="0" w:color="auto"/>
            <w:left w:val="none" w:sz="0" w:space="0" w:color="auto"/>
            <w:bottom w:val="none" w:sz="0" w:space="0" w:color="auto"/>
            <w:right w:val="none" w:sz="0" w:space="0" w:color="auto"/>
          </w:divBdr>
        </w:div>
        <w:div w:id="1152791267">
          <w:marLeft w:val="0"/>
          <w:marRight w:val="0"/>
          <w:marTop w:val="0"/>
          <w:marBottom w:val="0"/>
          <w:divBdr>
            <w:top w:val="none" w:sz="0" w:space="0" w:color="auto"/>
            <w:left w:val="none" w:sz="0" w:space="0" w:color="auto"/>
            <w:bottom w:val="none" w:sz="0" w:space="0" w:color="auto"/>
            <w:right w:val="none" w:sz="0" w:space="0" w:color="auto"/>
          </w:divBdr>
        </w:div>
        <w:div w:id="1463959623">
          <w:marLeft w:val="0"/>
          <w:marRight w:val="0"/>
          <w:marTop w:val="0"/>
          <w:marBottom w:val="0"/>
          <w:divBdr>
            <w:top w:val="none" w:sz="0" w:space="0" w:color="auto"/>
            <w:left w:val="none" w:sz="0" w:space="0" w:color="auto"/>
            <w:bottom w:val="none" w:sz="0" w:space="0" w:color="auto"/>
            <w:right w:val="none" w:sz="0" w:space="0" w:color="auto"/>
          </w:divBdr>
        </w:div>
        <w:div w:id="199704526">
          <w:marLeft w:val="0"/>
          <w:marRight w:val="0"/>
          <w:marTop w:val="0"/>
          <w:marBottom w:val="0"/>
          <w:divBdr>
            <w:top w:val="none" w:sz="0" w:space="0" w:color="auto"/>
            <w:left w:val="none" w:sz="0" w:space="0" w:color="auto"/>
            <w:bottom w:val="none" w:sz="0" w:space="0" w:color="auto"/>
            <w:right w:val="none" w:sz="0" w:space="0" w:color="auto"/>
          </w:divBdr>
        </w:div>
        <w:div w:id="1241716258">
          <w:marLeft w:val="0"/>
          <w:marRight w:val="0"/>
          <w:marTop w:val="0"/>
          <w:marBottom w:val="0"/>
          <w:divBdr>
            <w:top w:val="none" w:sz="0" w:space="0" w:color="auto"/>
            <w:left w:val="none" w:sz="0" w:space="0" w:color="auto"/>
            <w:bottom w:val="none" w:sz="0" w:space="0" w:color="auto"/>
            <w:right w:val="none" w:sz="0" w:space="0" w:color="auto"/>
          </w:divBdr>
        </w:div>
        <w:div w:id="772752533">
          <w:marLeft w:val="0"/>
          <w:marRight w:val="0"/>
          <w:marTop w:val="0"/>
          <w:marBottom w:val="0"/>
          <w:divBdr>
            <w:top w:val="none" w:sz="0" w:space="0" w:color="auto"/>
            <w:left w:val="none" w:sz="0" w:space="0" w:color="auto"/>
            <w:bottom w:val="none" w:sz="0" w:space="0" w:color="auto"/>
            <w:right w:val="none" w:sz="0" w:space="0" w:color="auto"/>
          </w:divBdr>
        </w:div>
        <w:div w:id="893732216">
          <w:marLeft w:val="0"/>
          <w:marRight w:val="0"/>
          <w:marTop w:val="0"/>
          <w:marBottom w:val="0"/>
          <w:divBdr>
            <w:top w:val="none" w:sz="0" w:space="0" w:color="auto"/>
            <w:left w:val="none" w:sz="0" w:space="0" w:color="auto"/>
            <w:bottom w:val="none" w:sz="0" w:space="0" w:color="auto"/>
            <w:right w:val="none" w:sz="0" w:space="0" w:color="auto"/>
          </w:divBdr>
        </w:div>
        <w:div w:id="795680009">
          <w:marLeft w:val="0"/>
          <w:marRight w:val="0"/>
          <w:marTop w:val="0"/>
          <w:marBottom w:val="0"/>
          <w:divBdr>
            <w:top w:val="none" w:sz="0" w:space="0" w:color="auto"/>
            <w:left w:val="none" w:sz="0" w:space="0" w:color="auto"/>
            <w:bottom w:val="none" w:sz="0" w:space="0" w:color="auto"/>
            <w:right w:val="none" w:sz="0" w:space="0" w:color="auto"/>
          </w:divBdr>
        </w:div>
        <w:div w:id="1805193111">
          <w:marLeft w:val="0"/>
          <w:marRight w:val="0"/>
          <w:marTop w:val="0"/>
          <w:marBottom w:val="0"/>
          <w:divBdr>
            <w:top w:val="none" w:sz="0" w:space="0" w:color="auto"/>
            <w:left w:val="none" w:sz="0" w:space="0" w:color="auto"/>
            <w:bottom w:val="none" w:sz="0" w:space="0" w:color="auto"/>
            <w:right w:val="none" w:sz="0" w:space="0" w:color="auto"/>
          </w:divBdr>
        </w:div>
        <w:div w:id="565530579">
          <w:marLeft w:val="0"/>
          <w:marRight w:val="0"/>
          <w:marTop w:val="0"/>
          <w:marBottom w:val="0"/>
          <w:divBdr>
            <w:top w:val="none" w:sz="0" w:space="0" w:color="auto"/>
            <w:left w:val="none" w:sz="0" w:space="0" w:color="auto"/>
            <w:bottom w:val="none" w:sz="0" w:space="0" w:color="auto"/>
            <w:right w:val="none" w:sz="0" w:space="0" w:color="auto"/>
          </w:divBdr>
        </w:div>
        <w:div w:id="1933316523">
          <w:marLeft w:val="0"/>
          <w:marRight w:val="0"/>
          <w:marTop w:val="0"/>
          <w:marBottom w:val="0"/>
          <w:divBdr>
            <w:top w:val="none" w:sz="0" w:space="0" w:color="auto"/>
            <w:left w:val="none" w:sz="0" w:space="0" w:color="auto"/>
            <w:bottom w:val="none" w:sz="0" w:space="0" w:color="auto"/>
            <w:right w:val="none" w:sz="0" w:space="0" w:color="auto"/>
          </w:divBdr>
        </w:div>
        <w:div w:id="1591430797">
          <w:marLeft w:val="0"/>
          <w:marRight w:val="0"/>
          <w:marTop w:val="0"/>
          <w:marBottom w:val="0"/>
          <w:divBdr>
            <w:top w:val="none" w:sz="0" w:space="0" w:color="auto"/>
            <w:left w:val="none" w:sz="0" w:space="0" w:color="auto"/>
            <w:bottom w:val="none" w:sz="0" w:space="0" w:color="auto"/>
            <w:right w:val="none" w:sz="0" w:space="0" w:color="auto"/>
          </w:divBdr>
        </w:div>
        <w:div w:id="573516605">
          <w:marLeft w:val="0"/>
          <w:marRight w:val="0"/>
          <w:marTop w:val="0"/>
          <w:marBottom w:val="0"/>
          <w:divBdr>
            <w:top w:val="none" w:sz="0" w:space="0" w:color="auto"/>
            <w:left w:val="none" w:sz="0" w:space="0" w:color="auto"/>
            <w:bottom w:val="none" w:sz="0" w:space="0" w:color="auto"/>
            <w:right w:val="none" w:sz="0" w:space="0" w:color="auto"/>
          </w:divBdr>
        </w:div>
        <w:div w:id="1222908284">
          <w:marLeft w:val="0"/>
          <w:marRight w:val="0"/>
          <w:marTop w:val="0"/>
          <w:marBottom w:val="0"/>
          <w:divBdr>
            <w:top w:val="none" w:sz="0" w:space="0" w:color="auto"/>
            <w:left w:val="none" w:sz="0" w:space="0" w:color="auto"/>
            <w:bottom w:val="none" w:sz="0" w:space="0" w:color="auto"/>
            <w:right w:val="none" w:sz="0" w:space="0" w:color="auto"/>
          </w:divBdr>
        </w:div>
        <w:div w:id="923343087">
          <w:marLeft w:val="0"/>
          <w:marRight w:val="0"/>
          <w:marTop w:val="0"/>
          <w:marBottom w:val="0"/>
          <w:divBdr>
            <w:top w:val="none" w:sz="0" w:space="0" w:color="auto"/>
            <w:left w:val="none" w:sz="0" w:space="0" w:color="auto"/>
            <w:bottom w:val="none" w:sz="0" w:space="0" w:color="auto"/>
            <w:right w:val="none" w:sz="0" w:space="0" w:color="auto"/>
          </w:divBdr>
        </w:div>
        <w:div w:id="327632022">
          <w:marLeft w:val="0"/>
          <w:marRight w:val="0"/>
          <w:marTop w:val="0"/>
          <w:marBottom w:val="0"/>
          <w:divBdr>
            <w:top w:val="none" w:sz="0" w:space="0" w:color="auto"/>
            <w:left w:val="none" w:sz="0" w:space="0" w:color="auto"/>
            <w:bottom w:val="none" w:sz="0" w:space="0" w:color="auto"/>
            <w:right w:val="none" w:sz="0" w:space="0" w:color="auto"/>
          </w:divBdr>
        </w:div>
        <w:div w:id="954672436">
          <w:marLeft w:val="0"/>
          <w:marRight w:val="0"/>
          <w:marTop w:val="0"/>
          <w:marBottom w:val="0"/>
          <w:divBdr>
            <w:top w:val="none" w:sz="0" w:space="0" w:color="auto"/>
            <w:left w:val="none" w:sz="0" w:space="0" w:color="auto"/>
            <w:bottom w:val="none" w:sz="0" w:space="0" w:color="auto"/>
            <w:right w:val="none" w:sz="0" w:space="0" w:color="auto"/>
          </w:divBdr>
        </w:div>
        <w:div w:id="1582520207">
          <w:marLeft w:val="0"/>
          <w:marRight w:val="0"/>
          <w:marTop w:val="0"/>
          <w:marBottom w:val="0"/>
          <w:divBdr>
            <w:top w:val="none" w:sz="0" w:space="0" w:color="auto"/>
            <w:left w:val="none" w:sz="0" w:space="0" w:color="auto"/>
            <w:bottom w:val="none" w:sz="0" w:space="0" w:color="auto"/>
            <w:right w:val="none" w:sz="0" w:space="0" w:color="auto"/>
          </w:divBdr>
        </w:div>
        <w:div w:id="768739593">
          <w:marLeft w:val="0"/>
          <w:marRight w:val="0"/>
          <w:marTop w:val="0"/>
          <w:marBottom w:val="0"/>
          <w:divBdr>
            <w:top w:val="none" w:sz="0" w:space="0" w:color="auto"/>
            <w:left w:val="none" w:sz="0" w:space="0" w:color="auto"/>
            <w:bottom w:val="none" w:sz="0" w:space="0" w:color="auto"/>
            <w:right w:val="none" w:sz="0" w:space="0" w:color="auto"/>
          </w:divBdr>
        </w:div>
        <w:div w:id="588193300">
          <w:marLeft w:val="0"/>
          <w:marRight w:val="0"/>
          <w:marTop w:val="0"/>
          <w:marBottom w:val="0"/>
          <w:divBdr>
            <w:top w:val="none" w:sz="0" w:space="0" w:color="auto"/>
            <w:left w:val="none" w:sz="0" w:space="0" w:color="auto"/>
            <w:bottom w:val="none" w:sz="0" w:space="0" w:color="auto"/>
            <w:right w:val="none" w:sz="0" w:space="0" w:color="auto"/>
          </w:divBdr>
        </w:div>
        <w:div w:id="1827282428">
          <w:marLeft w:val="0"/>
          <w:marRight w:val="0"/>
          <w:marTop w:val="0"/>
          <w:marBottom w:val="0"/>
          <w:divBdr>
            <w:top w:val="none" w:sz="0" w:space="0" w:color="auto"/>
            <w:left w:val="none" w:sz="0" w:space="0" w:color="auto"/>
            <w:bottom w:val="none" w:sz="0" w:space="0" w:color="auto"/>
            <w:right w:val="none" w:sz="0" w:space="0" w:color="auto"/>
          </w:divBdr>
        </w:div>
        <w:div w:id="1709337433">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66AC-15BE-47F2-98C3-3FABF8B7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2549</Words>
  <Characters>15297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agata.kopec@dolnyslask.pl</dc:creator>
  <cp:lastModifiedBy>Agata Kopeć</cp:lastModifiedBy>
  <cp:revision>28</cp:revision>
  <cp:lastPrinted>2016-04-20T06:26:00Z</cp:lastPrinted>
  <dcterms:created xsi:type="dcterms:W3CDTF">2019-02-04T06:18:00Z</dcterms:created>
  <dcterms:modified xsi:type="dcterms:W3CDTF">2019-05-08T10:43:00Z</dcterms:modified>
</cp:coreProperties>
</file>