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1D7" w:rsidRPr="008940B1" w:rsidRDefault="009D3C56" w:rsidP="008940B1">
      <w:pPr>
        <w:autoSpaceDE w:val="0"/>
        <w:autoSpaceDN w:val="0"/>
        <w:adjustRightInd w:val="0"/>
        <w:spacing w:before="0" w:line="240" w:lineRule="auto"/>
        <w:jc w:val="center"/>
        <w:rPr>
          <w:rFonts w:ascii="Calibri" w:hAnsi="Calibri" w:cs="Calibri"/>
          <w:b/>
          <w:color w:val="000000"/>
          <w:sz w:val="20"/>
        </w:rPr>
      </w:pPr>
      <w:bookmarkStart w:id="0" w:name="_Toc426632922"/>
      <w:bookmarkStart w:id="1" w:name="_Toc430826826"/>
      <w:bookmarkStart w:id="2" w:name="_Toc432758974"/>
      <w:r w:rsidRPr="008940B1">
        <w:rPr>
          <w:rFonts w:ascii="Calibri" w:hAnsi="Calibri" w:cs="Calibri"/>
          <w:b/>
          <w:color w:val="000000"/>
          <w:sz w:val="20"/>
        </w:rPr>
        <w:t xml:space="preserve">Lista wskaźników na poziomie projektu </w:t>
      </w:r>
    </w:p>
    <w:p w:rsidR="00EE0005" w:rsidRPr="008940B1" w:rsidRDefault="009D3C56" w:rsidP="008940B1">
      <w:pPr>
        <w:autoSpaceDE w:val="0"/>
        <w:autoSpaceDN w:val="0"/>
        <w:adjustRightInd w:val="0"/>
        <w:spacing w:before="0" w:line="240" w:lineRule="auto"/>
        <w:jc w:val="center"/>
        <w:rPr>
          <w:rFonts w:ascii="Calibri" w:hAnsi="Calibri" w:cs="Calibri"/>
          <w:b/>
          <w:color w:val="000000"/>
          <w:sz w:val="20"/>
        </w:rPr>
      </w:pPr>
      <w:r w:rsidRPr="008940B1">
        <w:rPr>
          <w:rFonts w:ascii="Calibri" w:hAnsi="Calibri" w:cs="Calibri"/>
          <w:b/>
          <w:color w:val="000000"/>
          <w:sz w:val="20"/>
        </w:rPr>
        <w:t xml:space="preserve">dla </w:t>
      </w:r>
      <w:r w:rsidR="00FA51D7" w:rsidRPr="008940B1">
        <w:rPr>
          <w:rFonts w:ascii="Calibri" w:hAnsi="Calibri" w:cs="Calibri"/>
          <w:b/>
          <w:color w:val="000000"/>
          <w:sz w:val="20"/>
        </w:rPr>
        <w:t xml:space="preserve">Działania </w:t>
      </w:r>
      <w:r w:rsidR="00352B50" w:rsidRPr="008940B1">
        <w:rPr>
          <w:rFonts w:ascii="Calibri" w:hAnsi="Calibri" w:cs="Calibri"/>
          <w:b/>
          <w:color w:val="000000"/>
          <w:sz w:val="20"/>
        </w:rPr>
        <w:t>3.</w:t>
      </w:r>
      <w:r w:rsidRPr="008940B1">
        <w:rPr>
          <w:rFonts w:ascii="Calibri" w:hAnsi="Calibri" w:cs="Calibri"/>
          <w:b/>
          <w:color w:val="000000"/>
          <w:sz w:val="20"/>
        </w:rPr>
        <w:t>4</w:t>
      </w:r>
      <w:r w:rsidR="00FA51D7" w:rsidRPr="008940B1">
        <w:rPr>
          <w:rFonts w:ascii="Calibri" w:hAnsi="Calibri" w:cs="Calibri"/>
          <w:b/>
          <w:color w:val="000000"/>
          <w:sz w:val="20"/>
        </w:rPr>
        <w:t xml:space="preserve"> </w:t>
      </w:r>
      <w:r w:rsidR="00352B50" w:rsidRPr="008940B1">
        <w:rPr>
          <w:rFonts w:ascii="Calibri" w:hAnsi="Calibri" w:cs="Calibri"/>
          <w:b/>
          <w:color w:val="000000"/>
          <w:sz w:val="20"/>
        </w:rPr>
        <w:t xml:space="preserve">Wdrażanie strategii niskoemisyjnych </w:t>
      </w:r>
    </w:p>
    <w:p w:rsidR="009D3C56" w:rsidRPr="008940B1" w:rsidRDefault="009E60AF" w:rsidP="008940B1">
      <w:pPr>
        <w:autoSpaceDE w:val="0"/>
        <w:autoSpaceDN w:val="0"/>
        <w:adjustRightInd w:val="0"/>
        <w:spacing w:before="0" w:line="240" w:lineRule="auto"/>
        <w:jc w:val="center"/>
        <w:rPr>
          <w:b/>
          <w:sz w:val="20"/>
        </w:rPr>
      </w:pPr>
      <w:r w:rsidRPr="008940B1">
        <w:rPr>
          <w:rFonts w:asciiTheme="minorHAnsi" w:hAnsiTheme="minorHAnsi" w:cs="Calibri"/>
          <w:b/>
          <w:color w:val="000000"/>
          <w:sz w:val="20"/>
        </w:rPr>
        <w:t>P</w:t>
      </w:r>
      <w:r w:rsidR="00EE0005" w:rsidRPr="008940B1">
        <w:rPr>
          <w:rFonts w:asciiTheme="minorHAnsi" w:hAnsiTheme="minorHAnsi" w:cs="Calibri"/>
          <w:b/>
          <w:color w:val="000000"/>
          <w:sz w:val="20"/>
        </w:rPr>
        <w:t>oddziałania</w:t>
      </w:r>
      <w:r w:rsidR="00EE0005" w:rsidRPr="008940B1">
        <w:rPr>
          <w:rFonts w:asciiTheme="minorHAnsi" w:eastAsia="Droid Sans Fallback" w:hAnsiTheme="minorHAnsi" w:cs="Calibri"/>
          <w:b/>
          <w:color w:val="00000A"/>
          <w:sz w:val="20"/>
        </w:rPr>
        <w:t xml:space="preserve"> 3.4.</w:t>
      </w:r>
      <w:r w:rsidR="00780DD9">
        <w:rPr>
          <w:rFonts w:asciiTheme="minorHAnsi" w:eastAsia="Droid Sans Fallback" w:hAnsiTheme="minorHAnsi" w:cs="Calibri"/>
          <w:b/>
          <w:color w:val="00000A"/>
          <w:sz w:val="20"/>
        </w:rPr>
        <w:t>1</w:t>
      </w:r>
      <w:r w:rsidR="00EE0005" w:rsidRPr="008940B1">
        <w:rPr>
          <w:rFonts w:asciiTheme="minorHAnsi" w:eastAsia="Droid Sans Fallback" w:hAnsiTheme="minorHAnsi" w:cs="Calibri"/>
          <w:b/>
          <w:color w:val="00000A"/>
          <w:sz w:val="20"/>
        </w:rPr>
        <w:t xml:space="preserve"> </w:t>
      </w:r>
      <w:r w:rsidR="00EE0005" w:rsidRPr="008940B1">
        <w:rPr>
          <w:rFonts w:asciiTheme="minorHAnsi" w:hAnsiTheme="minorHAnsi" w:cs="Arial"/>
          <w:b/>
          <w:bCs/>
          <w:sz w:val="20"/>
        </w:rPr>
        <w:t xml:space="preserve">Wdrażanie strategii niskoemisyjnych - </w:t>
      </w:r>
      <w:r w:rsidR="00780DD9" w:rsidRPr="00780DD9">
        <w:rPr>
          <w:rFonts w:asciiTheme="minorHAnsi" w:hAnsiTheme="minorHAnsi" w:cs="Arial"/>
          <w:b/>
          <w:bCs/>
          <w:sz w:val="20"/>
        </w:rPr>
        <w:t xml:space="preserve">konkursy horyzontalne – nabór na OSI </w:t>
      </w:r>
      <w:r w:rsidR="00EE0005" w:rsidRPr="008940B1">
        <w:rPr>
          <w:rFonts w:asciiTheme="minorHAnsi" w:hAnsiTheme="minorHAnsi" w:cs="Arial"/>
          <w:b/>
          <w:bCs/>
          <w:sz w:val="20"/>
        </w:rPr>
        <w:t xml:space="preserve">- </w:t>
      </w:r>
      <w:r w:rsidR="00EE0005" w:rsidRPr="008940B1">
        <w:rPr>
          <w:rFonts w:asciiTheme="minorHAnsi" w:hAnsiTheme="minorHAnsi" w:cs="Arial"/>
          <w:b/>
          <w:sz w:val="20"/>
        </w:rPr>
        <w:t xml:space="preserve">typ projektu </w:t>
      </w:r>
      <w:r w:rsidR="00780DD9">
        <w:rPr>
          <w:rFonts w:asciiTheme="minorHAnsi" w:hAnsiTheme="minorHAnsi" w:cs="Arial"/>
          <w:b/>
          <w:sz w:val="20"/>
        </w:rPr>
        <w:t>a</w:t>
      </w:r>
      <w:r w:rsidR="00EE0005" w:rsidRPr="008940B1">
        <w:rPr>
          <w:rFonts w:asciiTheme="minorHAnsi" w:hAnsiTheme="minorHAnsi" w:cs="Arial"/>
          <w:b/>
          <w:sz w:val="20"/>
        </w:rPr>
        <w:t xml:space="preserve">) </w:t>
      </w:r>
      <w:r w:rsidR="00822185" w:rsidRPr="008940B1">
        <w:rPr>
          <w:rFonts w:ascii="Calibri" w:hAnsi="Calibri" w:cs="Calibri"/>
          <w:b/>
          <w:color w:val="000000"/>
          <w:sz w:val="20"/>
        </w:rPr>
        <w:t>RPO WD 2014-2020</w:t>
      </w:r>
    </w:p>
    <w:bookmarkEnd w:id="0"/>
    <w:bookmarkEnd w:id="1"/>
    <w:bookmarkEnd w:id="2"/>
    <w:p w:rsidR="00A81480" w:rsidRPr="008940B1" w:rsidRDefault="00A81480" w:rsidP="008940B1">
      <w:pPr>
        <w:autoSpaceDE w:val="0"/>
        <w:autoSpaceDN w:val="0"/>
        <w:spacing w:before="120" w:after="120" w:line="240" w:lineRule="auto"/>
        <w:jc w:val="both"/>
        <w:rPr>
          <w:rFonts w:asciiTheme="minorHAnsi" w:eastAsiaTheme="minorHAnsi" w:hAnsiTheme="minorHAnsi" w:cs="Calibri"/>
          <w:sz w:val="20"/>
          <w:lang w:eastAsia="en-US"/>
        </w:rPr>
      </w:pPr>
      <w:r w:rsidRPr="008940B1">
        <w:rPr>
          <w:rFonts w:asciiTheme="minorHAnsi" w:eastAsiaTheme="minorHAnsi" w:hAnsiTheme="minorHAnsi" w:cs="Calibri"/>
          <w:sz w:val="20"/>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A81480" w:rsidRPr="008940B1" w:rsidRDefault="00A81480" w:rsidP="008940B1">
      <w:pPr>
        <w:autoSpaceDE w:val="0"/>
        <w:autoSpaceDN w:val="0"/>
        <w:spacing w:before="120" w:after="120" w:line="240" w:lineRule="auto"/>
        <w:jc w:val="both"/>
        <w:rPr>
          <w:rFonts w:asciiTheme="minorHAnsi" w:hAnsiTheme="minorHAnsi"/>
          <w:sz w:val="20"/>
        </w:rPr>
      </w:pPr>
      <w:r w:rsidRPr="008940B1">
        <w:rPr>
          <w:rFonts w:asciiTheme="minorHAnsi" w:eastAsiaTheme="minorHAnsi" w:hAnsiTheme="minorHAnsi" w:cs="Calibri"/>
          <w:sz w:val="20"/>
          <w:lang w:eastAsia="en-US"/>
        </w:rPr>
        <w:t xml:space="preserve">Wybór wskaźników projektu powinien być powiązany z typem realizowanego przedsięwzięcia i planowanymi działaniami, które wnioskodawca zamierza podjąć w ramach projektu. </w:t>
      </w:r>
      <w:r w:rsidRPr="008940B1">
        <w:rPr>
          <w:rFonts w:asciiTheme="minorHAnsi" w:eastAsiaTheme="minorHAnsi" w:hAnsiTheme="minorHAnsi" w:cs="Calibri"/>
          <w:bCs/>
          <w:sz w:val="20"/>
          <w:lang w:eastAsia="en-US"/>
        </w:rPr>
        <w:t>Do celu głównego projektu wnioskodawca powinien dobrać odpowiednie wskaźniki, produktu i rezultatu</w:t>
      </w:r>
      <w:r w:rsidRPr="008940B1">
        <w:rPr>
          <w:rFonts w:asciiTheme="minorHAnsi" w:eastAsiaTheme="minorHAnsi" w:hAnsiTheme="minorHAnsi" w:cs="Calibri"/>
          <w:sz w:val="20"/>
          <w:lang w:eastAsia="en-US"/>
        </w:rPr>
        <w:t xml:space="preserve"> bezpośredniego. Muszą być logicznie powiązane z projektem i spójne. </w:t>
      </w:r>
    </w:p>
    <w:p w:rsidR="00A81480" w:rsidRPr="008940B1" w:rsidRDefault="00A81480" w:rsidP="008940B1">
      <w:pPr>
        <w:autoSpaceDE w:val="0"/>
        <w:autoSpaceDN w:val="0"/>
        <w:spacing w:before="120" w:after="120" w:line="240" w:lineRule="auto"/>
        <w:jc w:val="both"/>
        <w:rPr>
          <w:rFonts w:asciiTheme="minorHAnsi" w:eastAsiaTheme="minorHAnsi" w:hAnsiTheme="minorHAnsi" w:cs="Calibri"/>
          <w:sz w:val="20"/>
          <w:lang w:eastAsia="en-US"/>
        </w:rPr>
      </w:pPr>
      <w:r w:rsidRPr="008940B1">
        <w:rPr>
          <w:rFonts w:asciiTheme="minorHAnsi" w:hAnsiTheme="minorHAnsi"/>
          <w:sz w:val="20"/>
        </w:rPr>
        <w:t>Każdy ze wskaźników powinien posiadać następujące cechy:</w:t>
      </w:r>
    </w:p>
    <w:p w:rsidR="00A81480" w:rsidRPr="008940B1" w:rsidRDefault="00A81480" w:rsidP="008940B1">
      <w:pPr>
        <w:numPr>
          <w:ilvl w:val="0"/>
          <w:numId w:val="10"/>
        </w:numPr>
        <w:autoSpaceDE w:val="0"/>
        <w:autoSpaceDN w:val="0"/>
        <w:spacing w:before="0" w:line="240" w:lineRule="auto"/>
        <w:ind w:left="284" w:hanging="284"/>
        <w:jc w:val="both"/>
        <w:rPr>
          <w:rFonts w:asciiTheme="minorHAnsi" w:hAnsiTheme="minorHAnsi"/>
          <w:sz w:val="20"/>
        </w:rPr>
      </w:pPr>
      <w:r w:rsidRPr="008940B1">
        <w:rPr>
          <w:rFonts w:asciiTheme="minorHAnsi" w:hAnsiTheme="minorHAnsi"/>
          <w:sz w:val="20"/>
        </w:rPr>
        <w:t>adekwatność – wskaźnik powinien być dostosowany do charakteru projektu oraz oczekiwanych efektów związanych z jego realizacją;</w:t>
      </w:r>
    </w:p>
    <w:p w:rsidR="00A81480" w:rsidRPr="008940B1" w:rsidRDefault="00A81480" w:rsidP="008940B1">
      <w:pPr>
        <w:numPr>
          <w:ilvl w:val="0"/>
          <w:numId w:val="10"/>
        </w:numPr>
        <w:autoSpaceDE w:val="0"/>
        <w:autoSpaceDN w:val="0"/>
        <w:spacing w:before="0" w:line="240" w:lineRule="auto"/>
        <w:ind w:left="284" w:hanging="284"/>
        <w:jc w:val="both"/>
        <w:rPr>
          <w:rFonts w:asciiTheme="minorHAnsi" w:hAnsiTheme="minorHAnsi"/>
          <w:sz w:val="20"/>
        </w:rPr>
      </w:pPr>
      <w:r w:rsidRPr="008940B1">
        <w:rPr>
          <w:rFonts w:asciiTheme="minorHAnsi" w:hAnsiTheme="minorHAnsi"/>
          <w:sz w:val="20"/>
        </w:rPr>
        <w:t>mierzalność – wskaźnik powinien być kwantyfikowalny, tj. wyrażony w wartościach liczbowych bądź finansowych;</w:t>
      </w:r>
    </w:p>
    <w:p w:rsidR="00A81480" w:rsidRPr="008940B1" w:rsidRDefault="00A81480" w:rsidP="00E64CE1">
      <w:pPr>
        <w:numPr>
          <w:ilvl w:val="0"/>
          <w:numId w:val="10"/>
        </w:numPr>
        <w:tabs>
          <w:tab w:val="left" w:pos="3402"/>
        </w:tabs>
        <w:autoSpaceDE w:val="0"/>
        <w:autoSpaceDN w:val="0"/>
        <w:spacing w:before="0" w:line="240" w:lineRule="auto"/>
        <w:ind w:left="284" w:hanging="284"/>
        <w:jc w:val="both"/>
        <w:rPr>
          <w:rFonts w:asciiTheme="minorHAnsi" w:hAnsiTheme="minorHAnsi"/>
          <w:sz w:val="20"/>
        </w:rPr>
      </w:pPr>
      <w:r w:rsidRPr="008940B1">
        <w:rPr>
          <w:rFonts w:asciiTheme="minorHAnsi" w:hAnsiTheme="minorHAnsi"/>
          <w:sz w:val="20"/>
        </w:rPr>
        <w:t>wiarygodność – wskaźnik powinien być zdefiniowany w taki sposób, aby jego weryfikacja nie powodowała utrudnień;</w:t>
      </w:r>
    </w:p>
    <w:p w:rsidR="00A81480" w:rsidRPr="008940B1" w:rsidRDefault="00A81480" w:rsidP="008940B1">
      <w:pPr>
        <w:numPr>
          <w:ilvl w:val="0"/>
          <w:numId w:val="10"/>
        </w:numPr>
        <w:autoSpaceDE w:val="0"/>
        <w:autoSpaceDN w:val="0"/>
        <w:spacing w:before="0" w:line="240" w:lineRule="auto"/>
        <w:ind w:left="284" w:hanging="284"/>
        <w:jc w:val="both"/>
        <w:rPr>
          <w:rFonts w:asciiTheme="minorHAnsi" w:hAnsiTheme="minorHAnsi"/>
          <w:sz w:val="20"/>
        </w:rPr>
      </w:pPr>
      <w:r w:rsidRPr="008940B1">
        <w:rPr>
          <w:rFonts w:asciiTheme="minorHAnsi" w:hAnsiTheme="minorHAnsi"/>
          <w:sz w:val="20"/>
        </w:rPr>
        <w:t>dostępność – wskaźnik powinien być łatwy do określenia w wyniku realizacji projektu;</w:t>
      </w:r>
    </w:p>
    <w:p w:rsidR="00A81480" w:rsidRPr="008940B1" w:rsidRDefault="00A81480" w:rsidP="008940B1">
      <w:pPr>
        <w:numPr>
          <w:ilvl w:val="0"/>
          <w:numId w:val="10"/>
        </w:numPr>
        <w:autoSpaceDE w:val="0"/>
        <w:autoSpaceDN w:val="0"/>
        <w:spacing w:before="0" w:line="240" w:lineRule="auto"/>
        <w:ind w:left="284" w:hanging="284"/>
        <w:jc w:val="both"/>
        <w:rPr>
          <w:rFonts w:asciiTheme="minorHAnsi" w:hAnsiTheme="minorHAnsi"/>
          <w:sz w:val="20"/>
        </w:rPr>
      </w:pPr>
      <w:r w:rsidRPr="008940B1">
        <w:rPr>
          <w:rFonts w:asciiTheme="minorHAnsi" w:hAnsiTheme="minorHAnsi"/>
          <w:sz w:val="20"/>
        </w:rPr>
        <w:t>określony w czasie – wartość wskaźnika powinna zostać określona w czasie, tj. określony rok osiągnięcia wartości docelowej wskaźnika oraz okres, w którym będzie mierzony wskaźnik.</w:t>
      </w:r>
    </w:p>
    <w:p w:rsidR="00A81480" w:rsidRPr="008940B1" w:rsidRDefault="00A81480" w:rsidP="008940B1">
      <w:pPr>
        <w:autoSpaceDE w:val="0"/>
        <w:autoSpaceDN w:val="0"/>
        <w:adjustRightInd w:val="0"/>
        <w:spacing w:before="120" w:line="240" w:lineRule="auto"/>
        <w:jc w:val="both"/>
        <w:rPr>
          <w:rFonts w:asciiTheme="minorHAnsi" w:eastAsiaTheme="minorHAnsi" w:hAnsiTheme="minorHAnsi" w:cs="Calibri"/>
          <w:sz w:val="20"/>
          <w:lang w:eastAsia="en-US"/>
        </w:rPr>
      </w:pPr>
      <w:r w:rsidRPr="008940B1">
        <w:rPr>
          <w:rFonts w:asciiTheme="minorHAnsi" w:eastAsiaTheme="minorHAnsi" w:hAnsiTheme="minorHAnsi" w:cs="Calibri"/>
          <w:sz w:val="20"/>
          <w:lang w:eastAsia="en-US"/>
        </w:rPr>
        <w:t>Odpowiednio we wniosku o dofinansowanie należy określić, w jaki sposób mierzona będzie realizacja celu poprzez ustalenie wskaźników. Należy określić, co najmniej jeden podstawowy i mierzalny wskaźnik, który w sposób precyzyjny umożliwi weryfikację stopnia realizacji celu głównego projektu.</w:t>
      </w:r>
    </w:p>
    <w:p w:rsidR="00A81480" w:rsidRPr="008940B1" w:rsidRDefault="00A81480" w:rsidP="008940B1">
      <w:pPr>
        <w:spacing w:before="120" w:after="120" w:line="240" w:lineRule="auto"/>
        <w:jc w:val="both"/>
        <w:rPr>
          <w:rFonts w:asciiTheme="minorHAnsi" w:hAnsiTheme="minorHAnsi"/>
          <w:b/>
          <w:sz w:val="20"/>
        </w:rPr>
      </w:pPr>
      <w:r w:rsidRPr="008940B1">
        <w:rPr>
          <w:rFonts w:asciiTheme="minorHAnsi" w:hAnsiTheme="minorHAnsi"/>
          <w:b/>
          <w:sz w:val="20"/>
        </w:rPr>
        <w:t>W ramach RPO WD 2014-2020 rozróżnia się następujące wskaźniki:</w:t>
      </w:r>
    </w:p>
    <w:p w:rsidR="00A81480" w:rsidRPr="008940B1" w:rsidRDefault="00A81480" w:rsidP="008940B1">
      <w:pPr>
        <w:pStyle w:val="Akapitzlist"/>
        <w:numPr>
          <w:ilvl w:val="0"/>
          <w:numId w:val="5"/>
        </w:numPr>
        <w:spacing w:before="120" w:after="120" w:line="240" w:lineRule="auto"/>
        <w:ind w:left="284" w:hanging="284"/>
        <w:jc w:val="both"/>
        <w:rPr>
          <w:rFonts w:asciiTheme="minorHAnsi" w:hAnsiTheme="minorHAnsi"/>
          <w:b/>
          <w:sz w:val="20"/>
        </w:rPr>
      </w:pPr>
      <w:r w:rsidRPr="008940B1">
        <w:rPr>
          <w:rFonts w:asciiTheme="minorHAnsi" w:hAnsiTheme="minorHAnsi"/>
          <w:b/>
          <w:sz w:val="20"/>
        </w:rPr>
        <w:t>obligatoryjne – wskaźniki ujęte w RPO WD 2014-2020, SZOOP RPO WD 2014-2020;</w:t>
      </w:r>
    </w:p>
    <w:p w:rsidR="00A81480" w:rsidRPr="008940B1" w:rsidRDefault="00A81480" w:rsidP="008940B1">
      <w:pPr>
        <w:pStyle w:val="Akapitzlist"/>
        <w:numPr>
          <w:ilvl w:val="0"/>
          <w:numId w:val="5"/>
        </w:numPr>
        <w:spacing w:before="120" w:after="120" w:line="240" w:lineRule="auto"/>
        <w:ind w:left="284" w:hanging="284"/>
        <w:jc w:val="both"/>
        <w:rPr>
          <w:rFonts w:asciiTheme="minorHAnsi" w:hAnsiTheme="minorHAnsi"/>
          <w:b/>
          <w:sz w:val="20"/>
        </w:rPr>
      </w:pPr>
      <w:r w:rsidRPr="008940B1">
        <w:rPr>
          <w:rFonts w:asciiTheme="minorHAnsi" w:hAnsiTheme="minorHAnsi"/>
          <w:b/>
          <w:sz w:val="20"/>
        </w:rPr>
        <w:t>horyzontalne;</w:t>
      </w:r>
    </w:p>
    <w:p w:rsidR="00A81480" w:rsidRPr="008940B1" w:rsidRDefault="00A81480" w:rsidP="008940B1">
      <w:pPr>
        <w:pStyle w:val="Akapitzlist"/>
        <w:numPr>
          <w:ilvl w:val="0"/>
          <w:numId w:val="5"/>
        </w:numPr>
        <w:spacing w:before="120" w:after="120" w:line="240" w:lineRule="auto"/>
        <w:ind w:left="284" w:hanging="284"/>
        <w:jc w:val="both"/>
        <w:rPr>
          <w:rFonts w:asciiTheme="minorHAnsi" w:hAnsiTheme="minorHAnsi"/>
          <w:b/>
          <w:sz w:val="20"/>
        </w:rPr>
      </w:pPr>
      <w:r w:rsidRPr="008940B1">
        <w:rPr>
          <w:rFonts w:asciiTheme="minorHAnsi" w:hAnsiTheme="minorHAnsi"/>
          <w:b/>
          <w:sz w:val="20"/>
        </w:rPr>
        <w:t>dodatkowe – wskaźniki projektowe.</w:t>
      </w:r>
    </w:p>
    <w:p w:rsidR="00A81480" w:rsidRPr="008940B1" w:rsidRDefault="00A81480" w:rsidP="008940B1">
      <w:pPr>
        <w:pStyle w:val="Nagwek1"/>
        <w:spacing w:before="120" w:after="120" w:line="240" w:lineRule="auto"/>
        <w:jc w:val="both"/>
        <w:rPr>
          <w:rFonts w:asciiTheme="minorHAnsi" w:hAnsiTheme="minorHAnsi"/>
          <w:sz w:val="20"/>
          <w:szCs w:val="20"/>
        </w:rPr>
      </w:pPr>
      <w:r w:rsidRPr="008940B1">
        <w:rPr>
          <w:rFonts w:asciiTheme="minorHAnsi" w:hAnsiTheme="minorHAnsi"/>
          <w:sz w:val="20"/>
          <w:szCs w:val="20"/>
        </w:rPr>
        <w:t>Wymagania w zakresie wskaźników w projekcie:</w:t>
      </w:r>
    </w:p>
    <w:p w:rsidR="00A81480" w:rsidRPr="008940B1" w:rsidRDefault="00A81480" w:rsidP="008940B1">
      <w:pPr>
        <w:pStyle w:val="Default"/>
        <w:jc w:val="both"/>
        <w:rPr>
          <w:rFonts w:asciiTheme="minorHAnsi" w:eastAsiaTheme="minorHAnsi" w:hAnsiTheme="minorHAnsi" w:cs="Calibri"/>
          <w:lang w:eastAsia="en-US"/>
        </w:rPr>
      </w:pPr>
      <w:r w:rsidRPr="008940B1">
        <w:rPr>
          <w:rFonts w:asciiTheme="minorHAnsi" w:eastAsiaTheme="minorHAnsi" w:hAnsiTheme="minorHAnsi" w:cs="Calibri"/>
          <w:lang w:eastAsia="en-US"/>
        </w:rPr>
        <w:t xml:space="preserve">W ramach wniosku o dofinansowanie projektu wnioskodawca określa </w:t>
      </w:r>
      <w:r w:rsidRPr="008940B1">
        <w:rPr>
          <w:rFonts w:asciiTheme="minorHAnsi" w:eastAsiaTheme="minorHAnsi" w:hAnsiTheme="minorHAnsi" w:cs="Calibri"/>
          <w:b/>
          <w:bCs/>
          <w:lang w:eastAsia="en-US"/>
        </w:rPr>
        <w:t>wskaźniki służące pomiarowi działań i celów założonych w projekcie.</w:t>
      </w:r>
      <w:r w:rsidRPr="008940B1">
        <w:rPr>
          <w:rFonts w:asciiTheme="minorHAnsi" w:eastAsiaTheme="minorHAnsi" w:hAnsiTheme="minorHAnsi" w:cs="Calibri"/>
          <w:lang w:eastAsia="en-US"/>
        </w:rPr>
        <w:t xml:space="preserve"> Wskaźniki w ramach projektu należy określić mając w szczególności na uwadze zapisy niniejszego Regulaminu.</w:t>
      </w:r>
    </w:p>
    <w:p w:rsidR="00A81480" w:rsidRPr="008940B1" w:rsidRDefault="00A81480" w:rsidP="008940B1">
      <w:pPr>
        <w:pStyle w:val="Default"/>
        <w:jc w:val="both"/>
        <w:rPr>
          <w:rFonts w:asciiTheme="minorHAnsi" w:eastAsiaTheme="minorHAnsi" w:hAnsiTheme="minorHAnsi" w:cs="Calibri"/>
          <w:lang w:eastAsia="en-US"/>
        </w:rPr>
      </w:pPr>
    </w:p>
    <w:p w:rsidR="00A81480" w:rsidRPr="008940B1" w:rsidRDefault="00A81480" w:rsidP="008940B1">
      <w:pPr>
        <w:pStyle w:val="Default"/>
        <w:jc w:val="both"/>
        <w:rPr>
          <w:rFonts w:asciiTheme="minorHAnsi" w:hAnsiTheme="minorHAnsi"/>
          <w:b/>
        </w:rPr>
      </w:pPr>
      <w:r w:rsidRPr="008940B1">
        <w:rPr>
          <w:rFonts w:asciiTheme="minorHAnsi" w:hAnsiTheme="minorHAnsi"/>
          <w:b/>
        </w:rPr>
        <w:t>W przypadku, gdy w ramach danego Działania uwzględniony został wskaźnik z RPO WD 2014-2020, SZOOP RPO WD 2014-2020, który odzwierciedla zakres projektu, jego wykazanie dla wnioskodawcy jest obligatoryjne</w:t>
      </w:r>
      <w:r w:rsidR="00970181" w:rsidRPr="008940B1">
        <w:rPr>
          <w:rFonts w:asciiTheme="minorHAnsi" w:hAnsiTheme="minorHAnsi"/>
          <w:b/>
        </w:rPr>
        <w:t xml:space="preserve"> (także wskaźników horyzontalnych)</w:t>
      </w:r>
      <w:r w:rsidRPr="008940B1">
        <w:rPr>
          <w:rFonts w:asciiTheme="minorHAnsi" w:hAnsiTheme="minorHAnsi"/>
          <w:b/>
        </w:rPr>
        <w:t>.</w:t>
      </w:r>
    </w:p>
    <w:p w:rsidR="00A81480" w:rsidRPr="008940B1" w:rsidRDefault="00A81480" w:rsidP="008940B1">
      <w:pPr>
        <w:autoSpaceDE w:val="0"/>
        <w:autoSpaceDN w:val="0"/>
        <w:adjustRightInd w:val="0"/>
        <w:spacing w:line="240" w:lineRule="auto"/>
        <w:jc w:val="both"/>
        <w:rPr>
          <w:rFonts w:asciiTheme="minorHAnsi" w:hAnsiTheme="minorHAnsi" w:cs="Arial"/>
          <w:color w:val="000000"/>
          <w:sz w:val="20"/>
        </w:rPr>
      </w:pPr>
      <w:r w:rsidRPr="008940B1">
        <w:rPr>
          <w:rFonts w:asciiTheme="minorHAnsi" w:hAnsiTheme="minorHAnsi" w:cs="Arial"/>
          <w:b/>
          <w:color w:val="000000"/>
          <w:sz w:val="20"/>
        </w:rPr>
        <w:t>W</w:t>
      </w:r>
      <w:r w:rsidRPr="008940B1">
        <w:rPr>
          <w:rFonts w:asciiTheme="minorHAnsi" w:hAnsiTheme="minorHAnsi" w:cs="Arial"/>
          <w:b/>
          <w:bCs/>
          <w:color w:val="000000"/>
          <w:sz w:val="20"/>
        </w:rPr>
        <w:t>skaźniki produktu</w:t>
      </w:r>
      <w:r w:rsidRPr="008940B1">
        <w:rPr>
          <w:rFonts w:asciiTheme="minorHAnsi" w:hAnsiTheme="minorHAnsi" w:cs="Arial"/>
          <w:bCs/>
          <w:color w:val="000000"/>
          <w:sz w:val="20"/>
        </w:rPr>
        <w:t xml:space="preserve"> są to wskaźniki powiązane bezpośrednio z wydatkami ponoszonymi w projekcie</w:t>
      </w:r>
      <w:r w:rsidRPr="008940B1">
        <w:rPr>
          <w:rFonts w:asciiTheme="minorHAnsi" w:hAnsiTheme="minorHAnsi" w:cs="Arial"/>
          <w:color w:val="000000"/>
          <w:sz w:val="20"/>
        </w:rPr>
        <w:t>, mierzone konkretnymi wielkościami. Liczone są w jednostkach fizycznych lub monetarnych. Wybrane przez wnioskodawcę wskaźniki muszą być adekwatne do zakresu projektu oraz mają być powiązane z głównymi kategoriami wydatków w projekcie.</w:t>
      </w:r>
    </w:p>
    <w:p w:rsidR="00DF6D97" w:rsidRPr="008940B1" w:rsidRDefault="00DF6D97" w:rsidP="008940B1">
      <w:pPr>
        <w:autoSpaceDE w:val="0"/>
        <w:autoSpaceDN w:val="0"/>
        <w:adjustRightInd w:val="0"/>
        <w:spacing w:before="120" w:after="120" w:line="240" w:lineRule="auto"/>
        <w:jc w:val="both"/>
        <w:rPr>
          <w:rFonts w:asciiTheme="minorHAnsi" w:hAnsiTheme="minorHAnsi"/>
          <w:b/>
          <w:sz w:val="20"/>
        </w:rPr>
      </w:pPr>
      <w:r w:rsidRPr="008940B1">
        <w:rPr>
          <w:rFonts w:asciiTheme="minorHAnsi" w:hAnsiTheme="minorHAnsi"/>
          <w:sz w:val="20"/>
        </w:rPr>
        <w:t xml:space="preserve">W ramach Działania </w:t>
      </w:r>
      <w:r w:rsidR="00352B50" w:rsidRPr="008940B1">
        <w:rPr>
          <w:rFonts w:asciiTheme="minorHAnsi" w:hAnsiTheme="minorHAnsi"/>
          <w:sz w:val="20"/>
        </w:rPr>
        <w:t>3.</w:t>
      </w:r>
      <w:r w:rsidRPr="008940B1">
        <w:rPr>
          <w:rFonts w:asciiTheme="minorHAnsi" w:hAnsiTheme="minorHAnsi"/>
          <w:sz w:val="20"/>
        </w:rPr>
        <w:t xml:space="preserve">4 określono poniższe </w:t>
      </w:r>
      <w:r w:rsidRPr="00E709B8">
        <w:rPr>
          <w:rFonts w:asciiTheme="minorHAnsi" w:hAnsiTheme="minorHAnsi"/>
          <w:b/>
          <w:sz w:val="20"/>
        </w:rPr>
        <w:t xml:space="preserve">wskaźniki </w:t>
      </w:r>
      <w:r w:rsidRPr="008940B1">
        <w:rPr>
          <w:rFonts w:asciiTheme="minorHAnsi" w:hAnsiTheme="minorHAnsi"/>
          <w:b/>
          <w:sz w:val="20"/>
        </w:rPr>
        <w:t>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37"/>
        <w:gridCol w:w="849"/>
        <w:gridCol w:w="4681"/>
        <w:gridCol w:w="1521"/>
      </w:tblGrid>
      <w:tr w:rsidR="00370466" w:rsidRPr="008940B1" w:rsidTr="007E2D2C">
        <w:trPr>
          <w:cantSplit/>
          <w:trHeight w:val="20"/>
          <w:jc w:val="center"/>
        </w:trPr>
        <w:tc>
          <w:tcPr>
            <w:tcW w:w="1204" w:type="pct"/>
            <w:shd w:val="clear" w:color="auto" w:fill="auto"/>
            <w:vAlign w:val="center"/>
          </w:tcPr>
          <w:p w:rsidR="005657D8" w:rsidRPr="008940B1" w:rsidRDefault="005657D8" w:rsidP="008940B1">
            <w:pPr>
              <w:spacing w:before="0" w:line="240" w:lineRule="auto"/>
              <w:jc w:val="center"/>
              <w:rPr>
                <w:rFonts w:asciiTheme="minorHAnsi" w:hAnsiTheme="minorHAnsi"/>
                <w:b/>
                <w:sz w:val="20"/>
              </w:rPr>
            </w:pPr>
            <w:r w:rsidRPr="008940B1">
              <w:rPr>
                <w:rFonts w:asciiTheme="minorHAnsi" w:hAnsiTheme="minorHAnsi"/>
                <w:b/>
                <w:sz w:val="20"/>
              </w:rPr>
              <w:t>Nazwa wskaźnika produktu</w:t>
            </w:r>
          </w:p>
        </w:tc>
        <w:tc>
          <w:tcPr>
            <w:tcW w:w="457" w:type="pct"/>
            <w:vAlign w:val="center"/>
          </w:tcPr>
          <w:p w:rsidR="005657D8" w:rsidRPr="008940B1" w:rsidRDefault="005657D8" w:rsidP="008940B1">
            <w:pPr>
              <w:suppressAutoHyphens/>
              <w:spacing w:before="0" w:line="240" w:lineRule="auto"/>
              <w:jc w:val="center"/>
              <w:rPr>
                <w:rFonts w:asciiTheme="minorHAnsi" w:hAnsiTheme="minorHAnsi"/>
                <w:b/>
                <w:bCs/>
                <w:sz w:val="20"/>
              </w:rPr>
            </w:pPr>
            <w:r w:rsidRPr="008940B1">
              <w:rPr>
                <w:rFonts w:asciiTheme="minorHAnsi" w:hAnsiTheme="minorHAnsi"/>
                <w:b/>
                <w:bCs/>
                <w:sz w:val="20"/>
              </w:rPr>
              <w:t>Jedn</w:t>
            </w:r>
            <w:r w:rsidR="00FD702E" w:rsidRPr="008940B1">
              <w:rPr>
                <w:rFonts w:asciiTheme="minorHAnsi" w:hAnsiTheme="minorHAnsi"/>
                <w:b/>
                <w:bCs/>
                <w:sz w:val="20"/>
              </w:rPr>
              <w:t>.</w:t>
            </w:r>
            <w:r w:rsidRPr="008940B1">
              <w:rPr>
                <w:rFonts w:asciiTheme="minorHAnsi" w:hAnsiTheme="minorHAnsi"/>
                <w:b/>
                <w:bCs/>
                <w:sz w:val="20"/>
              </w:rPr>
              <w:t xml:space="preserve"> miary</w:t>
            </w:r>
          </w:p>
        </w:tc>
        <w:tc>
          <w:tcPr>
            <w:tcW w:w="2520" w:type="pct"/>
            <w:shd w:val="clear" w:color="auto" w:fill="auto"/>
            <w:vAlign w:val="center"/>
          </w:tcPr>
          <w:p w:rsidR="005657D8" w:rsidRPr="008940B1" w:rsidRDefault="005657D8" w:rsidP="008940B1">
            <w:pPr>
              <w:suppressAutoHyphens/>
              <w:spacing w:before="0" w:line="240" w:lineRule="auto"/>
              <w:jc w:val="center"/>
              <w:rPr>
                <w:rFonts w:asciiTheme="minorHAnsi" w:hAnsiTheme="minorHAnsi"/>
                <w:b/>
                <w:sz w:val="20"/>
              </w:rPr>
            </w:pPr>
            <w:r w:rsidRPr="008940B1">
              <w:rPr>
                <w:rFonts w:asciiTheme="minorHAnsi" w:hAnsiTheme="minorHAnsi"/>
                <w:b/>
                <w:bCs/>
                <w:sz w:val="20"/>
              </w:rPr>
              <w:t>Definicja wskaźnika</w:t>
            </w:r>
          </w:p>
        </w:tc>
        <w:tc>
          <w:tcPr>
            <w:tcW w:w="819" w:type="pct"/>
            <w:vAlign w:val="center"/>
          </w:tcPr>
          <w:p w:rsidR="005657D8" w:rsidRPr="008940B1" w:rsidRDefault="005657D8" w:rsidP="008940B1">
            <w:pPr>
              <w:suppressAutoHyphens/>
              <w:spacing w:before="0" w:line="240" w:lineRule="auto"/>
              <w:jc w:val="center"/>
              <w:rPr>
                <w:rFonts w:asciiTheme="minorHAnsi" w:hAnsiTheme="minorHAnsi"/>
                <w:b/>
                <w:bCs/>
                <w:sz w:val="20"/>
              </w:rPr>
            </w:pPr>
            <w:r w:rsidRPr="008940B1">
              <w:rPr>
                <w:rFonts w:asciiTheme="minorHAnsi" w:hAnsiTheme="minorHAnsi"/>
                <w:b/>
                <w:bCs/>
                <w:sz w:val="20"/>
              </w:rPr>
              <w:t>Rodzaj dokumentu, w</w:t>
            </w:r>
            <w:r w:rsidR="007E025A" w:rsidRPr="008940B1">
              <w:rPr>
                <w:rFonts w:asciiTheme="minorHAnsi" w:hAnsiTheme="minorHAnsi"/>
                <w:b/>
                <w:bCs/>
                <w:sz w:val="20"/>
              </w:rPr>
              <w:t> </w:t>
            </w:r>
            <w:r w:rsidRPr="008940B1">
              <w:rPr>
                <w:rFonts w:asciiTheme="minorHAnsi" w:hAnsiTheme="minorHAnsi"/>
                <w:b/>
                <w:bCs/>
                <w:sz w:val="20"/>
              </w:rPr>
              <w:t>którym określono wskaźnik</w:t>
            </w:r>
          </w:p>
        </w:tc>
      </w:tr>
      <w:tr w:rsidR="00EE0005" w:rsidRPr="008940B1" w:rsidTr="00C409A8">
        <w:trPr>
          <w:trHeight w:val="20"/>
          <w:jc w:val="center"/>
        </w:trPr>
        <w:tc>
          <w:tcPr>
            <w:tcW w:w="1204" w:type="pct"/>
            <w:shd w:val="clear" w:color="auto" w:fill="auto"/>
          </w:tcPr>
          <w:p w:rsidR="00EE0005" w:rsidRPr="008940B1" w:rsidRDefault="004C43B6" w:rsidP="008940B1">
            <w:pPr>
              <w:spacing w:before="60" w:after="60" w:line="240" w:lineRule="auto"/>
              <w:rPr>
                <w:rFonts w:asciiTheme="minorHAnsi" w:hAnsiTheme="minorHAnsi" w:cs="TimesNewRoman,Bold"/>
                <w:sz w:val="20"/>
              </w:rPr>
            </w:pPr>
            <w:r w:rsidRPr="004C43B6">
              <w:rPr>
                <w:rFonts w:asciiTheme="minorHAnsi" w:hAnsiTheme="minorHAnsi" w:cs="TimesNewRoman,Bold"/>
                <w:sz w:val="20"/>
              </w:rPr>
              <w:t xml:space="preserve">Liczba zakupionych jednostek taboru pasażerskiego w </w:t>
            </w:r>
            <w:r w:rsidRPr="004C43B6">
              <w:rPr>
                <w:rFonts w:asciiTheme="minorHAnsi" w:hAnsiTheme="minorHAnsi" w:cs="TimesNewRoman,Bold"/>
                <w:sz w:val="20"/>
              </w:rPr>
              <w:lastRenderedPageBreak/>
              <w:t xml:space="preserve">publicznym transporcie zbiorowym komunikacji miejskiej </w:t>
            </w:r>
          </w:p>
        </w:tc>
        <w:tc>
          <w:tcPr>
            <w:tcW w:w="457" w:type="pct"/>
          </w:tcPr>
          <w:p w:rsidR="00EE0005" w:rsidRPr="008940B1" w:rsidRDefault="004C43B6" w:rsidP="008940B1">
            <w:pPr>
              <w:spacing w:line="240" w:lineRule="auto"/>
              <w:jc w:val="both"/>
              <w:rPr>
                <w:rFonts w:asciiTheme="minorHAnsi" w:hAnsiTheme="minorHAnsi"/>
                <w:sz w:val="20"/>
              </w:rPr>
            </w:pPr>
            <w:r w:rsidRPr="004C43B6">
              <w:rPr>
                <w:rFonts w:asciiTheme="minorHAnsi" w:eastAsiaTheme="minorHAnsi" w:hAnsiTheme="minorHAnsi"/>
                <w:sz w:val="20"/>
                <w:lang w:eastAsia="en-US"/>
              </w:rPr>
              <w:lastRenderedPageBreak/>
              <w:t>szt.</w:t>
            </w:r>
          </w:p>
        </w:tc>
        <w:tc>
          <w:tcPr>
            <w:tcW w:w="2520" w:type="pct"/>
            <w:shd w:val="clear" w:color="auto" w:fill="auto"/>
          </w:tcPr>
          <w:p w:rsidR="00343F78" w:rsidRPr="00343F78" w:rsidRDefault="00343F78" w:rsidP="00343F78">
            <w:pPr>
              <w:spacing w:before="0" w:line="240" w:lineRule="auto"/>
              <w:jc w:val="both"/>
              <w:rPr>
                <w:rFonts w:asciiTheme="minorHAnsi" w:eastAsiaTheme="minorHAnsi" w:hAnsiTheme="minorHAnsi" w:cs="Arial"/>
                <w:sz w:val="20"/>
                <w:lang w:eastAsia="en-US"/>
              </w:rPr>
            </w:pPr>
            <w:r w:rsidRPr="00343F78">
              <w:rPr>
                <w:rFonts w:asciiTheme="minorHAnsi" w:eastAsiaTheme="minorHAnsi" w:hAnsiTheme="minorHAnsi" w:cs="Arial"/>
                <w:sz w:val="20"/>
                <w:lang w:eastAsia="en-US"/>
              </w:rPr>
              <w:t xml:space="preserve">Liczba zakupionych autobusów, tramwajów, trolejbusów, środków pasażerskiego transportu wodnego, pojazdów kolejowych wykorzystywanych w </w:t>
            </w:r>
            <w:r w:rsidRPr="00343F78">
              <w:rPr>
                <w:rFonts w:asciiTheme="minorHAnsi" w:eastAsiaTheme="minorHAnsi" w:hAnsiTheme="minorHAnsi" w:cs="Arial"/>
                <w:sz w:val="20"/>
                <w:lang w:eastAsia="en-US"/>
              </w:rPr>
              <w:lastRenderedPageBreak/>
              <w:t>gminnych przewozach pasażerskich, wykonywanych w granicach administracyjnych miasta (również na terenie: miasta i gminy / miast / miast i gmin sąsiadujących, jeżeli zostało zawarte porozumienie lub został utworzony związek międzygminny, w celu wspólnej realizacji publicznego transportu zbiorowego)</w:t>
            </w:r>
            <w:r>
              <w:rPr>
                <w:rFonts w:asciiTheme="minorHAnsi" w:eastAsiaTheme="minorHAnsi" w:hAnsiTheme="minorHAnsi" w:cs="Arial"/>
                <w:sz w:val="20"/>
                <w:lang w:eastAsia="en-US"/>
              </w:rPr>
              <w:t>:</w:t>
            </w:r>
          </w:p>
          <w:p w:rsidR="00343F78" w:rsidRPr="00343F78" w:rsidRDefault="00343F78" w:rsidP="00343F78">
            <w:pPr>
              <w:pStyle w:val="Akapitzlist"/>
              <w:numPr>
                <w:ilvl w:val="0"/>
                <w:numId w:val="21"/>
              </w:numPr>
              <w:spacing w:before="0" w:line="240" w:lineRule="auto"/>
              <w:ind w:left="604" w:hanging="396"/>
              <w:jc w:val="both"/>
              <w:rPr>
                <w:rFonts w:asciiTheme="minorHAnsi" w:eastAsiaTheme="minorHAnsi" w:hAnsiTheme="minorHAnsi" w:cs="Arial"/>
                <w:sz w:val="20"/>
                <w:lang w:eastAsia="en-US"/>
              </w:rPr>
            </w:pPr>
            <w:r w:rsidRPr="00343F78">
              <w:rPr>
                <w:rFonts w:asciiTheme="minorHAnsi" w:eastAsiaTheme="minorHAnsi" w:hAnsiTheme="minorHAnsi" w:cs="Arial"/>
                <w:sz w:val="20"/>
                <w:lang w:eastAsia="en-US"/>
              </w:rPr>
              <w:t>przez autobus należy rozumieć pojazd samochodowy przeznaczony konstrukcyjnie do przewozu więcej niż 9 osób łącznie z kierowcą;</w:t>
            </w:r>
          </w:p>
          <w:p w:rsidR="00343F78" w:rsidRPr="00343F78" w:rsidRDefault="00343F78" w:rsidP="00343F78">
            <w:pPr>
              <w:pStyle w:val="Akapitzlist"/>
              <w:numPr>
                <w:ilvl w:val="0"/>
                <w:numId w:val="21"/>
              </w:numPr>
              <w:spacing w:before="0" w:line="240" w:lineRule="auto"/>
              <w:ind w:left="604" w:hanging="396"/>
              <w:jc w:val="both"/>
              <w:rPr>
                <w:rFonts w:asciiTheme="minorHAnsi" w:eastAsiaTheme="minorHAnsi" w:hAnsiTheme="minorHAnsi" w:cs="Arial"/>
                <w:sz w:val="20"/>
                <w:lang w:eastAsia="en-US"/>
              </w:rPr>
            </w:pPr>
            <w:r w:rsidRPr="00343F78">
              <w:rPr>
                <w:rFonts w:asciiTheme="minorHAnsi" w:eastAsiaTheme="minorHAnsi" w:hAnsiTheme="minorHAnsi" w:cs="Arial"/>
                <w:sz w:val="20"/>
                <w:lang w:eastAsia="en-US"/>
              </w:rPr>
              <w:t>przez tramwaj należy rozumieć pojazd przeznaczony do przewozu osób lub rzeczy zasilany energią elektryczną, poruszający się po szynach na drogach publicznych;</w:t>
            </w:r>
          </w:p>
          <w:p w:rsidR="00343F78" w:rsidRPr="00343F78" w:rsidRDefault="00343F78" w:rsidP="00343F78">
            <w:pPr>
              <w:pStyle w:val="Akapitzlist"/>
              <w:numPr>
                <w:ilvl w:val="0"/>
                <w:numId w:val="21"/>
              </w:numPr>
              <w:spacing w:before="0" w:line="240" w:lineRule="auto"/>
              <w:ind w:left="604" w:hanging="396"/>
              <w:jc w:val="both"/>
              <w:rPr>
                <w:rFonts w:asciiTheme="minorHAnsi" w:eastAsiaTheme="minorHAnsi" w:hAnsiTheme="minorHAnsi" w:cs="Arial"/>
                <w:sz w:val="20"/>
                <w:lang w:eastAsia="en-US"/>
              </w:rPr>
            </w:pPr>
            <w:r w:rsidRPr="00343F78">
              <w:rPr>
                <w:rFonts w:asciiTheme="minorHAnsi" w:eastAsiaTheme="minorHAnsi" w:hAnsiTheme="minorHAnsi" w:cs="Arial"/>
                <w:sz w:val="20"/>
                <w:lang w:eastAsia="en-US"/>
              </w:rPr>
              <w:t xml:space="preserve">przez trolejbus należy rozumieć autobus przystosowany do zasilania energią elektryczną z sieci trakcyjnej; </w:t>
            </w:r>
          </w:p>
          <w:p w:rsidR="00EE0005" w:rsidRPr="00343F78" w:rsidRDefault="00343F78" w:rsidP="00343F78">
            <w:pPr>
              <w:pStyle w:val="Akapitzlist"/>
              <w:numPr>
                <w:ilvl w:val="0"/>
                <w:numId w:val="21"/>
              </w:numPr>
              <w:spacing w:before="0" w:line="240" w:lineRule="auto"/>
              <w:ind w:left="604" w:hanging="396"/>
              <w:jc w:val="both"/>
              <w:rPr>
                <w:rFonts w:asciiTheme="minorHAnsi" w:eastAsiaTheme="minorHAnsi" w:hAnsiTheme="minorHAnsi" w:cs="Arial"/>
                <w:sz w:val="20"/>
                <w:lang w:eastAsia="en-US"/>
              </w:rPr>
            </w:pPr>
            <w:r w:rsidRPr="00343F78">
              <w:rPr>
                <w:rFonts w:asciiTheme="minorHAnsi" w:eastAsiaTheme="minorHAnsi" w:hAnsiTheme="minorHAnsi" w:cs="Arial"/>
                <w:sz w:val="20"/>
                <w:lang w:eastAsia="en-US"/>
              </w:rPr>
              <w:t>przez pojazd kolejowy należy rozumieć pojazd dostosowany do poruszania się na własnych kołach po torach kolejowych, z napędem lub bez napędu (w tym elektryczny zespół trakcyjny, spalinowy zespół trakcyjny, wagon elektryczny, wagon spalinowy, autobus szynowy (</w:t>
            </w:r>
            <w:proofErr w:type="spellStart"/>
            <w:r w:rsidRPr="00343F78">
              <w:rPr>
                <w:rFonts w:asciiTheme="minorHAnsi" w:eastAsiaTheme="minorHAnsi" w:hAnsiTheme="minorHAnsi" w:cs="Arial"/>
                <w:sz w:val="20"/>
                <w:lang w:eastAsia="en-US"/>
              </w:rPr>
              <w:t>szynobus</w:t>
            </w:r>
            <w:proofErr w:type="spellEnd"/>
            <w:r w:rsidRPr="00343F78">
              <w:rPr>
                <w:rFonts w:asciiTheme="minorHAnsi" w:eastAsiaTheme="minorHAnsi" w:hAnsiTheme="minorHAnsi" w:cs="Arial"/>
                <w:sz w:val="20"/>
                <w:lang w:eastAsia="en-US"/>
              </w:rPr>
              <w:t>), wagony metra).</w:t>
            </w:r>
          </w:p>
        </w:tc>
        <w:tc>
          <w:tcPr>
            <w:tcW w:w="819" w:type="pct"/>
          </w:tcPr>
          <w:p w:rsidR="00EE0005" w:rsidRPr="008940B1" w:rsidRDefault="006D32FE" w:rsidP="008940B1">
            <w:pPr>
              <w:autoSpaceDE w:val="0"/>
              <w:autoSpaceDN w:val="0"/>
              <w:adjustRightInd w:val="0"/>
              <w:spacing w:before="0" w:line="240" w:lineRule="auto"/>
              <w:jc w:val="both"/>
              <w:rPr>
                <w:rFonts w:asciiTheme="minorHAnsi" w:hAnsiTheme="minorHAnsi"/>
                <w:sz w:val="20"/>
              </w:rPr>
            </w:pPr>
            <w:proofErr w:type="spellStart"/>
            <w:r>
              <w:rPr>
                <w:rFonts w:asciiTheme="minorHAnsi" w:hAnsiTheme="minorHAnsi"/>
                <w:sz w:val="20"/>
              </w:rPr>
              <w:lastRenderedPageBreak/>
              <w:t>SzOOP</w:t>
            </w:r>
            <w:proofErr w:type="spellEnd"/>
          </w:p>
        </w:tc>
      </w:tr>
      <w:tr w:rsidR="00EE0005" w:rsidRPr="008940B1" w:rsidTr="00C409A8">
        <w:trPr>
          <w:trHeight w:val="20"/>
          <w:jc w:val="center"/>
        </w:trPr>
        <w:tc>
          <w:tcPr>
            <w:tcW w:w="1204" w:type="pct"/>
            <w:shd w:val="clear" w:color="auto" w:fill="auto"/>
          </w:tcPr>
          <w:p w:rsidR="00EE0005" w:rsidRPr="008940B1" w:rsidRDefault="004C43B6" w:rsidP="008940B1">
            <w:pPr>
              <w:spacing w:before="0" w:line="240" w:lineRule="auto"/>
              <w:rPr>
                <w:rFonts w:asciiTheme="minorHAnsi" w:eastAsiaTheme="minorHAnsi" w:hAnsiTheme="minorHAnsi"/>
                <w:sz w:val="20"/>
                <w:lang w:eastAsia="en-US"/>
              </w:rPr>
            </w:pPr>
            <w:r w:rsidRPr="004C43B6">
              <w:rPr>
                <w:rFonts w:asciiTheme="minorHAnsi" w:eastAsiaTheme="minorHAnsi" w:hAnsiTheme="minorHAnsi"/>
                <w:sz w:val="20"/>
                <w:lang w:eastAsia="en-US"/>
              </w:rPr>
              <w:t xml:space="preserve">Liczba zmodernizowanych jednostek taboru pasażerskiego w publicznym transporcie zbiorowym komunikacji miejskiej </w:t>
            </w:r>
          </w:p>
        </w:tc>
        <w:tc>
          <w:tcPr>
            <w:tcW w:w="457" w:type="pct"/>
          </w:tcPr>
          <w:p w:rsidR="00EE0005" w:rsidRPr="008940B1" w:rsidRDefault="004C43B6" w:rsidP="008940B1">
            <w:pPr>
              <w:spacing w:before="0" w:line="240" w:lineRule="auto"/>
              <w:rPr>
                <w:rFonts w:asciiTheme="minorHAnsi" w:eastAsiaTheme="minorHAnsi" w:hAnsiTheme="minorHAnsi"/>
                <w:sz w:val="20"/>
                <w:lang w:eastAsia="en-US"/>
              </w:rPr>
            </w:pPr>
            <w:r w:rsidRPr="004C43B6">
              <w:rPr>
                <w:rFonts w:asciiTheme="minorHAnsi" w:eastAsiaTheme="minorHAnsi" w:hAnsiTheme="minorHAnsi"/>
                <w:sz w:val="20"/>
                <w:lang w:eastAsia="en-US"/>
              </w:rPr>
              <w:t>szt.</w:t>
            </w:r>
          </w:p>
        </w:tc>
        <w:tc>
          <w:tcPr>
            <w:tcW w:w="2520" w:type="pct"/>
            <w:shd w:val="clear" w:color="auto" w:fill="auto"/>
          </w:tcPr>
          <w:p w:rsidR="00343F78" w:rsidRPr="00343F78" w:rsidRDefault="00343F78" w:rsidP="00343F78">
            <w:pPr>
              <w:spacing w:before="0" w:line="240" w:lineRule="auto"/>
              <w:jc w:val="both"/>
              <w:rPr>
                <w:rFonts w:asciiTheme="minorHAnsi" w:eastAsiaTheme="minorHAnsi" w:hAnsiTheme="minorHAnsi"/>
                <w:sz w:val="20"/>
                <w:lang w:eastAsia="en-US"/>
              </w:rPr>
            </w:pPr>
            <w:r w:rsidRPr="00343F78">
              <w:rPr>
                <w:rFonts w:asciiTheme="minorHAnsi" w:eastAsiaTheme="minorHAnsi" w:hAnsiTheme="minorHAnsi"/>
                <w:sz w:val="20"/>
                <w:lang w:eastAsia="en-US"/>
              </w:rPr>
              <w:t>Liczba poddanych modernizacji autobusów, tramwajów, trolejbusów, środków pasażerskiego transportu wodnego, pojazdów kolejowych wykorzystywanych w gminnych przewozach pasażerskich, wykonywanych w granicach administracyjnych miasta (również na terenie: miasta i gminy / miast / miast i gmin sąsiadujących, jeżeli zostało zawarte porozumienie lub został utworzony związek międzygminny, w celu wspólnej realizacji publicznego transportu zbiorowego)</w:t>
            </w:r>
            <w:r>
              <w:rPr>
                <w:rFonts w:asciiTheme="minorHAnsi" w:eastAsiaTheme="minorHAnsi" w:hAnsiTheme="minorHAnsi"/>
                <w:sz w:val="20"/>
                <w:lang w:eastAsia="en-US"/>
              </w:rPr>
              <w:t>:</w:t>
            </w:r>
            <w:r w:rsidRPr="00343F78">
              <w:rPr>
                <w:rFonts w:asciiTheme="minorHAnsi" w:eastAsiaTheme="minorHAnsi" w:hAnsiTheme="minorHAnsi"/>
                <w:sz w:val="20"/>
                <w:lang w:eastAsia="en-US"/>
              </w:rPr>
              <w:t xml:space="preserve"> </w:t>
            </w:r>
          </w:p>
          <w:p w:rsidR="00343F78" w:rsidRPr="00343F78" w:rsidRDefault="00343F78" w:rsidP="00343F78">
            <w:pPr>
              <w:pStyle w:val="Akapitzlist"/>
              <w:numPr>
                <w:ilvl w:val="0"/>
                <w:numId w:val="18"/>
              </w:numPr>
              <w:spacing w:before="0" w:line="240" w:lineRule="auto"/>
              <w:ind w:left="604" w:hanging="461"/>
              <w:jc w:val="both"/>
              <w:rPr>
                <w:rFonts w:asciiTheme="minorHAnsi" w:eastAsiaTheme="minorHAnsi" w:hAnsiTheme="minorHAnsi"/>
                <w:sz w:val="20"/>
                <w:lang w:eastAsia="en-US"/>
              </w:rPr>
            </w:pPr>
            <w:r w:rsidRPr="00343F78">
              <w:rPr>
                <w:rFonts w:asciiTheme="minorHAnsi" w:eastAsiaTheme="minorHAnsi" w:hAnsiTheme="minorHAnsi"/>
                <w:sz w:val="20"/>
                <w:lang w:eastAsia="en-US"/>
              </w:rPr>
              <w:t>przez autobus należy rozumieć pojazd samochodowy przeznaczony konstrukcyjnie do przewozu więcej niż 9 osób łącznie z kierowcą;</w:t>
            </w:r>
          </w:p>
          <w:p w:rsidR="00343F78" w:rsidRPr="00343F78" w:rsidRDefault="00343F78" w:rsidP="00343F78">
            <w:pPr>
              <w:pStyle w:val="Akapitzlist"/>
              <w:numPr>
                <w:ilvl w:val="0"/>
                <w:numId w:val="18"/>
              </w:numPr>
              <w:spacing w:before="0" w:line="240" w:lineRule="auto"/>
              <w:ind w:left="604" w:hanging="461"/>
              <w:jc w:val="both"/>
              <w:rPr>
                <w:rFonts w:asciiTheme="minorHAnsi" w:eastAsiaTheme="minorHAnsi" w:hAnsiTheme="minorHAnsi"/>
                <w:sz w:val="20"/>
                <w:lang w:eastAsia="en-US"/>
              </w:rPr>
            </w:pPr>
            <w:r w:rsidRPr="00343F78">
              <w:rPr>
                <w:rFonts w:asciiTheme="minorHAnsi" w:eastAsiaTheme="minorHAnsi" w:hAnsiTheme="minorHAnsi"/>
                <w:sz w:val="20"/>
                <w:lang w:eastAsia="en-US"/>
              </w:rPr>
              <w:t>przez tramwaj należy rozumieć pojazd przeznaczony do przewozu osób lub rzeczy zasilany energią elektryczną, poruszający się po szynach na drogach publicznych;</w:t>
            </w:r>
          </w:p>
          <w:p w:rsidR="00343F78" w:rsidRPr="00343F78" w:rsidRDefault="00343F78" w:rsidP="00343F78">
            <w:pPr>
              <w:pStyle w:val="Akapitzlist"/>
              <w:numPr>
                <w:ilvl w:val="0"/>
                <w:numId w:val="18"/>
              </w:numPr>
              <w:spacing w:before="0" w:line="240" w:lineRule="auto"/>
              <w:ind w:left="604" w:hanging="461"/>
              <w:jc w:val="both"/>
              <w:rPr>
                <w:rFonts w:asciiTheme="minorHAnsi" w:eastAsiaTheme="minorHAnsi" w:hAnsiTheme="minorHAnsi"/>
                <w:sz w:val="20"/>
                <w:lang w:eastAsia="en-US"/>
              </w:rPr>
            </w:pPr>
            <w:r w:rsidRPr="00343F78">
              <w:rPr>
                <w:rFonts w:asciiTheme="minorHAnsi" w:eastAsiaTheme="minorHAnsi" w:hAnsiTheme="minorHAnsi"/>
                <w:sz w:val="20"/>
                <w:lang w:eastAsia="en-US"/>
              </w:rPr>
              <w:t>przez trolejbus należy rozumieć autobus przystosowany do zasilania energią elektryczną z sieci trakcyjnej;</w:t>
            </w:r>
          </w:p>
          <w:p w:rsidR="00EE0005" w:rsidRPr="00343F78" w:rsidRDefault="00343F78" w:rsidP="00343F78">
            <w:pPr>
              <w:pStyle w:val="Akapitzlist"/>
              <w:numPr>
                <w:ilvl w:val="0"/>
                <w:numId w:val="17"/>
              </w:numPr>
              <w:spacing w:before="0" w:line="240" w:lineRule="auto"/>
              <w:ind w:left="604" w:hanging="461"/>
              <w:jc w:val="both"/>
              <w:rPr>
                <w:rFonts w:asciiTheme="minorHAnsi" w:eastAsiaTheme="minorHAnsi" w:hAnsiTheme="minorHAnsi"/>
                <w:sz w:val="20"/>
                <w:lang w:eastAsia="en-US"/>
              </w:rPr>
            </w:pPr>
            <w:r w:rsidRPr="00343F78">
              <w:rPr>
                <w:rFonts w:asciiTheme="minorHAnsi" w:eastAsiaTheme="minorHAnsi" w:hAnsiTheme="minorHAnsi"/>
                <w:sz w:val="20"/>
                <w:lang w:eastAsia="en-US"/>
              </w:rPr>
              <w:t>przez pojazd kolejowy należy rozumieć pojazd dostosowany do poruszania się na własnych kołach po torach kolejowych, z napędem lub bez napędu (w tym elektryczny zespół trakcyjny, spalinowy zespół trakcyjny, wagon elektryczny, wagon spalinowy, autobus szynowy (</w:t>
            </w:r>
            <w:proofErr w:type="spellStart"/>
            <w:r w:rsidRPr="00343F78">
              <w:rPr>
                <w:rFonts w:asciiTheme="minorHAnsi" w:eastAsiaTheme="minorHAnsi" w:hAnsiTheme="minorHAnsi"/>
                <w:sz w:val="20"/>
                <w:lang w:eastAsia="en-US"/>
              </w:rPr>
              <w:t>szynobus</w:t>
            </w:r>
            <w:proofErr w:type="spellEnd"/>
            <w:r w:rsidRPr="00343F78">
              <w:rPr>
                <w:rFonts w:asciiTheme="minorHAnsi" w:eastAsiaTheme="minorHAnsi" w:hAnsiTheme="minorHAnsi"/>
                <w:sz w:val="20"/>
                <w:lang w:eastAsia="en-US"/>
              </w:rPr>
              <w:t>), wagony metra).</w:t>
            </w:r>
          </w:p>
        </w:tc>
        <w:tc>
          <w:tcPr>
            <w:tcW w:w="819" w:type="pct"/>
          </w:tcPr>
          <w:p w:rsidR="00EE0005" w:rsidRPr="008940B1" w:rsidRDefault="006D32FE" w:rsidP="008940B1">
            <w:pPr>
              <w:spacing w:line="240" w:lineRule="auto"/>
              <w:rPr>
                <w:rFonts w:asciiTheme="minorHAnsi" w:hAnsiTheme="minorHAnsi"/>
                <w:sz w:val="20"/>
              </w:rPr>
            </w:pPr>
            <w:proofErr w:type="spellStart"/>
            <w:r>
              <w:rPr>
                <w:rFonts w:asciiTheme="minorHAnsi" w:hAnsiTheme="minorHAnsi"/>
                <w:sz w:val="20"/>
              </w:rPr>
              <w:t>SzOOP</w:t>
            </w:r>
            <w:proofErr w:type="spellEnd"/>
          </w:p>
        </w:tc>
      </w:tr>
      <w:tr w:rsidR="00343F78" w:rsidRPr="00343F78" w:rsidTr="00C409A8">
        <w:trPr>
          <w:trHeight w:val="20"/>
          <w:jc w:val="center"/>
        </w:trPr>
        <w:tc>
          <w:tcPr>
            <w:tcW w:w="1204" w:type="pct"/>
            <w:shd w:val="clear" w:color="auto" w:fill="auto"/>
          </w:tcPr>
          <w:p w:rsidR="00343F78" w:rsidRPr="00343F78" w:rsidRDefault="00343F78" w:rsidP="00343F78">
            <w:pPr>
              <w:spacing w:before="40" w:after="40" w:line="240" w:lineRule="auto"/>
              <w:contextualSpacing/>
              <w:jc w:val="both"/>
              <w:rPr>
                <w:rFonts w:asciiTheme="minorHAnsi" w:hAnsiTheme="minorHAnsi"/>
                <w:sz w:val="20"/>
              </w:rPr>
            </w:pPr>
            <w:r w:rsidRPr="00343F78">
              <w:rPr>
                <w:rFonts w:asciiTheme="minorHAnsi" w:hAnsiTheme="minorHAnsi"/>
                <w:sz w:val="20"/>
              </w:rPr>
              <w:t>Pojemność zakupionego taboru pasażerskiego w publicznym transporcie zbiorowym</w:t>
            </w:r>
            <w:r w:rsidR="00F33908">
              <w:rPr>
                <w:rFonts w:asciiTheme="minorHAnsi" w:hAnsiTheme="minorHAnsi"/>
                <w:sz w:val="20"/>
              </w:rPr>
              <w:t xml:space="preserve"> komunikacji miejskiej</w:t>
            </w:r>
          </w:p>
        </w:tc>
        <w:tc>
          <w:tcPr>
            <w:tcW w:w="457" w:type="pct"/>
          </w:tcPr>
          <w:p w:rsidR="00343F78" w:rsidRPr="00343F78" w:rsidRDefault="00343F78" w:rsidP="00343F78">
            <w:pPr>
              <w:spacing w:line="240" w:lineRule="auto"/>
              <w:jc w:val="both"/>
              <w:rPr>
                <w:rFonts w:asciiTheme="minorHAnsi" w:hAnsiTheme="minorHAnsi"/>
                <w:sz w:val="20"/>
                <w:szCs w:val="22"/>
              </w:rPr>
            </w:pPr>
            <w:r w:rsidRPr="00343F78">
              <w:rPr>
                <w:rFonts w:asciiTheme="minorHAnsi" w:hAnsiTheme="minorHAnsi"/>
                <w:sz w:val="20"/>
                <w:szCs w:val="22"/>
              </w:rPr>
              <w:t>osoby</w:t>
            </w:r>
          </w:p>
        </w:tc>
        <w:tc>
          <w:tcPr>
            <w:tcW w:w="2520" w:type="pct"/>
            <w:shd w:val="clear" w:color="auto" w:fill="auto"/>
          </w:tcPr>
          <w:p w:rsidR="00343F78" w:rsidRPr="00343F78" w:rsidRDefault="00343F78" w:rsidP="00343F78">
            <w:pPr>
              <w:spacing w:before="0" w:line="240" w:lineRule="auto"/>
              <w:jc w:val="both"/>
              <w:rPr>
                <w:rFonts w:asciiTheme="minorHAnsi" w:eastAsiaTheme="minorHAnsi" w:hAnsiTheme="minorHAnsi" w:cs="Arial"/>
                <w:sz w:val="20"/>
                <w:szCs w:val="22"/>
                <w:lang w:eastAsia="en-US"/>
              </w:rPr>
            </w:pPr>
            <w:r w:rsidRPr="00343F78">
              <w:rPr>
                <w:rFonts w:asciiTheme="minorHAnsi" w:eastAsiaTheme="minorHAnsi" w:hAnsiTheme="minorHAnsi" w:cs="Arial"/>
                <w:sz w:val="20"/>
                <w:szCs w:val="22"/>
                <w:lang w:eastAsia="en-US"/>
              </w:rPr>
              <w:t xml:space="preserve">Łączna liczba miejsc siedzących i stojących przeznaczonych do użytku pasażerów w zakupionych autobusach, tramwajach, trolejbusach, środkach pasażerskiego transportu wodnego, pojazdach kolejowych wykorzystywanych w gminnych przewozach pasażerskich, wykonywanych w granicach </w:t>
            </w:r>
            <w:r w:rsidRPr="00343F78">
              <w:rPr>
                <w:rFonts w:asciiTheme="minorHAnsi" w:eastAsiaTheme="minorHAnsi" w:hAnsiTheme="minorHAnsi" w:cs="Arial"/>
                <w:sz w:val="20"/>
                <w:szCs w:val="22"/>
                <w:lang w:eastAsia="en-US"/>
              </w:rPr>
              <w:lastRenderedPageBreak/>
              <w:t>administracyjnych miasta (również na terenie: miasta i gminy / miast / miast i gmin sąsiadujących, jeżeli zostało zawarte porozumienie lub został utworzony związek międzygminny, w celu wspólnej realizacji publicznego transportu zbiorowego)</w:t>
            </w:r>
            <w:r>
              <w:rPr>
                <w:rFonts w:asciiTheme="minorHAnsi" w:eastAsiaTheme="minorHAnsi" w:hAnsiTheme="minorHAnsi" w:cs="Arial"/>
                <w:sz w:val="20"/>
                <w:szCs w:val="22"/>
                <w:lang w:eastAsia="en-US"/>
              </w:rPr>
              <w:t>:</w:t>
            </w:r>
          </w:p>
          <w:p w:rsidR="00343F78" w:rsidRPr="00343F78" w:rsidRDefault="00343F78" w:rsidP="00343F78">
            <w:pPr>
              <w:pStyle w:val="Akapitzlist"/>
              <w:numPr>
                <w:ilvl w:val="0"/>
                <w:numId w:val="16"/>
              </w:numPr>
              <w:spacing w:before="0" w:line="240" w:lineRule="auto"/>
              <w:ind w:left="604" w:hanging="425"/>
              <w:jc w:val="both"/>
              <w:rPr>
                <w:rFonts w:asciiTheme="minorHAnsi" w:eastAsiaTheme="minorHAnsi" w:hAnsiTheme="minorHAnsi" w:cs="Arial"/>
                <w:sz w:val="20"/>
                <w:szCs w:val="22"/>
                <w:lang w:eastAsia="en-US"/>
              </w:rPr>
            </w:pPr>
            <w:r w:rsidRPr="00343F78">
              <w:rPr>
                <w:rFonts w:asciiTheme="minorHAnsi" w:eastAsiaTheme="minorHAnsi" w:hAnsiTheme="minorHAnsi" w:cs="Arial"/>
                <w:sz w:val="20"/>
                <w:szCs w:val="22"/>
                <w:lang w:eastAsia="en-US"/>
              </w:rPr>
              <w:t>przez autobus należy rozumieć pojazd samochodowy przeznaczony konstrukcyjnie do przewozu więcej niż 9 osób łącznie z kierowcą;</w:t>
            </w:r>
          </w:p>
          <w:p w:rsidR="00343F78" w:rsidRPr="00343F78" w:rsidRDefault="00343F78" w:rsidP="00343F78">
            <w:pPr>
              <w:pStyle w:val="Akapitzlist"/>
              <w:numPr>
                <w:ilvl w:val="0"/>
                <w:numId w:val="16"/>
              </w:numPr>
              <w:spacing w:before="0" w:line="240" w:lineRule="auto"/>
              <w:ind w:left="604" w:hanging="425"/>
              <w:jc w:val="both"/>
              <w:rPr>
                <w:rFonts w:asciiTheme="minorHAnsi" w:eastAsiaTheme="minorHAnsi" w:hAnsiTheme="minorHAnsi" w:cs="Arial"/>
                <w:sz w:val="20"/>
                <w:szCs w:val="22"/>
                <w:lang w:eastAsia="en-US"/>
              </w:rPr>
            </w:pPr>
            <w:r w:rsidRPr="00343F78">
              <w:rPr>
                <w:rFonts w:asciiTheme="minorHAnsi" w:eastAsiaTheme="minorHAnsi" w:hAnsiTheme="minorHAnsi" w:cs="Arial"/>
                <w:sz w:val="20"/>
                <w:szCs w:val="22"/>
                <w:lang w:eastAsia="en-US"/>
              </w:rPr>
              <w:t>przez tramwaj należy rozumieć pojazd przeznaczony do przewozu osób lub rzeczy zasilany energią elektryczną, poruszający się po szynach na drogach publicznych;</w:t>
            </w:r>
          </w:p>
          <w:p w:rsidR="00343F78" w:rsidRPr="00343F78" w:rsidRDefault="00343F78" w:rsidP="00343F78">
            <w:pPr>
              <w:pStyle w:val="Akapitzlist"/>
              <w:numPr>
                <w:ilvl w:val="0"/>
                <w:numId w:val="16"/>
              </w:numPr>
              <w:spacing w:before="0" w:line="240" w:lineRule="auto"/>
              <w:ind w:left="604" w:hanging="425"/>
              <w:jc w:val="both"/>
              <w:rPr>
                <w:rFonts w:asciiTheme="minorHAnsi" w:eastAsiaTheme="minorHAnsi" w:hAnsiTheme="minorHAnsi" w:cs="Arial"/>
                <w:sz w:val="20"/>
                <w:szCs w:val="22"/>
                <w:lang w:eastAsia="en-US"/>
              </w:rPr>
            </w:pPr>
            <w:r w:rsidRPr="00343F78">
              <w:rPr>
                <w:rFonts w:asciiTheme="minorHAnsi" w:eastAsiaTheme="minorHAnsi" w:hAnsiTheme="minorHAnsi" w:cs="Arial"/>
                <w:sz w:val="20"/>
                <w:szCs w:val="22"/>
                <w:lang w:eastAsia="en-US"/>
              </w:rPr>
              <w:t>przez trolejbus należy rozumieć autobus przystosowany do zasilania energią elektryczną z sieci trakcyjnej;</w:t>
            </w:r>
          </w:p>
          <w:p w:rsidR="00343F78" w:rsidRPr="00343F78" w:rsidRDefault="00343F78" w:rsidP="00343F78">
            <w:pPr>
              <w:pStyle w:val="Akapitzlist"/>
              <w:numPr>
                <w:ilvl w:val="0"/>
                <w:numId w:val="16"/>
              </w:numPr>
              <w:spacing w:before="0" w:line="240" w:lineRule="auto"/>
              <w:ind w:left="604" w:hanging="425"/>
              <w:jc w:val="both"/>
              <w:rPr>
                <w:rFonts w:asciiTheme="minorHAnsi" w:eastAsiaTheme="minorHAnsi" w:hAnsiTheme="minorHAnsi" w:cs="Arial"/>
                <w:sz w:val="20"/>
                <w:szCs w:val="22"/>
                <w:lang w:eastAsia="en-US"/>
              </w:rPr>
            </w:pPr>
            <w:r w:rsidRPr="00343F78">
              <w:rPr>
                <w:rFonts w:asciiTheme="minorHAnsi" w:eastAsiaTheme="minorHAnsi" w:hAnsiTheme="minorHAnsi" w:cs="Arial"/>
                <w:sz w:val="20"/>
                <w:szCs w:val="22"/>
                <w:lang w:eastAsia="en-US"/>
              </w:rPr>
              <w:t>przez pojazd kolejowy należy rozumieć pojazd dostosowany do poruszania się na własnych kołach po torach kolejowych, z napędem lub bez napędu (w tym elektryczny zespół trakcyjny, spalinowy zespół trakcyjny, wagon elektryczny, wagon spalinowy, autobus szynowy (</w:t>
            </w:r>
            <w:proofErr w:type="spellStart"/>
            <w:r w:rsidRPr="00343F78">
              <w:rPr>
                <w:rFonts w:asciiTheme="minorHAnsi" w:eastAsiaTheme="minorHAnsi" w:hAnsiTheme="minorHAnsi" w:cs="Arial"/>
                <w:sz w:val="20"/>
                <w:szCs w:val="22"/>
                <w:lang w:eastAsia="en-US"/>
              </w:rPr>
              <w:t>szynobus</w:t>
            </w:r>
            <w:proofErr w:type="spellEnd"/>
            <w:r w:rsidRPr="00343F78">
              <w:rPr>
                <w:rFonts w:asciiTheme="minorHAnsi" w:eastAsiaTheme="minorHAnsi" w:hAnsiTheme="minorHAnsi" w:cs="Arial"/>
                <w:sz w:val="20"/>
                <w:szCs w:val="22"/>
                <w:lang w:eastAsia="en-US"/>
              </w:rPr>
              <w:t>), wagony metra).</w:t>
            </w:r>
          </w:p>
        </w:tc>
        <w:tc>
          <w:tcPr>
            <w:tcW w:w="819" w:type="pct"/>
          </w:tcPr>
          <w:p w:rsidR="00343F78" w:rsidRPr="00343F78" w:rsidRDefault="00343F78" w:rsidP="00343F78">
            <w:pPr>
              <w:autoSpaceDE w:val="0"/>
              <w:autoSpaceDN w:val="0"/>
              <w:adjustRightInd w:val="0"/>
              <w:spacing w:before="0" w:line="240" w:lineRule="auto"/>
              <w:jc w:val="both"/>
              <w:rPr>
                <w:rFonts w:asciiTheme="minorHAnsi" w:hAnsiTheme="minorHAnsi"/>
                <w:sz w:val="20"/>
                <w:szCs w:val="22"/>
              </w:rPr>
            </w:pPr>
            <w:proofErr w:type="spellStart"/>
            <w:r w:rsidRPr="00343F78">
              <w:rPr>
                <w:rFonts w:asciiTheme="minorHAnsi" w:hAnsiTheme="minorHAnsi"/>
                <w:sz w:val="20"/>
                <w:szCs w:val="22"/>
              </w:rPr>
              <w:lastRenderedPageBreak/>
              <w:t>SzOOP</w:t>
            </w:r>
            <w:proofErr w:type="spellEnd"/>
          </w:p>
        </w:tc>
      </w:tr>
      <w:tr w:rsidR="00343F78" w:rsidRPr="00343F78" w:rsidTr="00C409A8">
        <w:trPr>
          <w:trHeight w:val="20"/>
          <w:jc w:val="center"/>
        </w:trPr>
        <w:tc>
          <w:tcPr>
            <w:tcW w:w="1204" w:type="pct"/>
            <w:shd w:val="clear" w:color="auto" w:fill="auto"/>
          </w:tcPr>
          <w:p w:rsidR="00343F78" w:rsidRPr="00343F78" w:rsidRDefault="00343F78" w:rsidP="00343F78">
            <w:pPr>
              <w:spacing w:before="0" w:line="240" w:lineRule="auto"/>
              <w:rPr>
                <w:rFonts w:asciiTheme="minorHAnsi" w:hAnsiTheme="minorHAnsi" w:cs="Arial"/>
                <w:sz w:val="20"/>
                <w:szCs w:val="22"/>
              </w:rPr>
            </w:pPr>
            <w:r w:rsidRPr="00343F78">
              <w:rPr>
                <w:rFonts w:asciiTheme="minorHAnsi" w:hAnsiTheme="minorHAnsi" w:cs="Arial"/>
                <w:sz w:val="20"/>
                <w:szCs w:val="22"/>
              </w:rPr>
              <w:t>Pojemność</w:t>
            </w:r>
          </w:p>
          <w:p w:rsidR="00343F78" w:rsidRPr="00343F78" w:rsidRDefault="00343F78" w:rsidP="00343F78">
            <w:pPr>
              <w:spacing w:before="0" w:line="240" w:lineRule="auto"/>
              <w:rPr>
                <w:rFonts w:asciiTheme="minorHAnsi" w:hAnsiTheme="minorHAnsi" w:cs="Arial"/>
                <w:sz w:val="20"/>
                <w:szCs w:val="22"/>
              </w:rPr>
            </w:pPr>
            <w:r w:rsidRPr="00343F78">
              <w:rPr>
                <w:rFonts w:asciiTheme="minorHAnsi" w:hAnsiTheme="minorHAnsi" w:cs="Arial"/>
                <w:sz w:val="20"/>
                <w:szCs w:val="22"/>
              </w:rPr>
              <w:t xml:space="preserve">zmodernizowanego </w:t>
            </w:r>
          </w:p>
          <w:p w:rsidR="00343F78" w:rsidRPr="00343F78" w:rsidRDefault="00343F78" w:rsidP="00343F78">
            <w:pPr>
              <w:spacing w:before="0" w:line="240" w:lineRule="auto"/>
              <w:rPr>
                <w:rFonts w:asciiTheme="minorHAnsi" w:hAnsiTheme="minorHAnsi" w:cs="Arial"/>
                <w:sz w:val="20"/>
                <w:szCs w:val="22"/>
              </w:rPr>
            </w:pPr>
            <w:r w:rsidRPr="00343F78">
              <w:rPr>
                <w:rFonts w:asciiTheme="minorHAnsi" w:hAnsiTheme="minorHAnsi" w:cs="Arial"/>
                <w:sz w:val="20"/>
                <w:szCs w:val="22"/>
              </w:rPr>
              <w:t xml:space="preserve">taboru </w:t>
            </w:r>
          </w:p>
          <w:p w:rsidR="00343F78" w:rsidRPr="00343F78" w:rsidRDefault="00343F78" w:rsidP="00343F78">
            <w:pPr>
              <w:spacing w:before="0" w:line="240" w:lineRule="auto"/>
              <w:rPr>
                <w:rFonts w:asciiTheme="minorHAnsi" w:hAnsiTheme="minorHAnsi" w:cs="Arial"/>
                <w:sz w:val="20"/>
                <w:szCs w:val="22"/>
              </w:rPr>
            </w:pPr>
            <w:r w:rsidRPr="00343F78">
              <w:rPr>
                <w:rFonts w:asciiTheme="minorHAnsi" w:hAnsiTheme="minorHAnsi" w:cs="Arial"/>
                <w:sz w:val="20"/>
                <w:szCs w:val="22"/>
              </w:rPr>
              <w:t xml:space="preserve">pasażerskiego w publicznym transporcie </w:t>
            </w:r>
          </w:p>
          <w:p w:rsidR="00343F78" w:rsidRPr="00343F78" w:rsidRDefault="00343F78" w:rsidP="00343F78">
            <w:pPr>
              <w:spacing w:before="0" w:line="240" w:lineRule="auto"/>
              <w:rPr>
                <w:rFonts w:asciiTheme="minorHAnsi" w:hAnsiTheme="minorHAnsi" w:cs="Arial"/>
                <w:sz w:val="20"/>
                <w:szCs w:val="22"/>
              </w:rPr>
            </w:pPr>
            <w:r w:rsidRPr="00343F78">
              <w:rPr>
                <w:rFonts w:asciiTheme="minorHAnsi" w:hAnsiTheme="minorHAnsi" w:cs="Arial"/>
                <w:sz w:val="20"/>
                <w:szCs w:val="22"/>
              </w:rPr>
              <w:t>zbiorowym</w:t>
            </w:r>
            <w:r w:rsidR="00F33908">
              <w:rPr>
                <w:rFonts w:asciiTheme="minorHAnsi" w:hAnsiTheme="minorHAnsi" w:cs="Arial"/>
                <w:sz w:val="20"/>
                <w:szCs w:val="22"/>
              </w:rPr>
              <w:t xml:space="preserve"> komunikacji miejskiej</w:t>
            </w:r>
          </w:p>
          <w:p w:rsidR="00343F78" w:rsidRPr="00343F78" w:rsidRDefault="00343F78" w:rsidP="00343F78">
            <w:pPr>
              <w:spacing w:before="0" w:line="240" w:lineRule="auto"/>
              <w:rPr>
                <w:rFonts w:asciiTheme="minorHAnsi" w:hAnsiTheme="minorHAnsi" w:cs="Arial"/>
                <w:sz w:val="20"/>
                <w:szCs w:val="22"/>
              </w:rPr>
            </w:pPr>
          </w:p>
        </w:tc>
        <w:tc>
          <w:tcPr>
            <w:tcW w:w="457" w:type="pct"/>
          </w:tcPr>
          <w:p w:rsidR="00343F78" w:rsidRPr="00343F78" w:rsidRDefault="00343F78" w:rsidP="00343F78">
            <w:pPr>
              <w:spacing w:before="0" w:line="240" w:lineRule="auto"/>
              <w:jc w:val="center"/>
              <w:rPr>
                <w:rFonts w:asciiTheme="minorHAnsi" w:eastAsiaTheme="minorHAnsi" w:hAnsiTheme="minorHAnsi"/>
                <w:sz w:val="20"/>
                <w:szCs w:val="22"/>
                <w:lang w:eastAsia="en-US"/>
              </w:rPr>
            </w:pPr>
            <w:r w:rsidRPr="00343F78">
              <w:rPr>
                <w:rFonts w:asciiTheme="minorHAnsi" w:eastAsiaTheme="minorHAnsi" w:hAnsiTheme="minorHAnsi"/>
                <w:sz w:val="20"/>
                <w:szCs w:val="22"/>
                <w:lang w:eastAsia="en-US"/>
              </w:rPr>
              <w:t>osoby</w:t>
            </w:r>
          </w:p>
        </w:tc>
        <w:tc>
          <w:tcPr>
            <w:tcW w:w="2520" w:type="pct"/>
            <w:shd w:val="clear" w:color="auto" w:fill="auto"/>
          </w:tcPr>
          <w:p w:rsidR="00343F78" w:rsidRPr="00343F78" w:rsidRDefault="00343F78" w:rsidP="00343F78">
            <w:pPr>
              <w:spacing w:before="0" w:line="240" w:lineRule="auto"/>
              <w:jc w:val="both"/>
              <w:rPr>
                <w:rFonts w:asciiTheme="minorHAnsi" w:eastAsiaTheme="minorHAnsi" w:hAnsiTheme="minorHAnsi" w:cs="Arial"/>
                <w:color w:val="000000"/>
                <w:sz w:val="20"/>
                <w:szCs w:val="22"/>
                <w:lang w:eastAsia="en-US"/>
              </w:rPr>
            </w:pPr>
            <w:r w:rsidRPr="00343F78">
              <w:rPr>
                <w:rFonts w:asciiTheme="minorHAnsi" w:eastAsiaTheme="minorHAnsi" w:hAnsiTheme="minorHAnsi" w:cs="Arial"/>
                <w:color w:val="000000"/>
                <w:sz w:val="20"/>
                <w:szCs w:val="22"/>
                <w:lang w:eastAsia="en-US"/>
              </w:rPr>
              <w:t>Łączna liczba miejsc siedzących i stojących przeznaczonych do użytku pasażerów w poddanych modernizacji autobusach, tramwajach, trolejbusach, środkach pasażerskiego transportu wodnego, pojazdach kolejowych wykorzystywanych w gminnych przewozach pasażerskich, wykonywanych w granicach administracyjnych miasta (również na terenie: miasta i gminy / miast / miast i gmin sąsiadujących, jeżeli zostało zawarte porozumienie lub został utworzony związek międzygminny, w celu wspólnej realizacji publicznego transportu zbiorowego)</w:t>
            </w:r>
            <w:r>
              <w:rPr>
                <w:rFonts w:asciiTheme="minorHAnsi" w:eastAsiaTheme="minorHAnsi" w:hAnsiTheme="minorHAnsi" w:cs="Arial"/>
                <w:color w:val="000000"/>
                <w:sz w:val="20"/>
                <w:szCs w:val="22"/>
                <w:lang w:eastAsia="en-US"/>
              </w:rPr>
              <w:t>:</w:t>
            </w:r>
            <w:r w:rsidRPr="00343F78">
              <w:rPr>
                <w:rFonts w:asciiTheme="minorHAnsi" w:eastAsiaTheme="minorHAnsi" w:hAnsiTheme="minorHAnsi" w:cs="Arial"/>
                <w:color w:val="000000"/>
                <w:sz w:val="20"/>
                <w:szCs w:val="22"/>
                <w:lang w:eastAsia="en-US"/>
              </w:rPr>
              <w:t xml:space="preserve"> </w:t>
            </w:r>
          </w:p>
          <w:p w:rsidR="00343F78" w:rsidRPr="00343F78" w:rsidRDefault="00343F78" w:rsidP="00343F78">
            <w:pPr>
              <w:pStyle w:val="Akapitzlist"/>
              <w:numPr>
                <w:ilvl w:val="0"/>
                <w:numId w:val="12"/>
              </w:numPr>
              <w:spacing w:before="0" w:line="240" w:lineRule="auto"/>
              <w:jc w:val="both"/>
              <w:rPr>
                <w:rFonts w:asciiTheme="minorHAnsi" w:eastAsiaTheme="minorHAnsi" w:hAnsiTheme="minorHAnsi" w:cs="Arial"/>
                <w:color w:val="000000"/>
                <w:sz w:val="20"/>
                <w:szCs w:val="22"/>
                <w:lang w:eastAsia="en-US"/>
              </w:rPr>
            </w:pPr>
            <w:r w:rsidRPr="00343F78">
              <w:rPr>
                <w:rFonts w:asciiTheme="minorHAnsi" w:eastAsiaTheme="minorHAnsi" w:hAnsiTheme="minorHAnsi" w:cs="Arial"/>
                <w:color w:val="000000"/>
                <w:sz w:val="20"/>
                <w:szCs w:val="22"/>
                <w:lang w:eastAsia="en-US"/>
              </w:rPr>
              <w:t>przez autobus należy rozumieć pojazd samochodowy przeznaczony konstrukcyjnie do przewozu więcej niż 9 osób łącznie z kierowcą;</w:t>
            </w:r>
          </w:p>
          <w:p w:rsidR="00343F78" w:rsidRPr="00343F78" w:rsidRDefault="00343F78" w:rsidP="00343F78">
            <w:pPr>
              <w:pStyle w:val="Akapitzlist"/>
              <w:numPr>
                <w:ilvl w:val="0"/>
                <w:numId w:val="12"/>
              </w:numPr>
              <w:spacing w:before="0" w:line="240" w:lineRule="auto"/>
              <w:jc w:val="both"/>
              <w:rPr>
                <w:rFonts w:asciiTheme="minorHAnsi" w:eastAsiaTheme="minorHAnsi" w:hAnsiTheme="minorHAnsi" w:cs="Arial"/>
                <w:color w:val="000000"/>
                <w:sz w:val="20"/>
                <w:szCs w:val="22"/>
                <w:lang w:eastAsia="en-US"/>
              </w:rPr>
            </w:pPr>
            <w:r w:rsidRPr="00343F78">
              <w:rPr>
                <w:rFonts w:asciiTheme="minorHAnsi" w:eastAsiaTheme="minorHAnsi" w:hAnsiTheme="minorHAnsi" w:cs="Arial"/>
                <w:color w:val="000000"/>
                <w:sz w:val="20"/>
                <w:szCs w:val="22"/>
                <w:lang w:eastAsia="en-US"/>
              </w:rPr>
              <w:t>przez tramwaj należy rozumieć pojazd przeznaczony do przewozu osób lub rzeczy zasilany energią elektryczną, poruszający się po szynach na drogach publicznych;</w:t>
            </w:r>
          </w:p>
          <w:p w:rsidR="00343F78" w:rsidRPr="00343F78" w:rsidRDefault="00343F78" w:rsidP="00343F78">
            <w:pPr>
              <w:pStyle w:val="Akapitzlist"/>
              <w:numPr>
                <w:ilvl w:val="0"/>
                <w:numId w:val="12"/>
              </w:numPr>
              <w:spacing w:before="0" w:line="240" w:lineRule="auto"/>
              <w:jc w:val="both"/>
              <w:rPr>
                <w:rFonts w:asciiTheme="minorHAnsi" w:eastAsiaTheme="minorHAnsi" w:hAnsiTheme="minorHAnsi" w:cs="Arial"/>
                <w:color w:val="000000"/>
                <w:sz w:val="20"/>
                <w:szCs w:val="22"/>
                <w:lang w:eastAsia="en-US"/>
              </w:rPr>
            </w:pPr>
            <w:r w:rsidRPr="00343F78">
              <w:rPr>
                <w:rFonts w:asciiTheme="minorHAnsi" w:eastAsiaTheme="minorHAnsi" w:hAnsiTheme="minorHAnsi" w:cs="Arial"/>
                <w:color w:val="000000"/>
                <w:sz w:val="20"/>
                <w:szCs w:val="22"/>
                <w:lang w:eastAsia="en-US"/>
              </w:rPr>
              <w:t>przez trolejbus należy rozumieć autobus przystosowany do zasilania energią elektryczną z sieci trakcyjnej;</w:t>
            </w:r>
          </w:p>
          <w:p w:rsidR="00343F78" w:rsidRPr="00343F78" w:rsidRDefault="00343F78" w:rsidP="00343F78">
            <w:pPr>
              <w:pStyle w:val="Akapitzlist"/>
              <w:numPr>
                <w:ilvl w:val="0"/>
                <w:numId w:val="12"/>
              </w:numPr>
              <w:spacing w:before="0" w:line="240" w:lineRule="auto"/>
              <w:jc w:val="both"/>
              <w:rPr>
                <w:rFonts w:asciiTheme="minorHAnsi" w:eastAsiaTheme="minorHAnsi" w:hAnsiTheme="minorHAnsi" w:cs="Arial"/>
                <w:color w:val="000000"/>
                <w:sz w:val="20"/>
                <w:szCs w:val="22"/>
                <w:lang w:eastAsia="en-US"/>
              </w:rPr>
            </w:pPr>
            <w:r w:rsidRPr="00343F78">
              <w:rPr>
                <w:rFonts w:asciiTheme="minorHAnsi" w:eastAsiaTheme="minorHAnsi" w:hAnsiTheme="minorHAnsi" w:cs="Arial"/>
                <w:color w:val="000000"/>
                <w:sz w:val="20"/>
                <w:szCs w:val="22"/>
                <w:lang w:eastAsia="en-US"/>
              </w:rPr>
              <w:t>przez pojazd kolejowy należy rozumieć pojazd dostosowany do poruszania się na własnych kołach po torach kolejowych, z napędem lub bez napędu (w tym elektryczny zespół trakcyjny, spalinowy zespół trakcyjny, wagon elektryczny, wagon spalinowy, autobus szynowy (</w:t>
            </w:r>
            <w:proofErr w:type="spellStart"/>
            <w:r w:rsidRPr="00343F78">
              <w:rPr>
                <w:rFonts w:asciiTheme="minorHAnsi" w:eastAsiaTheme="minorHAnsi" w:hAnsiTheme="minorHAnsi" w:cs="Arial"/>
                <w:color w:val="000000"/>
                <w:sz w:val="20"/>
                <w:szCs w:val="22"/>
                <w:lang w:eastAsia="en-US"/>
              </w:rPr>
              <w:t>szynobus</w:t>
            </w:r>
            <w:proofErr w:type="spellEnd"/>
            <w:r w:rsidRPr="00343F78">
              <w:rPr>
                <w:rFonts w:asciiTheme="minorHAnsi" w:eastAsiaTheme="minorHAnsi" w:hAnsiTheme="minorHAnsi" w:cs="Arial"/>
                <w:color w:val="000000"/>
                <w:sz w:val="20"/>
                <w:szCs w:val="22"/>
                <w:lang w:eastAsia="en-US"/>
              </w:rPr>
              <w:t>), wagony metra).</w:t>
            </w:r>
          </w:p>
        </w:tc>
        <w:tc>
          <w:tcPr>
            <w:tcW w:w="819" w:type="pct"/>
          </w:tcPr>
          <w:p w:rsidR="00343F78" w:rsidRPr="00343F78" w:rsidRDefault="00343F78" w:rsidP="00343F78">
            <w:pPr>
              <w:rPr>
                <w:rFonts w:asciiTheme="minorHAnsi" w:hAnsiTheme="minorHAnsi"/>
                <w:sz w:val="20"/>
                <w:szCs w:val="22"/>
              </w:rPr>
            </w:pPr>
            <w:proofErr w:type="spellStart"/>
            <w:r w:rsidRPr="00343F78">
              <w:rPr>
                <w:rFonts w:asciiTheme="minorHAnsi" w:hAnsiTheme="minorHAnsi"/>
                <w:sz w:val="20"/>
                <w:szCs w:val="22"/>
              </w:rPr>
              <w:t>SzOOP</w:t>
            </w:r>
            <w:proofErr w:type="spellEnd"/>
          </w:p>
        </w:tc>
      </w:tr>
      <w:tr w:rsidR="00343F78" w:rsidRPr="008940B1" w:rsidTr="00C409A8">
        <w:trPr>
          <w:trHeight w:val="20"/>
          <w:jc w:val="center"/>
        </w:trPr>
        <w:tc>
          <w:tcPr>
            <w:tcW w:w="1204" w:type="pct"/>
            <w:shd w:val="clear" w:color="auto" w:fill="auto"/>
          </w:tcPr>
          <w:p w:rsidR="00343F78" w:rsidRPr="008940B1" w:rsidRDefault="00343F78" w:rsidP="00343F78">
            <w:pPr>
              <w:spacing w:before="0" w:line="240" w:lineRule="auto"/>
              <w:rPr>
                <w:rFonts w:asciiTheme="minorHAnsi" w:eastAsiaTheme="minorHAnsi" w:hAnsiTheme="minorHAnsi"/>
                <w:sz w:val="20"/>
                <w:lang w:eastAsia="en-US"/>
              </w:rPr>
            </w:pPr>
            <w:r w:rsidRPr="008940B1">
              <w:rPr>
                <w:rFonts w:asciiTheme="minorHAnsi" w:eastAsiaTheme="minorHAnsi" w:hAnsiTheme="minorHAnsi"/>
                <w:sz w:val="20"/>
                <w:lang w:eastAsia="en-US"/>
              </w:rPr>
              <w:t>Całkowita długość nowych lub przebudowanych linii autobusowych komunikacji miejskiej</w:t>
            </w:r>
          </w:p>
        </w:tc>
        <w:tc>
          <w:tcPr>
            <w:tcW w:w="457" w:type="pct"/>
          </w:tcPr>
          <w:p w:rsidR="00343F78" w:rsidRPr="008940B1" w:rsidRDefault="00343F78" w:rsidP="00343F78">
            <w:pPr>
              <w:spacing w:before="0" w:line="240" w:lineRule="auto"/>
              <w:rPr>
                <w:rFonts w:asciiTheme="minorHAnsi" w:eastAsiaTheme="minorHAnsi" w:hAnsiTheme="minorHAnsi"/>
                <w:sz w:val="20"/>
                <w:lang w:eastAsia="en-US"/>
              </w:rPr>
            </w:pPr>
            <w:r w:rsidRPr="008940B1">
              <w:rPr>
                <w:rFonts w:asciiTheme="minorHAnsi" w:eastAsiaTheme="minorHAnsi" w:hAnsiTheme="minorHAnsi"/>
                <w:sz w:val="20"/>
                <w:lang w:eastAsia="en-US"/>
              </w:rPr>
              <w:t>km</w:t>
            </w:r>
          </w:p>
        </w:tc>
        <w:tc>
          <w:tcPr>
            <w:tcW w:w="2520" w:type="pct"/>
            <w:shd w:val="clear" w:color="auto" w:fill="auto"/>
          </w:tcPr>
          <w:p w:rsidR="00343F78" w:rsidRPr="008940B1" w:rsidRDefault="00343F78" w:rsidP="00343F78">
            <w:pPr>
              <w:spacing w:before="0" w:line="240" w:lineRule="auto"/>
              <w:jc w:val="both"/>
              <w:rPr>
                <w:rFonts w:asciiTheme="minorHAnsi" w:eastAsiaTheme="minorHAnsi" w:hAnsiTheme="minorHAnsi"/>
                <w:sz w:val="20"/>
                <w:lang w:eastAsia="en-US"/>
              </w:rPr>
            </w:pPr>
            <w:r w:rsidRPr="008940B1">
              <w:rPr>
                <w:rFonts w:asciiTheme="minorHAnsi" w:eastAsiaTheme="minorHAnsi" w:hAnsiTheme="minorHAnsi"/>
                <w:sz w:val="20"/>
                <w:lang w:eastAsia="en-US"/>
              </w:rPr>
              <w:t>Linia komunikacyjna – połączenie komunikacyjne na sieci dróg publicznych</w:t>
            </w:r>
            <w:r w:rsidRPr="008940B1">
              <w:rPr>
                <w:rFonts w:asciiTheme="minorHAnsi" w:hAnsiTheme="minorHAnsi"/>
                <w:sz w:val="20"/>
              </w:rPr>
              <w:t xml:space="preserve"> </w:t>
            </w:r>
            <w:r w:rsidRPr="008940B1">
              <w:rPr>
                <w:rFonts w:asciiTheme="minorHAnsi" w:eastAsiaTheme="minorHAnsi" w:hAnsiTheme="minorHAnsi"/>
                <w:sz w:val="20"/>
                <w:lang w:eastAsia="en-US"/>
              </w:rPr>
              <w:t>wraz z oznaczonymi miejscami do wsiadania i wysiadania pasażerów na liniach komunikacyjnych, po których odbywa się publiczny transport zbiorowy.</w:t>
            </w:r>
          </w:p>
          <w:p w:rsidR="00343F78" w:rsidRPr="008940B1" w:rsidRDefault="00343F78" w:rsidP="00343F78">
            <w:pPr>
              <w:spacing w:before="0" w:line="240" w:lineRule="auto"/>
              <w:jc w:val="both"/>
              <w:rPr>
                <w:rFonts w:asciiTheme="minorHAnsi" w:eastAsiaTheme="minorHAnsi" w:hAnsiTheme="minorHAnsi"/>
                <w:sz w:val="20"/>
                <w:lang w:eastAsia="en-US"/>
              </w:rPr>
            </w:pPr>
          </w:p>
          <w:p w:rsidR="00343F78" w:rsidRPr="008940B1" w:rsidRDefault="00343F78" w:rsidP="00343F78">
            <w:pPr>
              <w:spacing w:before="0" w:line="240" w:lineRule="auto"/>
              <w:jc w:val="both"/>
              <w:rPr>
                <w:rFonts w:asciiTheme="minorHAnsi" w:eastAsiaTheme="minorHAnsi" w:hAnsiTheme="minorHAnsi"/>
                <w:sz w:val="20"/>
                <w:lang w:eastAsia="en-US"/>
              </w:rPr>
            </w:pPr>
            <w:r w:rsidRPr="008940B1">
              <w:rPr>
                <w:rFonts w:asciiTheme="minorHAnsi" w:eastAsiaTheme="minorHAnsi" w:hAnsiTheme="minorHAnsi"/>
                <w:b/>
                <w:sz w:val="20"/>
                <w:lang w:eastAsia="en-US"/>
              </w:rPr>
              <w:t xml:space="preserve">UWAGA </w:t>
            </w:r>
            <w:r w:rsidRPr="008940B1">
              <w:rPr>
                <w:rFonts w:asciiTheme="minorHAnsi" w:eastAsiaTheme="minorHAnsi" w:hAnsiTheme="minorHAnsi"/>
                <w:sz w:val="20"/>
                <w:lang w:eastAsia="en-US"/>
              </w:rPr>
              <w:t>- ze względu na brak definicji wskaźnika na poziomie Umowy Partnerstwa Instytucja Zarządzająca RPO WD proponuje ww. definicję, opartą o ustawę z dnia 16 grudnia 2010 r. o publicznym transporcie zbiorowym.</w:t>
            </w:r>
          </w:p>
          <w:p w:rsidR="00343F78" w:rsidRPr="008940B1" w:rsidRDefault="00343F78" w:rsidP="00343F78">
            <w:pPr>
              <w:spacing w:before="0" w:line="240" w:lineRule="auto"/>
              <w:jc w:val="both"/>
              <w:rPr>
                <w:rFonts w:asciiTheme="minorHAnsi" w:eastAsiaTheme="minorHAnsi" w:hAnsiTheme="minorHAnsi"/>
                <w:sz w:val="20"/>
                <w:lang w:eastAsia="en-US"/>
              </w:rPr>
            </w:pPr>
          </w:p>
          <w:p w:rsidR="00343F78" w:rsidRPr="008940B1" w:rsidRDefault="00343F78" w:rsidP="00343F78">
            <w:pPr>
              <w:spacing w:before="0" w:line="240" w:lineRule="auto"/>
              <w:jc w:val="both"/>
              <w:rPr>
                <w:rFonts w:asciiTheme="minorHAnsi" w:eastAsiaTheme="minorHAnsi" w:hAnsiTheme="minorHAnsi"/>
                <w:sz w:val="20"/>
                <w:lang w:eastAsia="en-US"/>
              </w:rPr>
            </w:pPr>
            <w:r w:rsidRPr="008940B1">
              <w:rPr>
                <w:rFonts w:asciiTheme="minorHAnsi" w:hAnsiTheme="minorHAnsi" w:cs="TimesNewRoman,Bold"/>
                <w:sz w:val="20"/>
              </w:rPr>
              <w:t xml:space="preserve">W przypadku wprowadzenia w Umowie Partnerstwa innej definicji wskaźnika </w:t>
            </w:r>
            <w:r w:rsidRPr="008940B1">
              <w:rPr>
                <w:rFonts w:asciiTheme="minorHAnsi" w:hAnsiTheme="minorHAnsi" w:cs="TimesNewRoman,Bold"/>
                <w:i/>
                <w:sz w:val="20"/>
              </w:rPr>
              <w:t>Całkowita długość nowych lub przebudowanych linii autobusowych komunikacji miejskiej</w:t>
            </w:r>
            <w:r w:rsidRPr="008940B1">
              <w:rPr>
                <w:rFonts w:asciiTheme="minorHAnsi" w:hAnsiTheme="minorHAnsi" w:cs="TimesNewRoman,Bold"/>
                <w:sz w:val="20"/>
              </w:rPr>
              <w:t>, Instytucja Zarządzająca RPO WD poinformuje o tym fakcie stosownym komunikatem.</w:t>
            </w:r>
          </w:p>
        </w:tc>
        <w:tc>
          <w:tcPr>
            <w:tcW w:w="819" w:type="pct"/>
          </w:tcPr>
          <w:p w:rsidR="00343F78" w:rsidRPr="008940B1" w:rsidRDefault="00343F78" w:rsidP="00343F78">
            <w:pPr>
              <w:spacing w:line="240" w:lineRule="auto"/>
              <w:rPr>
                <w:rFonts w:asciiTheme="minorHAnsi" w:hAnsiTheme="minorHAnsi"/>
                <w:sz w:val="20"/>
              </w:rPr>
            </w:pPr>
            <w:proofErr w:type="spellStart"/>
            <w:r w:rsidRPr="008940B1">
              <w:rPr>
                <w:rFonts w:asciiTheme="minorHAnsi" w:hAnsiTheme="minorHAnsi"/>
                <w:sz w:val="20"/>
              </w:rPr>
              <w:lastRenderedPageBreak/>
              <w:t>SzOOP</w:t>
            </w:r>
            <w:proofErr w:type="spellEnd"/>
          </w:p>
        </w:tc>
      </w:tr>
      <w:tr w:rsidR="00343F78" w:rsidRPr="008940B1" w:rsidTr="00C409A8">
        <w:trPr>
          <w:trHeight w:val="20"/>
          <w:jc w:val="center"/>
        </w:trPr>
        <w:tc>
          <w:tcPr>
            <w:tcW w:w="1204" w:type="pct"/>
            <w:shd w:val="clear" w:color="auto" w:fill="auto"/>
          </w:tcPr>
          <w:p w:rsidR="00343F78" w:rsidRPr="008940B1" w:rsidRDefault="00343F78" w:rsidP="00343F78">
            <w:pPr>
              <w:spacing w:before="0" w:line="240" w:lineRule="auto"/>
              <w:rPr>
                <w:rFonts w:asciiTheme="minorHAnsi" w:eastAsiaTheme="minorHAnsi" w:hAnsiTheme="minorHAnsi" w:cs="Arial"/>
                <w:sz w:val="20"/>
                <w:lang w:eastAsia="en-US"/>
              </w:rPr>
            </w:pPr>
            <w:r w:rsidRPr="008940B1">
              <w:rPr>
                <w:rFonts w:asciiTheme="minorHAnsi" w:eastAsiaTheme="minorHAnsi" w:hAnsiTheme="minorHAnsi" w:cs="Arial"/>
                <w:sz w:val="20"/>
                <w:lang w:eastAsia="en-US"/>
              </w:rPr>
              <w:t>Liczba przedsiębiorstw otrzymujących wsparcie (CI 1)</w:t>
            </w:r>
          </w:p>
          <w:p w:rsidR="00343F78" w:rsidRPr="008940B1" w:rsidRDefault="00343F78" w:rsidP="00343F78">
            <w:pPr>
              <w:spacing w:before="0" w:line="240" w:lineRule="auto"/>
              <w:rPr>
                <w:rFonts w:asciiTheme="minorHAnsi" w:eastAsiaTheme="minorHAnsi" w:hAnsiTheme="minorHAnsi"/>
                <w:sz w:val="20"/>
                <w:lang w:eastAsia="en-US"/>
              </w:rPr>
            </w:pPr>
          </w:p>
        </w:tc>
        <w:tc>
          <w:tcPr>
            <w:tcW w:w="457" w:type="pct"/>
          </w:tcPr>
          <w:p w:rsidR="00343F78" w:rsidRPr="008940B1" w:rsidRDefault="00343F78" w:rsidP="00343F78">
            <w:pPr>
              <w:spacing w:before="0" w:line="240" w:lineRule="auto"/>
              <w:rPr>
                <w:rFonts w:asciiTheme="minorHAnsi" w:eastAsiaTheme="minorHAnsi" w:hAnsiTheme="minorHAnsi"/>
                <w:sz w:val="20"/>
                <w:lang w:eastAsia="en-US"/>
              </w:rPr>
            </w:pPr>
            <w:r w:rsidRPr="008940B1">
              <w:rPr>
                <w:rFonts w:asciiTheme="minorHAnsi" w:eastAsiaTheme="minorHAnsi" w:hAnsiTheme="minorHAnsi"/>
                <w:sz w:val="20"/>
                <w:lang w:eastAsia="en-US"/>
              </w:rPr>
              <w:t>przedsiębiorstwo</w:t>
            </w:r>
          </w:p>
        </w:tc>
        <w:tc>
          <w:tcPr>
            <w:tcW w:w="2520" w:type="pct"/>
            <w:shd w:val="clear" w:color="auto" w:fill="auto"/>
          </w:tcPr>
          <w:p w:rsidR="00343F78" w:rsidRPr="008940B1" w:rsidRDefault="00343F78" w:rsidP="00343F78">
            <w:pPr>
              <w:spacing w:before="0" w:line="240" w:lineRule="auto"/>
              <w:jc w:val="both"/>
              <w:rPr>
                <w:rFonts w:asciiTheme="minorHAnsi" w:eastAsiaTheme="minorHAnsi" w:hAnsiTheme="minorHAnsi" w:cs="Arial"/>
                <w:sz w:val="20"/>
                <w:lang w:val="en-US" w:eastAsia="en-US"/>
              </w:rPr>
            </w:pPr>
            <w:proofErr w:type="spellStart"/>
            <w:r w:rsidRPr="008940B1">
              <w:rPr>
                <w:rFonts w:asciiTheme="minorHAnsi" w:eastAsiaTheme="minorHAnsi" w:hAnsiTheme="minorHAnsi" w:cs="Arial"/>
                <w:sz w:val="20"/>
                <w:lang w:val="en-US" w:eastAsia="en-US"/>
              </w:rPr>
              <w:t>Liczba</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przedsiębiorstw</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otrzymujących</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wsparcie</w:t>
            </w:r>
            <w:proofErr w:type="spellEnd"/>
            <w:r w:rsidRPr="008940B1">
              <w:rPr>
                <w:rFonts w:asciiTheme="minorHAnsi" w:eastAsiaTheme="minorHAnsi" w:hAnsiTheme="minorHAnsi" w:cs="Arial"/>
                <w:sz w:val="20"/>
                <w:lang w:val="en-US" w:eastAsia="en-US"/>
              </w:rPr>
              <w:t xml:space="preserve"> w </w:t>
            </w:r>
            <w:proofErr w:type="spellStart"/>
            <w:r w:rsidRPr="008940B1">
              <w:rPr>
                <w:rFonts w:asciiTheme="minorHAnsi" w:eastAsiaTheme="minorHAnsi" w:hAnsiTheme="minorHAnsi" w:cs="Arial"/>
                <w:sz w:val="20"/>
                <w:lang w:val="en-US" w:eastAsia="en-US"/>
              </w:rPr>
              <w:t>dowolnej</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formie</w:t>
            </w:r>
            <w:proofErr w:type="spellEnd"/>
            <w:r w:rsidRPr="008940B1">
              <w:rPr>
                <w:rFonts w:asciiTheme="minorHAnsi" w:eastAsiaTheme="minorHAnsi" w:hAnsiTheme="minorHAnsi" w:cs="Arial"/>
                <w:sz w:val="20"/>
                <w:lang w:val="en-US" w:eastAsia="en-US"/>
              </w:rPr>
              <w:t xml:space="preserve"> z </w:t>
            </w:r>
            <w:proofErr w:type="spellStart"/>
            <w:r w:rsidRPr="008940B1">
              <w:rPr>
                <w:rFonts w:asciiTheme="minorHAnsi" w:eastAsiaTheme="minorHAnsi" w:hAnsiTheme="minorHAnsi" w:cs="Arial"/>
                <w:sz w:val="20"/>
                <w:lang w:val="en-US" w:eastAsia="en-US"/>
              </w:rPr>
              <w:t>funduszy</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strukturalnych</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niezależnie</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od</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tego</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czy</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wsparcie</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stanowi</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pomoc</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państwa</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czy</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nie</w:t>
            </w:r>
            <w:proofErr w:type="spellEnd"/>
            <w:r w:rsidRPr="008940B1">
              <w:rPr>
                <w:rFonts w:asciiTheme="minorHAnsi" w:eastAsiaTheme="minorHAnsi" w:hAnsiTheme="minorHAnsi" w:cs="Arial"/>
                <w:sz w:val="20"/>
                <w:lang w:val="en-US" w:eastAsia="en-US"/>
              </w:rPr>
              <w:t>).</w:t>
            </w:r>
          </w:p>
          <w:p w:rsidR="00343F78" w:rsidRPr="008940B1" w:rsidRDefault="00343F78" w:rsidP="00343F78">
            <w:pPr>
              <w:spacing w:before="0" w:line="240" w:lineRule="auto"/>
              <w:jc w:val="both"/>
              <w:rPr>
                <w:rFonts w:asciiTheme="minorHAnsi" w:eastAsiaTheme="minorHAnsi" w:hAnsiTheme="minorHAnsi" w:cs="Arial"/>
                <w:sz w:val="20"/>
                <w:lang w:val="en-US" w:eastAsia="en-US"/>
              </w:rPr>
            </w:pPr>
          </w:p>
          <w:p w:rsidR="00343F78" w:rsidRPr="008940B1" w:rsidRDefault="00343F78" w:rsidP="00343F78">
            <w:pPr>
              <w:spacing w:before="0" w:line="240" w:lineRule="auto"/>
              <w:jc w:val="both"/>
              <w:rPr>
                <w:rFonts w:asciiTheme="minorHAnsi" w:eastAsiaTheme="minorHAnsi" w:hAnsiTheme="minorHAnsi" w:cs="Arial"/>
                <w:sz w:val="20"/>
                <w:lang w:val="en-US" w:eastAsia="en-US"/>
              </w:rPr>
            </w:pPr>
            <w:proofErr w:type="spellStart"/>
            <w:r w:rsidRPr="008940B1">
              <w:rPr>
                <w:rFonts w:asciiTheme="minorHAnsi" w:eastAsiaTheme="minorHAnsi" w:hAnsiTheme="minorHAnsi" w:cs="Arial"/>
                <w:sz w:val="20"/>
                <w:lang w:val="en-US" w:eastAsia="en-US"/>
              </w:rPr>
              <w:t>Przedsiębiorstwo</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organizacja</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produkująca</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produkty</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lub</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usługi</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zaspokajające</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potrzeby</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rynku</w:t>
            </w:r>
            <w:proofErr w:type="spellEnd"/>
            <w:r w:rsidRPr="008940B1">
              <w:rPr>
                <w:rFonts w:asciiTheme="minorHAnsi" w:eastAsiaTheme="minorHAnsi" w:hAnsiTheme="minorHAnsi" w:cs="Arial"/>
                <w:sz w:val="20"/>
                <w:lang w:val="en-US" w:eastAsia="en-US"/>
              </w:rPr>
              <w:t xml:space="preserve"> w </w:t>
            </w:r>
            <w:proofErr w:type="spellStart"/>
            <w:r w:rsidRPr="008940B1">
              <w:rPr>
                <w:rFonts w:asciiTheme="minorHAnsi" w:eastAsiaTheme="minorHAnsi" w:hAnsiTheme="minorHAnsi" w:cs="Arial"/>
                <w:sz w:val="20"/>
                <w:lang w:val="en-US" w:eastAsia="en-US"/>
              </w:rPr>
              <w:t>celu</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osiągnięcia</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zysku</w:t>
            </w:r>
            <w:proofErr w:type="spellEnd"/>
            <w:r w:rsidRPr="008940B1">
              <w:rPr>
                <w:rFonts w:asciiTheme="minorHAnsi" w:eastAsiaTheme="minorHAnsi" w:hAnsiTheme="minorHAnsi" w:cs="Arial"/>
                <w:sz w:val="20"/>
                <w:lang w:val="en-US" w:eastAsia="en-US"/>
              </w:rPr>
              <w:t xml:space="preserve">. Forma </w:t>
            </w:r>
            <w:proofErr w:type="spellStart"/>
            <w:r w:rsidRPr="008940B1">
              <w:rPr>
                <w:rFonts w:asciiTheme="minorHAnsi" w:eastAsiaTheme="minorHAnsi" w:hAnsiTheme="minorHAnsi" w:cs="Arial"/>
                <w:sz w:val="20"/>
                <w:lang w:val="en-US" w:eastAsia="en-US"/>
              </w:rPr>
              <w:t>prawna</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przedsiębiorstwa</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może</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być</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różna</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osoby</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pracujące</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na</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własny</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rachunek</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spółki</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osobowe</w:t>
            </w:r>
            <w:proofErr w:type="spellEnd"/>
            <w:r w:rsidRPr="008940B1">
              <w:rPr>
                <w:rFonts w:asciiTheme="minorHAnsi" w:eastAsiaTheme="minorHAnsi" w:hAnsiTheme="minorHAnsi" w:cs="Arial"/>
                <w:sz w:val="20"/>
                <w:lang w:val="en-US" w:eastAsia="en-US"/>
              </w:rPr>
              <w:t xml:space="preserve"> </w:t>
            </w:r>
            <w:proofErr w:type="spellStart"/>
            <w:r w:rsidRPr="008940B1">
              <w:rPr>
                <w:rFonts w:asciiTheme="minorHAnsi" w:eastAsiaTheme="minorHAnsi" w:hAnsiTheme="minorHAnsi" w:cs="Arial"/>
                <w:sz w:val="20"/>
                <w:lang w:val="en-US" w:eastAsia="en-US"/>
              </w:rPr>
              <w:t>itp</w:t>
            </w:r>
            <w:proofErr w:type="spellEnd"/>
            <w:r w:rsidRPr="008940B1">
              <w:rPr>
                <w:rFonts w:asciiTheme="minorHAnsi" w:eastAsiaTheme="minorHAnsi" w:hAnsiTheme="minorHAnsi" w:cs="Arial"/>
                <w:sz w:val="20"/>
                <w:lang w:val="en-US" w:eastAsia="en-US"/>
              </w:rPr>
              <w:t>.).</w:t>
            </w:r>
          </w:p>
          <w:p w:rsidR="00343F78" w:rsidRPr="008940B1" w:rsidRDefault="00343F78" w:rsidP="00343F78">
            <w:pPr>
              <w:spacing w:before="0" w:line="240" w:lineRule="auto"/>
              <w:jc w:val="both"/>
              <w:rPr>
                <w:rFonts w:asciiTheme="minorHAnsi" w:eastAsiaTheme="minorHAnsi" w:hAnsiTheme="minorHAnsi" w:cs="Arial"/>
                <w:sz w:val="20"/>
                <w:lang w:val="en-US" w:eastAsia="en-US"/>
              </w:rPr>
            </w:pPr>
          </w:p>
          <w:p w:rsidR="00343F78" w:rsidRPr="008940B1" w:rsidRDefault="00343F78" w:rsidP="00343F78">
            <w:pPr>
              <w:spacing w:before="0" w:line="240" w:lineRule="auto"/>
              <w:jc w:val="both"/>
              <w:rPr>
                <w:rFonts w:asciiTheme="minorHAnsi" w:eastAsiaTheme="minorHAnsi" w:hAnsiTheme="minorHAnsi" w:cs="Arial"/>
                <w:sz w:val="20"/>
                <w:lang w:val="en-US" w:eastAsia="en-US"/>
              </w:rPr>
            </w:pPr>
            <w:r w:rsidRPr="008940B1">
              <w:rPr>
                <w:rFonts w:asciiTheme="minorHAnsi" w:eastAsiaTheme="minorHAnsi" w:hAnsiTheme="minorHAnsi" w:cs="Arial"/>
                <w:sz w:val="20"/>
                <w:lang w:val="en-US" w:eastAsia="en-US"/>
              </w:rPr>
              <w:t xml:space="preserve">Number of enterprises receiving support in any form from Structural Funds (whether the support represents state aid or not). </w:t>
            </w:r>
          </w:p>
          <w:p w:rsidR="00343F78" w:rsidRPr="008940B1" w:rsidRDefault="00343F78" w:rsidP="00343F78">
            <w:pPr>
              <w:spacing w:before="120" w:line="240" w:lineRule="auto"/>
              <w:jc w:val="both"/>
              <w:rPr>
                <w:rFonts w:asciiTheme="minorHAnsi" w:eastAsiaTheme="minorHAnsi" w:hAnsiTheme="minorHAnsi" w:cs="Arial"/>
                <w:sz w:val="20"/>
                <w:lang w:val="en-US" w:eastAsia="en-US"/>
              </w:rPr>
            </w:pPr>
            <w:r w:rsidRPr="008940B1">
              <w:rPr>
                <w:rFonts w:asciiTheme="minorHAnsi" w:eastAsiaTheme="minorHAnsi" w:hAnsiTheme="minorHAnsi" w:cs="Arial"/>
                <w:sz w:val="20"/>
                <w:lang w:val="en-US" w:eastAsia="en-US"/>
              </w:rPr>
              <w:t xml:space="preserve">Enterprise: </w:t>
            </w:r>
            <w:proofErr w:type="spellStart"/>
            <w:r w:rsidRPr="008940B1">
              <w:rPr>
                <w:rFonts w:asciiTheme="minorHAnsi" w:eastAsiaTheme="minorHAnsi" w:hAnsiTheme="minorHAnsi" w:cs="Arial"/>
                <w:sz w:val="20"/>
                <w:lang w:val="en-US" w:eastAsia="en-US"/>
              </w:rPr>
              <w:t>Organisation</w:t>
            </w:r>
            <w:proofErr w:type="spellEnd"/>
            <w:r w:rsidRPr="008940B1">
              <w:rPr>
                <w:rFonts w:asciiTheme="minorHAnsi" w:eastAsiaTheme="minorHAnsi" w:hAnsiTheme="minorHAnsi" w:cs="Arial"/>
                <w:sz w:val="20"/>
                <w:lang w:val="en-US" w:eastAsia="en-US"/>
              </w:rPr>
              <w:t xml:space="preserve"> producing products or services to satisfy market needs in order to reach profit. The legal form of enterprise may be various (self-employed persons, partnerships, etc.). </w:t>
            </w:r>
          </w:p>
        </w:tc>
        <w:tc>
          <w:tcPr>
            <w:tcW w:w="819" w:type="pct"/>
          </w:tcPr>
          <w:p w:rsidR="00343F78" w:rsidRPr="008940B1" w:rsidRDefault="00343F78" w:rsidP="00343F78">
            <w:pPr>
              <w:spacing w:line="240" w:lineRule="auto"/>
              <w:rPr>
                <w:rFonts w:asciiTheme="minorHAnsi" w:hAnsiTheme="minorHAnsi"/>
                <w:sz w:val="20"/>
              </w:rPr>
            </w:pPr>
            <w:proofErr w:type="spellStart"/>
            <w:r w:rsidRPr="008940B1">
              <w:rPr>
                <w:rFonts w:asciiTheme="minorHAnsi" w:hAnsiTheme="minorHAnsi"/>
                <w:sz w:val="20"/>
              </w:rPr>
              <w:t>SzOOP</w:t>
            </w:r>
            <w:proofErr w:type="spellEnd"/>
          </w:p>
        </w:tc>
      </w:tr>
      <w:tr w:rsidR="00343F78" w:rsidRPr="008940B1" w:rsidTr="00C409A8">
        <w:trPr>
          <w:trHeight w:val="20"/>
          <w:jc w:val="center"/>
        </w:trPr>
        <w:tc>
          <w:tcPr>
            <w:tcW w:w="1204" w:type="pct"/>
            <w:shd w:val="clear" w:color="auto" w:fill="auto"/>
          </w:tcPr>
          <w:p w:rsidR="00343F78" w:rsidRPr="008940B1" w:rsidRDefault="00343F78" w:rsidP="00343F78">
            <w:pPr>
              <w:spacing w:before="0" w:line="240" w:lineRule="auto"/>
              <w:rPr>
                <w:rFonts w:asciiTheme="minorHAnsi" w:eastAsiaTheme="minorHAnsi" w:hAnsiTheme="minorHAnsi"/>
                <w:sz w:val="20"/>
                <w:lang w:eastAsia="en-US"/>
              </w:rPr>
            </w:pPr>
            <w:r w:rsidRPr="008940B1">
              <w:rPr>
                <w:rFonts w:asciiTheme="minorHAnsi" w:eastAsiaTheme="minorHAnsi" w:hAnsiTheme="minorHAnsi"/>
                <w:sz w:val="20"/>
                <w:lang w:eastAsia="en-US"/>
              </w:rPr>
              <w:t>Liczba obiektów dostosowanych do potrzeb osób z niepełnosprawnościami</w:t>
            </w:r>
          </w:p>
        </w:tc>
        <w:tc>
          <w:tcPr>
            <w:tcW w:w="457" w:type="pct"/>
          </w:tcPr>
          <w:p w:rsidR="00343F78" w:rsidRPr="008940B1" w:rsidRDefault="00343F78" w:rsidP="00343F78">
            <w:pPr>
              <w:spacing w:before="0" w:line="240" w:lineRule="auto"/>
              <w:jc w:val="center"/>
              <w:rPr>
                <w:rFonts w:asciiTheme="minorHAnsi" w:eastAsiaTheme="minorHAnsi" w:hAnsiTheme="minorHAnsi"/>
                <w:sz w:val="20"/>
                <w:lang w:eastAsia="en-US"/>
              </w:rPr>
            </w:pPr>
            <w:r w:rsidRPr="008940B1">
              <w:rPr>
                <w:rFonts w:asciiTheme="minorHAnsi" w:eastAsiaTheme="minorHAnsi" w:hAnsiTheme="minorHAnsi"/>
                <w:sz w:val="20"/>
                <w:lang w:eastAsia="en-US"/>
              </w:rPr>
              <w:t>szt.</w:t>
            </w:r>
          </w:p>
        </w:tc>
        <w:tc>
          <w:tcPr>
            <w:tcW w:w="2520" w:type="pct"/>
            <w:shd w:val="clear" w:color="auto" w:fill="auto"/>
          </w:tcPr>
          <w:p w:rsidR="00343F78" w:rsidRPr="008940B1" w:rsidRDefault="00343F78" w:rsidP="00343F78">
            <w:pPr>
              <w:spacing w:before="0" w:line="240" w:lineRule="auto"/>
              <w:jc w:val="both"/>
              <w:rPr>
                <w:rFonts w:asciiTheme="minorHAnsi" w:eastAsiaTheme="minorHAnsi" w:hAnsiTheme="minorHAnsi"/>
                <w:sz w:val="20"/>
                <w:lang w:eastAsia="en-US"/>
              </w:rPr>
            </w:pPr>
            <w:r w:rsidRPr="008940B1">
              <w:rPr>
                <w:rFonts w:asciiTheme="minorHAnsi" w:eastAsiaTheme="minorHAnsi" w:hAnsiTheme="minorHAnsi"/>
                <w:sz w:val="20"/>
                <w:lang w:eastAsia="en-US"/>
              </w:rPr>
              <w:t xml:space="preserve">Wskaźnik odnosi się do liczby obiektów, które zaopatrzono w specjalne podjazdy, windy, urządzenia głośnomówiące, bądź inne </w:t>
            </w:r>
            <w:r w:rsidRPr="008940B1">
              <w:rPr>
                <w:rFonts w:asciiTheme="minorHAnsi" w:eastAsiaTheme="minorHAnsi" w:hAnsiTheme="minorHAnsi" w:cs="Arial"/>
                <w:sz w:val="20"/>
                <w:lang w:eastAsia="en-US"/>
              </w:rPr>
              <w:t xml:space="preserve"> rozwiązania umożliwiające dostęp </w:t>
            </w:r>
            <w:r w:rsidRPr="008940B1">
              <w:rPr>
                <w:rFonts w:asciiTheme="minorHAnsi" w:eastAsiaTheme="minorHAnsi" w:hAnsiTheme="minorHAnsi"/>
                <w:sz w:val="20"/>
                <w:lang w:eastAsia="en-US"/>
              </w:rPr>
              <w:t>(tj. usunięcie barier w dostępie, w szczególności barier architektonicznych) do tych obiektów i poruszanie się po nich osobom niepełnosprawnym ruchowo czy sensorycznie.</w:t>
            </w:r>
          </w:p>
          <w:p w:rsidR="00343F78" w:rsidRPr="008940B1" w:rsidRDefault="00343F78" w:rsidP="00343F78">
            <w:pPr>
              <w:spacing w:before="0" w:line="240" w:lineRule="auto"/>
              <w:jc w:val="both"/>
              <w:rPr>
                <w:rFonts w:asciiTheme="minorHAnsi" w:eastAsiaTheme="minorHAnsi" w:hAnsiTheme="minorHAnsi"/>
                <w:sz w:val="20"/>
                <w:lang w:eastAsia="en-US"/>
              </w:rPr>
            </w:pPr>
            <w:r w:rsidRPr="008940B1">
              <w:rPr>
                <w:rFonts w:asciiTheme="minorHAnsi" w:eastAsiaTheme="minorHAnsi" w:hAnsiTheme="minorHAnsi"/>
                <w:sz w:val="20"/>
                <w:lang w:eastAsia="en-US"/>
              </w:rPr>
              <w:t>Jako obiekty budowlane należy rozumieć konstrukcje połączone z gruntem w sposób trwały, wykonane z materiałów budowlanych i elementów składowych, będące wynikiem prac budowlanych (wg. def. PKOB).</w:t>
            </w:r>
          </w:p>
          <w:p w:rsidR="00343F78" w:rsidRPr="008940B1" w:rsidRDefault="00343F78" w:rsidP="00343F78">
            <w:pPr>
              <w:spacing w:before="0" w:line="240" w:lineRule="auto"/>
              <w:jc w:val="both"/>
              <w:rPr>
                <w:rFonts w:asciiTheme="minorHAnsi" w:eastAsiaTheme="minorHAnsi" w:hAnsiTheme="minorHAnsi"/>
                <w:sz w:val="20"/>
                <w:lang w:eastAsia="en-US"/>
              </w:rPr>
            </w:pPr>
            <w:r w:rsidRPr="008940B1">
              <w:rPr>
                <w:rFonts w:asciiTheme="minorHAnsi" w:eastAsiaTheme="minorHAnsi" w:hAnsiTheme="minorHAnsi"/>
                <w:sz w:val="20"/>
                <w:lang w:eastAsia="en-US"/>
              </w:rPr>
              <w:t xml:space="preserve">Należy podać liczbę </w:t>
            </w:r>
            <w:r w:rsidRPr="008940B1">
              <w:rPr>
                <w:rFonts w:asciiTheme="minorHAnsi" w:eastAsiaTheme="minorHAnsi" w:hAnsiTheme="minorHAnsi" w:cs="Arial"/>
                <w:sz w:val="20"/>
                <w:lang w:eastAsia="en-US"/>
              </w:rPr>
              <w:t>wspartych lub zaopatrzonych w sprzęt obiektów</w:t>
            </w:r>
            <w:r w:rsidRPr="008940B1">
              <w:rPr>
                <w:rFonts w:asciiTheme="minorHAnsi" w:eastAsiaTheme="minorHAnsi" w:hAnsiTheme="minorHAnsi"/>
                <w:sz w:val="20"/>
                <w:lang w:eastAsia="en-US"/>
              </w:rPr>
              <w:t>, a nie liczbę sprzętów, urządzeń itp., w które obiekty zaopatrzono.</w:t>
            </w:r>
          </w:p>
          <w:p w:rsidR="00343F78" w:rsidRPr="008940B1" w:rsidRDefault="00343F78" w:rsidP="00343F78">
            <w:pPr>
              <w:spacing w:before="0" w:line="240" w:lineRule="auto"/>
              <w:jc w:val="both"/>
              <w:rPr>
                <w:rFonts w:asciiTheme="minorHAnsi" w:eastAsiaTheme="minorHAnsi" w:hAnsiTheme="minorHAnsi"/>
                <w:sz w:val="20"/>
                <w:lang w:eastAsia="en-US"/>
              </w:rPr>
            </w:pPr>
            <w:r w:rsidRPr="008940B1">
              <w:rPr>
                <w:rFonts w:asciiTheme="minorHAnsi" w:eastAsiaTheme="minorHAnsi" w:hAnsiTheme="minorHAnsi"/>
                <w:sz w:val="20"/>
                <w:lang w:eastAsia="en-US"/>
              </w:rPr>
              <w:t>Jeśli instytucja, zakład itp. składa się z kilku obiektów, należy zliczyć wszystkie, które dostosowano do potrzeb osób niepełnosprawnych.</w:t>
            </w:r>
          </w:p>
        </w:tc>
        <w:tc>
          <w:tcPr>
            <w:tcW w:w="819" w:type="pct"/>
          </w:tcPr>
          <w:p w:rsidR="00343F78" w:rsidRPr="008940B1" w:rsidRDefault="00D10171" w:rsidP="00343F78">
            <w:pPr>
              <w:spacing w:before="0" w:line="240" w:lineRule="auto"/>
              <w:jc w:val="center"/>
              <w:rPr>
                <w:rFonts w:asciiTheme="minorHAnsi" w:hAnsiTheme="minorHAnsi"/>
                <w:sz w:val="20"/>
              </w:rPr>
            </w:pPr>
            <w:r>
              <w:rPr>
                <w:rFonts w:asciiTheme="minorHAnsi" w:hAnsiTheme="minorHAnsi"/>
                <w:sz w:val="20"/>
              </w:rPr>
              <w:t>h</w:t>
            </w:r>
            <w:r w:rsidR="00343F78" w:rsidRPr="008940B1">
              <w:rPr>
                <w:rFonts w:asciiTheme="minorHAnsi" w:hAnsiTheme="minorHAnsi"/>
                <w:sz w:val="20"/>
              </w:rPr>
              <w:t>oryzontalny</w:t>
            </w:r>
          </w:p>
        </w:tc>
      </w:tr>
      <w:tr w:rsidR="00343F78" w:rsidRPr="008940B1" w:rsidTr="00C409A8">
        <w:trPr>
          <w:trHeight w:val="20"/>
          <w:jc w:val="center"/>
        </w:trPr>
        <w:tc>
          <w:tcPr>
            <w:tcW w:w="1204" w:type="pct"/>
            <w:shd w:val="clear" w:color="auto" w:fill="auto"/>
          </w:tcPr>
          <w:p w:rsidR="00343F78" w:rsidRPr="008940B1" w:rsidRDefault="00343F78" w:rsidP="00343F78">
            <w:pPr>
              <w:spacing w:before="0" w:line="240" w:lineRule="auto"/>
              <w:rPr>
                <w:rFonts w:asciiTheme="minorHAnsi" w:eastAsiaTheme="minorHAnsi" w:hAnsiTheme="minorHAnsi"/>
                <w:sz w:val="20"/>
                <w:lang w:eastAsia="en-US"/>
              </w:rPr>
            </w:pPr>
            <w:r w:rsidRPr="008940B1">
              <w:rPr>
                <w:rFonts w:asciiTheme="minorHAnsi" w:eastAsiaTheme="minorHAnsi" w:hAnsiTheme="minorHAnsi"/>
                <w:sz w:val="20"/>
                <w:lang w:eastAsia="en-US"/>
              </w:rPr>
              <w:t>Liczba podmiotów wykorzystujących technologie informacyjno-komunikacyjne (TIK)</w:t>
            </w:r>
          </w:p>
        </w:tc>
        <w:tc>
          <w:tcPr>
            <w:tcW w:w="457" w:type="pct"/>
          </w:tcPr>
          <w:p w:rsidR="00343F78" w:rsidRPr="008940B1" w:rsidRDefault="00343F78" w:rsidP="00343F78">
            <w:pPr>
              <w:spacing w:before="0" w:line="240" w:lineRule="auto"/>
              <w:jc w:val="center"/>
              <w:rPr>
                <w:rFonts w:asciiTheme="minorHAnsi" w:eastAsiaTheme="minorHAnsi" w:hAnsiTheme="minorHAnsi"/>
                <w:sz w:val="20"/>
                <w:lang w:eastAsia="en-US"/>
              </w:rPr>
            </w:pPr>
            <w:r w:rsidRPr="008940B1">
              <w:rPr>
                <w:rFonts w:asciiTheme="minorHAnsi" w:eastAsiaTheme="minorHAnsi" w:hAnsiTheme="minorHAnsi"/>
                <w:sz w:val="20"/>
                <w:lang w:eastAsia="en-US"/>
              </w:rPr>
              <w:t>szt.</w:t>
            </w:r>
          </w:p>
        </w:tc>
        <w:tc>
          <w:tcPr>
            <w:tcW w:w="2520" w:type="pct"/>
            <w:shd w:val="clear" w:color="auto" w:fill="auto"/>
          </w:tcPr>
          <w:p w:rsidR="00343F78" w:rsidRPr="008940B1" w:rsidRDefault="00343F78" w:rsidP="00343F78">
            <w:pPr>
              <w:spacing w:before="0" w:line="240" w:lineRule="auto"/>
              <w:jc w:val="both"/>
              <w:rPr>
                <w:rFonts w:asciiTheme="minorHAnsi" w:eastAsiaTheme="minorHAnsi" w:hAnsiTheme="minorHAnsi"/>
                <w:sz w:val="20"/>
                <w:lang w:eastAsia="en-US"/>
              </w:rPr>
            </w:pPr>
            <w:r w:rsidRPr="008940B1">
              <w:rPr>
                <w:rFonts w:asciiTheme="minorHAnsi" w:eastAsiaTheme="minorHAnsi" w:hAnsiTheme="minorHAnsi"/>
                <w:sz w:val="20"/>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343F78" w:rsidRPr="008940B1" w:rsidRDefault="00343F78" w:rsidP="00343F78">
            <w:pPr>
              <w:spacing w:before="0" w:line="240" w:lineRule="auto"/>
              <w:jc w:val="both"/>
              <w:rPr>
                <w:rFonts w:asciiTheme="minorHAnsi" w:eastAsiaTheme="minorHAnsi" w:hAnsiTheme="minorHAnsi"/>
                <w:sz w:val="20"/>
                <w:lang w:eastAsia="en-US"/>
              </w:rPr>
            </w:pPr>
          </w:p>
          <w:p w:rsidR="00343F78" w:rsidRPr="008940B1" w:rsidRDefault="00343F78" w:rsidP="00343F78">
            <w:pPr>
              <w:spacing w:before="0" w:line="240" w:lineRule="auto"/>
              <w:jc w:val="both"/>
              <w:rPr>
                <w:rFonts w:asciiTheme="minorHAnsi" w:eastAsiaTheme="minorHAnsi" w:hAnsiTheme="minorHAnsi"/>
                <w:sz w:val="20"/>
                <w:lang w:eastAsia="en-US"/>
              </w:rPr>
            </w:pPr>
            <w:r w:rsidRPr="008940B1">
              <w:rPr>
                <w:rFonts w:asciiTheme="minorHAnsi" w:eastAsiaTheme="minorHAnsi" w:hAnsiTheme="minorHAnsi"/>
                <w:sz w:val="20"/>
                <w:lang w:eastAsia="en-US"/>
              </w:rPr>
              <w:t xml:space="preserve">Przez technologie informacyjno-komunikacyjne (ang. ICT – Information and Communications Technology) </w:t>
            </w:r>
            <w:r w:rsidRPr="008940B1">
              <w:rPr>
                <w:rFonts w:asciiTheme="minorHAnsi" w:eastAsiaTheme="minorHAnsi" w:hAnsiTheme="minorHAnsi"/>
                <w:sz w:val="20"/>
                <w:lang w:eastAsia="en-US"/>
              </w:rPr>
              <w:lastRenderedPageBreak/>
              <w:t>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rsidR="00343F78" w:rsidRPr="008940B1" w:rsidRDefault="00343F78" w:rsidP="00343F78">
            <w:pPr>
              <w:spacing w:before="0" w:line="240" w:lineRule="auto"/>
              <w:jc w:val="both"/>
              <w:rPr>
                <w:rFonts w:asciiTheme="minorHAnsi" w:eastAsiaTheme="minorHAnsi" w:hAnsiTheme="minorHAnsi"/>
                <w:sz w:val="20"/>
                <w:lang w:eastAsia="en-US"/>
              </w:rPr>
            </w:pPr>
          </w:p>
          <w:p w:rsidR="00343F78" w:rsidRPr="008940B1" w:rsidRDefault="00343F78" w:rsidP="00343F78">
            <w:pPr>
              <w:spacing w:before="0" w:line="240" w:lineRule="auto"/>
              <w:jc w:val="both"/>
              <w:rPr>
                <w:rFonts w:asciiTheme="minorHAnsi" w:eastAsiaTheme="minorHAnsi" w:hAnsiTheme="minorHAnsi"/>
                <w:sz w:val="20"/>
                <w:lang w:eastAsia="en-US"/>
              </w:rPr>
            </w:pPr>
            <w:r w:rsidRPr="008940B1">
              <w:rPr>
                <w:rFonts w:asciiTheme="minorHAnsi" w:eastAsiaTheme="minorHAnsi" w:hAnsiTheme="minorHAnsi"/>
                <w:sz w:val="20"/>
                <w:lang w:eastAsia="en-US"/>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343F78" w:rsidRPr="008940B1" w:rsidRDefault="00343F78" w:rsidP="00343F78">
            <w:pPr>
              <w:spacing w:before="0" w:line="240" w:lineRule="auto"/>
              <w:jc w:val="both"/>
              <w:rPr>
                <w:rFonts w:asciiTheme="minorHAnsi" w:eastAsiaTheme="minorHAnsi" w:hAnsiTheme="minorHAnsi"/>
                <w:sz w:val="20"/>
                <w:lang w:eastAsia="en-US"/>
              </w:rPr>
            </w:pPr>
          </w:p>
          <w:p w:rsidR="00343F78" w:rsidRPr="008940B1" w:rsidRDefault="00343F78" w:rsidP="00343F78">
            <w:pPr>
              <w:spacing w:before="0" w:line="240" w:lineRule="auto"/>
              <w:jc w:val="both"/>
              <w:rPr>
                <w:rFonts w:asciiTheme="minorHAnsi" w:eastAsiaTheme="minorHAnsi" w:hAnsiTheme="minorHAnsi"/>
                <w:sz w:val="20"/>
                <w:lang w:eastAsia="en-US"/>
              </w:rPr>
            </w:pPr>
            <w:r w:rsidRPr="008940B1">
              <w:rPr>
                <w:rFonts w:asciiTheme="minorHAnsi" w:eastAsiaTheme="minorHAnsi" w:hAnsiTheme="minorHAnsi"/>
                <w:sz w:val="20"/>
                <w:lang w:eastAsia="en-US"/>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819" w:type="pct"/>
          </w:tcPr>
          <w:p w:rsidR="00343F78" w:rsidRPr="008940B1" w:rsidRDefault="00343F78" w:rsidP="00343F78">
            <w:pPr>
              <w:spacing w:before="0" w:line="240" w:lineRule="auto"/>
              <w:jc w:val="center"/>
              <w:rPr>
                <w:rFonts w:asciiTheme="minorHAnsi" w:hAnsiTheme="minorHAnsi"/>
                <w:sz w:val="20"/>
              </w:rPr>
            </w:pPr>
            <w:r w:rsidRPr="008940B1">
              <w:rPr>
                <w:rFonts w:asciiTheme="minorHAnsi" w:hAnsiTheme="minorHAnsi"/>
                <w:sz w:val="20"/>
              </w:rPr>
              <w:lastRenderedPageBreak/>
              <w:t>horyzontalny</w:t>
            </w:r>
          </w:p>
        </w:tc>
      </w:tr>
      <w:tr w:rsidR="00343F78" w:rsidRPr="008940B1" w:rsidTr="00C409A8">
        <w:trPr>
          <w:trHeight w:val="20"/>
          <w:jc w:val="center"/>
        </w:trPr>
        <w:tc>
          <w:tcPr>
            <w:tcW w:w="1204" w:type="pct"/>
            <w:shd w:val="clear" w:color="auto" w:fill="auto"/>
          </w:tcPr>
          <w:p w:rsidR="00343F78" w:rsidRPr="008940B1" w:rsidRDefault="00343F78" w:rsidP="00343F78">
            <w:pPr>
              <w:spacing w:before="0" w:line="240" w:lineRule="auto"/>
              <w:rPr>
                <w:rFonts w:asciiTheme="minorHAnsi" w:eastAsiaTheme="minorHAnsi" w:hAnsiTheme="minorHAnsi"/>
                <w:sz w:val="20"/>
                <w:lang w:eastAsia="en-US"/>
              </w:rPr>
            </w:pPr>
            <w:r w:rsidRPr="008940B1">
              <w:rPr>
                <w:rFonts w:asciiTheme="minorHAnsi" w:eastAsiaTheme="minorHAnsi" w:hAnsiTheme="minorHAnsi"/>
                <w:sz w:val="20"/>
                <w:lang w:eastAsia="en-US"/>
              </w:rPr>
              <w:t>Liczba osób objętych szkoleniami / doradztwem w zakresie kompetencji cyfrowych O/K/M</w:t>
            </w:r>
          </w:p>
        </w:tc>
        <w:tc>
          <w:tcPr>
            <w:tcW w:w="457" w:type="pct"/>
          </w:tcPr>
          <w:p w:rsidR="00343F78" w:rsidRPr="008940B1" w:rsidRDefault="00343F78" w:rsidP="00343F78">
            <w:pPr>
              <w:spacing w:before="0" w:line="240" w:lineRule="auto"/>
              <w:jc w:val="center"/>
              <w:rPr>
                <w:rFonts w:asciiTheme="minorHAnsi" w:eastAsiaTheme="minorHAnsi" w:hAnsiTheme="minorHAnsi"/>
                <w:sz w:val="20"/>
                <w:lang w:eastAsia="en-US"/>
              </w:rPr>
            </w:pPr>
            <w:r w:rsidRPr="008940B1">
              <w:rPr>
                <w:rFonts w:asciiTheme="minorHAnsi" w:eastAsiaTheme="minorHAnsi" w:hAnsiTheme="minorHAnsi"/>
                <w:sz w:val="20"/>
                <w:lang w:eastAsia="en-US"/>
              </w:rPr>
              <w:t>os.</w:t>
            </w:r>
          </w:p>
        </w:tc>
        <w:tc>
          <w:tcPr>
            <w:tcW w:w="2520" w:type="pct"/>
            <w:shd w:val="clear" w:color="auto" w:fill="auto"/>
          </w:tcPr>
          <w:p w:rsidR="00343F78" w:rsidRPr="008940B1" w:rsidRDefault="00343F78" w:rsidP="00343F78">
            <w:pPr>
              <w:spacing w:before="0" w:line="240" w:lineRule="auto"/>
              <w:jc w:val="both"/>
              <w:rPr>
                <w:rFonts w:asciiTheme="minorHAnsi" w:eastAsiaTheme="minorHAnsi" w:hAnsiTheme="minorHAnsi"/>
                <w:sz w:val="20"/>
                <w:lang w:eastAsia="en-US"/>
              </w:rPr>
            </w:pPr>
            <w:r w:rsidRPr="008940B1">
              <w:rPr>
                <w:rFonts w:asciiTheme="minorHAnsi" w:eastAsiaTheme="minorHAnsi" w:hAnsiTheme="minorHAnsi"/>
                <w:sz w:val="20"/>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8940B1">
              <w:rPr>
                <w:rFonts w:asciiTheme="minorHAnsi" w:eastAsiaTheme="minorHAnsi" w:hAnsiTheme="minorHAnsi"/>
                <w:sz w:val="20"/>
                <w:lang w:eastAsia="en-US"/>
              </w:rPr>
              <w:t>internetu</w:t>
            </w:r>
            <w:proofErr w:type="spellEnd"/>
            <w:r w:rsidRPr="008940B1">
              <w:rPr>
                <w:rFonts w:asciiTheme="minorHAnsi" w:eastAsiaTheme="minorHAnsi" w:hAnsiTheme="minorHAnsi"/>
                <w:sz w:val="20"/>
                <w:lang w:eastAsia="en-US"/>
              </w:rPr>
              <w:t xml:space="preserve"> oraz kompetencji ściśle informatycznych (np. programowanie, zarządzanie bazami danych, administracja sieciami, administracja witrynami internetowymi).</w:t>
            </w:r>
          </w:p>
        </w:tc>
        <w:tc>
          <w:tcPr>
            <w:tcW w:w="819" w:type="pct"/>
          </w:tcPr>
          <w:p w:rsidR="00343F78" w:rsidRPr="008940B1" w:rsidRDefault="00343F78" w:rsidP="00343F78">
            <w:pPr>
              <w:spacing w:before="0" w:line="240" w:lineRule="auto"/>
              <w:jc w:val="center"/>
              <w:rPr>
                <w:rFonts w:asciiTheme="minorHAnsi" w:hAnsiTheme="minorHAnsi"/>
                <w:sz w:val="20"/>
              </w:rPr>
            </w:pPr>
            <w:r w:rsidRPr="008940B1">
              <w:rPr>
                <w:rFonts w:asciiTheme="minorHAnsi" w:hAnsiTheme="minorHAnsi"/>
                <w:sz w:val="20"/>
              </w:rPr>
              <w:t>Horyzontalny</w:t>
            </w:r>
          </w:p>
        </w:tc>
      </w:tr>
      <w:tr w:rsidR="00343F78" w:rsidRPr="008940B1" w:rsidTr="00C409A8">
        <w:trPr>
          <w:trHeight w:val="20"/>
          <w:jc w:val="center"/>
        </w:trPr>
        <w:tc>
          <w:tcPr>
            <w:tcW w:w="1204" w:type="pct"/>
            <w:shd w:val="clear" w:color="auto" w:fill="auto"/>
          </w:tcPr>
          <w:p w:rsidR="00343F78" w:rsidRPr="008940B1" w:rsidRDefault="00343F78" w:rsidP="00343F78">
            <w:pPr>
              <w:spacing w:before="0" w:line="240" w:lineRule="auto"/>
              <w:rPr>
                <w:rFonts w:asciiTheme="minorHAnsi" w:eastAsiaTheme="minorHAnsi" w:hAnsiTheme="minorHAnsi"/>
                <w:sz w:val="20"/>
                <w:lang w:eastAsia="en-US"/>
              </w:rPr>
            </w:pPr>
            <w:r w:rsidRPr="008940B1">
              <w:rPr>
                <w:rFonts w:asciiTheme="minorHAnsi" w:eastAsiaTheme="minorHAnsi" w:hAnsiTheme="minorHAnsi" w:cs="Arial"/>
                <w:sz w:val="20"/>
                <w:lang w:eastAsia="en-US"/>
              </w:rPr>
              <w:t>Liczba projektów, w których sfinansowano koszty racjonalnych usprawnień dla osób z niepełnosprawnościami</w:t>
            </w:r>
          </w:p>
        </w:tc>
        <w:tc>
          <w:tcPr>
            <w:tcW w:w="457" w:type="pct"/>
          </w:tcPr>
          <w:p w:rsidR="00343F78" w:rsidRPr="008940B1" w:rsidRDefault="00343F78" w:rsidP="00343F78">
            <w:pPr>
              <w:spacing w:before="0" w:line="240" w:lineRule="auto"/>
              <w:jc w:val="center"/>
              <w:rPr>
                <w:rFonts w:asciiTheme="minorHAnsi" w:eastAsiaTheme="minorHAnsi" w:hAnsiTheme="minorHAnsi"/>
                <w:sz w:val="20"/>
                <w:lang w:eastAsia="en-US"/>
              </w:rPr>
            </w:pPr>
            <w:r w:rsidRPr="008940B1">
              <w:rPr>
                <w:rFonts w:asciiTheme="minorHAnsi" w:eastAsiaTheme="minorHAnsi" w:hAnsiTheme="minorHAnsi"/>
                <w:sz w:val="20"/>
                <w:lang w:eastAsia="en-US"/>
              </w:rPr>
              <w:t>szt.</w:t>
            </w:r>
          </w:p>
        </w:tc>
        <w:tc>
          <w:tcPr>
            <w:tcW w:w="2520" w:type="pct"/>
            <w:shd w:val="clear" w:color="auto" w:fill="auto"/>
          </w:tcPr>
          <w:p w:rsidR="00343F78" w:rsidRPr="008940B1" w:rsidRDefault="00343F78" w:rsidP="00343F78">
            <w:pPr>
              <w:autoSpaceDE w:val="0"/>
              <w:autoSpaceDN w:val="0"/>
              <w:adjustRightInd w:val="0"/>
              <w:spacing w:before="0" w:line="240" w:lineRule="auto"/>
              <w:jc w:val="both"/>
              <w:rPr>
                <w:rFonts w:asciiTheme="minorHAnsi" w:eastAsiaTheme="minorHAnsi" w:hAnsiTheme="minorHAnsi" w:cs="Arial"/>
                <w:sz w:val="20"/>
                <w:lang w:eastAsia="en-US"/>
              </w:rPr>
            </w:pPr>
            <w:r w:rsidRPr="008940B1">
              <w:rPr>
                <w:rFonts w:asciiTheme="minorHAnsi" w:eastAsiaTheme="minorHAnsi" w:hAnsiTheme="minorHAnsi" w:cs="Arial"/>
                <w:sz w:val="20"/>
                <w:lang w:eastAsia="en-US"/>
              </w:rPr>
              <w:t xml:space="preserve">Racjonalne usprawnienie oznacza konieczne </w:t>
            </w:r>
            <w:r w:rsidRPr="008940B1">
              <w:rPr>
                <w:rFonts w:asciiTheme="minorHAnsi" w:eastAsiaTheme="minorHAnsi" w:hAnsiTheme="minorHAnsi" w:cs="Arial"/>
                <w:sz w:val="20"/>
                <w:lang w:eastAsia="en-US"/>
              </w:rPr>
              <w:br/>
              <w:t>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w:t>
            </w:r>
          </w:p>
          <w:p w:rsidR="00343F78" w:rsidRPr="008940B1" w:rsidRDefault="00343F78" w:rsidP="00343F78">
            <w:pPr>
              <w:autoSpaceDE w:val="0"/>
              <w:autoSpaceDN w:val="0"/>
              <w:adjustRightInd w:val="0"/>
              <w:spacing w:before="0" w:line="240" w:lineRule="auto"/>
              <w:jc w:val="both"/>
              <w:rPr>
                <w:rFonts w:asciiTheme="minorHAnsi" w:eastAsiaTheme="minorHAnsi" w:hAnsiTheme="minorHAnsi" w:cs="Arial"/>
                <w:sz w:val="20"/>
                <w:lang w:eastAsia="en-US"/>
              </w:rPr>
            </w:pPr>
            <w:r w:rsidRPr="008940B1">
              <w:rPr>
                <w:rFonts w:asciiTheme="minorHAnsi" w:eastAsiaTheme="minorHAnsi" w:hAnsiTheme="minorHAnsi" w:cs="Arial"/>
                <w:sz w:val="20"/>
                <w:lang w:eastAsia="en-US"/>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w:t>
            </w:r>
            <w:bookmarkStart w:id="3" w:name="_GoBack"/>
            <w:bookmarkEnd w:id="3"/>
            <w:r w:rsidRPr="008940B1">
              <w:rPr>
                <w:rFonts w:asciiTheme="minorHAnsi" w:eastAsiaTheme="minorHAnsi" w:hAnsiTheme="minorHAnsi" w:cs="Arial"/>
                <w:sz w:val="20"/>
                <w:lang w:eastAsia="en-US"/>
              </w:rPr>
              <w:t>enia.</w:t>
            </w:r>
          </w:p>
          <w:p w:rsidR="00343F78" w:rsidRPr="008940B1" w:rsidRDefault="00343F78" w:rsidP="00343F78">
            <w:pPr>
              <w:spacing w:before="0" w:line="240" w:lineRule="auto"/>
              <w:jc w:val="both"/>
              <w:rPr>
                <w:rFonts w:asciiTheme="minorHAnsi" w:eastAsiaTheme="minorHAnsi" w:hAnsiTheme="minorHAnsi"/>
                <w:sz w:val="20"/>
                <w:lang w:eastAsia="en-US"/>
              </w:rPr>
            </w:pPr>
            <w:r w:rsidRPr="008940B1">
              <w:rPr>
                <w:rFonts w:asciiTheme="minorHAnsi" w:eastAsiaTheme="minorHAnsi" w:hAnsiTheme="minorHAnsi" w:cs="Arial"/>
                <w:sz w:val="20"/>
                <w:lang w:eastAsia="en-US"/>
              </w:rPr>
              <w:t xml:space="preserve">Definicja na podstawie </w:t>
            </w:r>
            <w:r w:rsidRPr="008940B1">
              <w:rPr>
                <w:rFonts w:asciiTheme="minorHAnsi" w:eastAsiaTheme="minorHAnsi" w:hAnsiTheme="minorHAnsi" w:cs="Arial"/>
                <w:i/>
                <w:iCs/>
                <w:sz w:val="20"/>
                <w:lang w:eastAsia="en-US"/>
              </w:rPr>
              <w:t>Wytycznych w zakresie realizacji zasady równości szans i niedyskryminacji, w tym dostępności dla osób z niepełnosprawnościami oraz równości szans kobiet i mężczyzn w ramach funduszy unijnych na lata 2014-2020</w:t>
            </w:r>
            <w:r w:rsidRPr="008940B1">
              <w:rPr>
                <w:rFonts w:asciiTheme="minorHAnsi" w:eastAsiaTheme="minorHAnsi" w:hAnsiTheme="minorHAnsi" w:cs="Arial"/>
                <w:sz w:val="20"/>
                <w:lang w:eastAsia="en-US"/>
              </w:rPr>
              <w:t>.</w:t>
            </w:r>
          </w:p>
        </w:tc>
        <w:tc>
          <w:tcPr>
            <w:tcW w:w="819" w:type="pct"/>
          </w:tcPr>
          <w:p w:rsidR="00343F78" w:rsidRPr="008940B1" w:rsidRDefault="00343F78" w:rsidP="00343F78">
            <w:pPr>
              <w:spacing w:before="0" w:line="240" w:lineRule="auto"/>
              <w:jc w:val="center"/>
              <w:rPr>
                <w:rFonts w:asciiTheme="minorHAnsi" w:hAnsiTheme="minorHAnsi"/>
                <w:sz w:val="20"/>
              </w:rPr>
            </w:pPr>
            <w:r w:rsidRPr="008940B1">
              <w:rPr>
                <w:rFonts w:asciiTheme="minorHAnsi" w:hAnsiTheme="minorHAnsi"/>
                <w:sz w:val="20"/>
              </w:rPr>
              <w:t>Horyzontalny</w:t>
            </w:r>
          </w:p>
        </w:tc>
      </w:tr>
    </w:tbl>
    <w:p w:rsidR="00C912B2" w:rsidRPr="008940B1" w:rsidRDefault="00C912B2" w:rsidP="008940B1">
      <w:pPr>
        <w:pStyle w:val="Default"/>
        <w:spacing w:after="120"/>
        <w:jc w:val="both"/>
        <w:rPr>
          <w:rFonts w:asciiTheme="minorHAnsi" w:hAnsiTheme="minorHAnsi"/>
        </w:rPr>
      </w:pPr>
    </w:p>
    <w:p w:rsidR="00A81480" w:rsidRPr="008940B1" w:rsidRDefault="00E83262" w:rsidP="008940B1">
      <w:pPr>
        <w:pStyle w:val="Default"/>
        <w:spacing w:after="120"/>
        <w:jc w:val="both"/>
        <w:rPr>
          <w:rFonts w:asciiTheme="minorHAnsi" w:hAnsiTheme="minorHAnsi"/>
        </w:rPr>
      </w:pPr>
      <w:r w:rsidRPr="008940B1">
        <w:rPr>
          <w:rFonts w:asciiTheme="minorHAnsi" w:hAnsiTheme="minorHAnsi"/>
        </w:rPr>
        <w:t xml:space="preserve"> </w:t>
      </w:r>
      <w:r w:rsidR="00A81480" w:rsidRPr="008940B1">
        <w:rPr>
          <w:rFonts w:asciiTheme="minorHAnsi" w:hAnsiTheme="minorHAnsi"/>
        </w:rPr>
        <w:t xml:space="preserve">Dla każdego z wybranych wskaźników wnioskodawca zobowiązany jest do wskazania </w:t>
      </w:r>
      <w:r w:rsidR="00A81480" w:rsidRPr="008940B1">
        <w:rPr>
          <w:rFonts w:asciiTheme="minorHAnsi" w:hAnsiTheme="minorHAnsi"/>
          <w:i/>
        </w:rPr>
        <w:t>„Jednostki miary”</w:t>
      </w:r>
      <w:r w:rsidR="00A81480" w:rsidRPr="008940B1">
        <w:rPr>
          <w:rFonts w:asciiTheme="minorHAnsi" w:hAnsiTheme="minorHAnsi"/>
        </w:rPr>
        <w:t xml:space="preserve">, </w:t>
      </w:r>
      <w:r w:rsidR="00A81480" w:rsidRPr="008940B1">
        <w:rPr>
          <w:rFonts w:asciiTheme="minorHAnsi" w:hAnsiTheme="minorHAnsi"/>
          <w:i/>
        </w:rPr>
        <w:t>„Wartości bazowej”</w:t>
      </w:r>
      <w:r w:rsidR="00A81480" w:rsidRPr="008940B1">
        <w:rPr>
          <w:rFonts w:asciiTheme="minorHAnsi" w:hAnsiTheme="minorHAnsi"/>
        </w:rPr>
        <w:t xml:space="preserve">, </w:t>
      </w:r>
      <w:r w:rsidR="00A81480" w:rsidRPr="008940B1">
        <w:rPr>
          <w:rFonts w:asciiTheme="minorHAnsi" w:hAnsiTheme="minorHAnsi"/>
          <w:i/>
        </w:rPr>
        <w:t>„Wartości docelowej wskaźnika”</w:t>
      </w:r>
      <w:r w:rsidR="00A81480" w:rsidRPr="008940B1">
        <w:rPr>
          <w:rFonts w:asciiTheme="minorHAnsi" w:hAnsiTheme="minorHAnsi"/>
        </w:rPr>
        <w:t xml:space="preserve">, a także </w:t>
      </w:r>
      <w:r w:rsidR="00A81480" w:rsidRPr="008940B1">
        <w:rPr>
          <w:rFonts w:asciiTheme="minorHAnsi" w:hAnsiTheme="minorHAnsi"/>
          <w:i/>
        </w:rPr>
        <w:t>„Źródła informacji</w:t>
      </w:r>
      <w:r w:rsidR="00352B50" w:rsidRPr="008940B1">
        <w:rPr>
          <w:rFonts w:asciiTheme="minorHAnsi" w:hAnsiTheme="minorHAnsi"/>
          <w:i/>
        </w:rPr>
        <w:t xml:space="preserve"> </w:t>
      </w:r>
      <w:r w:rsidR="00A81480" w:rsidRPr="008940B1">
        <w:rPr>
          <w:rFonts w:asciiTheme="minorHAnsi" w:hAnsiTheme="minorHAnsi"/>
          <w:i/>
        </w:rPr>
        <w:t>o wskaźniku”</w:t>
      </w:r>
      <w:r w:rsidR="00A81480" w:rsidRPr="008940B1">
        <w:rPr>
          <w:rFonts w:asciiTheme="minorHAnsi" w:hAnsiTheme="minorHAnsi"/>
        </w:rPr>
        <w:t xml:space="preserve">. </w:t>
      </w:r>
    </w:p>
    <w:p w:rsidR="00A81480" w:rsidRPr="008940B1" w:rsidRDefault="00A81480" w:rsidP="008940B1">
      <w:pPr>
        <w:pStyle w:val="Default"/>
        <w:spacing w:after="120"/>
        <w:jc w:val="both"/>
        <w:rPr>
          <w:rFonts w:asciiTheme="minorHAnsi" w:hAnsiTheme="minorHAnsi"/>
        </w:rPr>
      </w:pPr>
      <w:r w:rsidRPr="008940B1">
        <w:rPr>
          <w:rFonts w:asciiTheme="minorHAnsi" w:hAnsiTheme="minorHAnsi"/>
        </w:rPr>
        <w:lastRenderedPageBreak/>
        <w:t xml:space="preserve">Wartość docelowa dla wskaźnika produktu to wyrażony liczbowo stan danego wskaźnika na moment zakończenia rzeczowej realizacji projektu. </w:t>
      </w:r>
    </w:p>
    <w:p w:rsidR="00A81480" w:rsidRPr="008940B1" w:rsidRDefault="00A81480" w:rsidP="008940B1">
      <w:pPr>
        <w:pStyle w:val="Default"/>
        <w:jc w:val="both"/>
        <w:rPr>
          <w:rFonts w:asciiTheme="minorHAnsi" w:hAnsiTheme="minorHAnsi"/>
          <w:highlight w:val="yellow"/>
        </w:rPr>
      </w:pPr>
      <w:r w:rsidRPr="008940B1">
        <w:rPr>
          <w:rFonts w:asciiTheme="minorHAnsi" w:hAnsiTheme="minorHAnsi"/>
        </w:rPr>
        <w:t>Jako źródło informacji o wskaźniku wskazać należy odpowiedni dokument (np. protokół odbioru robót).</w:t>
      </w:r>
      <w:r w:rsidRPr="008940B1">
        <w:rPr>
          <w:rFonts w:asciiTheme="minorHAnsi" w:hAnsiTheme="minorHAnsi"/>
          <w:highlight w:val="yellow"/>
        </w:rPr>
        <w:t xml:space="preserve"> </w:t>
      </w:r>
    </w:p>
    <w:p w:rsidR="00A81480" w:rsidRPr="008940B1" w:rsidRDefault="00A81480" w:rsidP="008940B1">
      <w:pPr>
        <w:autoSpaceDE w:val="0"/>
        <w:autoSpaceDN w:val="0"/>
        <w:adjustRightInd w:val="0"/>
        <w:spacing w:before="120" w:after="120" w:line="240" w:lineRule="auto"/>
        <w:jc w:val="both"/>
        <w:rPr>
          <w:rFonts w:asciiTheme="minorHAnsi" w:eastAsiaTheme="minorHAnsi" w:hAnsiTheme="minorHAnsi" w:cs="Arial"/>
          <w:sz w:val="20"/>
          <w:lang w:eastAsia="en-US"/>
        </w:rPr>
      </w:pPr>
      <w:r w:rsidRPr="008940B1">
        <w:rPr>
          <w:rFonts w:asciiTheme="minorHAnsi" w:eastAsiaTheme="minorHAnsi" w:hAnsiTheme="minorHAnsi" w:cs="Arial"/>
          <w:sz w:val="20"/>
          <w:lang w:eastAsia="en-US"/>
        </w:rPr>
        <w:t xml:space="preserve">W ramach wniosku o dofinansowanie wnioskodawca ma obowiązek uwzględnić </w:t>
      </w:r>
      <w:r w:rsidRPr="008940B1">
        <w:rPr>
          <w:rFonts w:asciiTheme="minorHAnsi" w:eastAsiaTheme="minorHAnsi" w:hAnsiTheme="minorHAnsi" w:cs="Arial"/>
          <w:b/>
          <w:sz w:val="20"/>
          <w:lang w:eastAsia="en-US"/>
        </w:rPr>
        <w:t>wszystkie adekwatne</w:t>
      </w:r>
      <w:r w:rsidRPr="008940B1">
        <w:rPr>
          <w:rFonts w:asciiTheme="minorHAnsi" w:eastAsiaTheme="minorHAnsi" w:hAnsiTheme="minorHAnsi" w:cs="Arial"/>
          <w:sz w:val="20"/>
          <w:lang w:eastAsia="en-US"/>
        </w:rPr>
        <w:t xml:space="preserve"> wskaźniki produktu z listy przedstawionej  w powyższej  tabeli, odpowiadające celowi projektu</w:t>
      </w:r>
      <w:r w:rsidR="00C357EC" w:rsidRPr="008940B1">
        <w:rPr>
          <w:rFonts w:asciiTheme="minorHAnsi" w:eastAsiaTheme="minorHAnsi" w:hAnsiTheme="minorHAnsi" w:cs="Arial"/>
          <w:sz w:val="20"/>
          <w:lang w:eastAsia="en-US"/>
        </w:rPr>
        <w:t xml:space="preserve"> </w:t>
      </w:r>
      <w:r w:rsidR="00C357EC" w:rsidRPr="008940B1">
        <w:rPr>
          <w:rFonts w:asciiTheme="minorHAnsi" w:hAnsiTheme="minorHAnsi"/>
          <w:sz w:val="20"/>
        </w:rPr>
        <w:t>(także wskaźniki horyzontalne)</w:t>
      </w:r>
      <w:r w:rsidRPr="008940B1">
        <w:rPr>
          <w:rFonts w:asciiTheme="minorHAnsi" w:eastAsiaTheme="minorHAnsi" w:hAnsiTheme="minorHAnsi" w:cs="Arial"/>
          <w:sz w:val="20"/>
          <w:lang w:eastAsia="en-US"/>
        </w:rPr>
        <w:t xml:space="preserve">. </w:t>
      </w:r>
    </w:p>
    <w:p w:rsidR="00A81480" w:rsidRPr="008940B1" w:rsidRDefault="00A81480" w:rsidP="008940B1">
      <w:pPr>
        <w:spacing w:line="240" w:lineRule="auto"/>
        <w:jc w:val="both"/>
        <w:rPr>
          <w:rFonts w:asciiTheme="minorHAnsi" w:hAnsiTheme="minorHAnsi" w:cs="Arial"/>
          <w:sz w:val="20"/>
        </w:rPr>
      </w:pPr>
      <w:r w:rsidRPr="008940B1">
        <w:rPr>
          <w:rFonts w:asciiTheme="minorHAnsi" w:hAnsiTheme="minorHAnsi"/>
          <w:b/>
          <w:sz w:val="20"/>
        </w:rPr>
        <w:t>Wskaźniki rezultatu bezpośredniego</w:t>
      </w:r>
      <w:r w:rsidRPr="008940B1">
        <w:rPr>
          <w:rFonts w:asciiTheme="minorHAnsi" w:hAnsiTheme="minorHAnsi"/>
          <w:sz w:val="20"/>
        </w:rPr>
        <w:t xml:space="preserve"> są to w</w:t>
      </w:r>
      <w:r w:rsidRPr="008940B1">
        <w:rPr>
          <w:rFonts w:asciiTheme="minorHAnsi" w:hAnsiTheme="minorHAnsi" w:cs="Arial"/>
          <w:sz w:val="20"/>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rsidR="00A81480" w:rsidRPr="008940B1" w:rsidRDefault="00A81480" w:rsidP="008940B1">
      <w:pPr>
        <w:pStyle w:val="Default"/>
        <w:jc w:val="both"/>
      </w:pPr>
    </w:p>
    <w:p w:rsidR="00A81480" w:rsidRPr="008940B1" w:rsidRDefault="00A81480" w:rsidP="008940B1">
      <w:pPr>
        <w:pStyle w:val="Default"/>
        <w:spacing w:after="120"/>
        <w:jc w:val="both"/>
        <w:rPr>
          <w:rFonts w:asciiTheme="minorHAnsi" w:hAnsiTheme="minorHAnsi"/>
        </w:rPr>
      </w:pPr>
      <w:r w:rsidRPr="008940B1">
        <w:rPr>
          <w:rFonts w:asciiTheme="minorHAnsi" w:hAnsiTheme="minorHAnsi"/>
        </w:rPr>
        <w:t xml:space="preserve">Dla każdego z wybranych wskaźników wnioskodawca zobowiązany jest do wskazania </w:t>
      </w:r>
      <w:r w:rsidRPr="008940B1">
        <w:rPr>
          <w:rFonts w:asciiTheme="minorHAnsi" w:hAnsiTheme="minorHAnsi"/>
          <w:i/>
        </w:rPr>
        <w:t>„Jednostki miary”</w:t>
      </w:r>
      <w:r w:rsidRPr="008940B1">
        <w:rPr>
          <w:rFonts w:asciiTheme="minorHAnsi" w:hAnsiTheme="minorHAnsi"/>
        </w:rPr>
        <w:t xml:space="preserve">, </w:t>
      </w:r>
      <w:r w:rsidRPr="008940B1">
        <w:rPr>
          <w:rFonts w:asciiTheme="minorHAnsi" w:hAnsiTheme="minorHAnsi"/>
          <w:i/>
        </w:rPr>
        <w:t>„Wartości bazowej”</w:t>
      </w:r>
      <w:r w:rsidRPr="008940B1">
        <w:rPr>
          <w:rFonts w:asciiTheme="minorHAnsi" w:hAnsiTheme="minorHAnsi"/>
        </w:rPr>
        <w:t xml:space="preserve">, </w:t>
      </w:r>
      <w:r w:rsidRPr="008940B1">
        <w:rPr>
          <w:rFonts w:asciiTheme="minorHAnsi" w:hAnsiTheme="minorHAnsi"/>
          <w:i/>
        </w:rPr>
        <w:t>„Wartości docelowej wskaźnika”</w:t>
      </w:r>
      <w:r w:rsidRPr="008940B1">
        <w:rPr>
          <w:rFonts w:asciiTheme="minorHAnsi" w:hAnsiTheme="minorHAnsi"/>
        </w:rPr>
        <w:t xml:space="preserve">, a także </w:t>
      </w:r>
      <w:r w:rsidRPr="008940B1">
        <w:rPr>
          <w:rFonts w:asciiTheme="minorHAnsi" w:hAnsiTheme="minorHAnsi"/>
          <w:i/>
        </w:rPr>
        <w:t>„Źródła informacji</w:t>
      </w:r>
      <w:r w:rsidR="008940B1" w:rsidRPr="008940B1">
        <w:rPr>
          <w:rFonts w:asciiTheme="minorHAnsi" w:hAnsiTheme="minorHAnsi"/>
          <w:i/>
        </w:rPr>
        <w:t xml:space="preserve"> </w:t>
      </w:r>
      <w:r w:rsidRPr="008940B1">
        <w:rPr>
          <w:rFonts w:asciiTheme="minorHAnsi" w:hAnsiTheme="minorHAnsi"/>
          <w:i/>
        </w:rPr>
        <w:t>o wskaźniku”</w:t>
      </w:r>
      <w:r w:rsidRPr="008940B1">
        <w:rPr>
          <w:rFonts w:asciiTheme="minorHAnsi" w:hAnsiTheme="minorHAnsi"/>
        </w:rPr>
        <w:t xml:space="preserve">. </w:t>
      </w:r>
    </w:p>
    <w:p w:rsidR="00A81480" w:rsidRPr="008940B1" w:rsidRDefault="00A81480" w:rsidP="008940B1">
      <w:pPr>
        <w:pStyle w:val="Default"/>
        <w:spacing w:after="120"/>
        <w:jc w:val="both"/>
        <w:rPr>
          <w:rFonts w:asciiTheme="minorHAnsi" w:hAnsiTheme="minorHAnsi"/>
        </w:rPr>
      </w:pPr>
      <w:r w:rsidRPr="008940B1">
        <w:rPr>
          <w:rFonts w:asciiTheme="minorHAnsi" w:hAnsiTheme="minorHAnsi"/>
        </w:rPr>
        <w:t>Wartość docelowa dla wskaźnika rezultatu to wyrażony liczbowo stan danego wskaźnika uzyskany w efekcie realizacji projektu.</w:t>
      </w:r>
    </w:p>
    <w:p w:rsidR="00A81480" w:rsidRPr="008940B1" w:rsidRDefault="00A81480" w:rsidP="008940B1">
      <w:pPr>
        <w:autoSpaceDE w:val="0"/>
        <w:autoSpaceDN w:val="0"/>
        <w:adjustRightInd w:val="0"/>
        <w:spacing w:before="0" w:line="240" w:lineRule="auto"/>
        <w:jc w:val="both"/>
        <w:rPr>
          <w:rFonts w:asciiTheme="minorHAnsi" w:hAnsiTheme="minorHAnsi"/>
          <w:sz w:val="20"/>
        </w:rPr>
      </w:pPr>
      <w:r w:rsidRPr="008940B1">
        <w:rPr>
          <w:rFonts w:asciiTheme="minorHAnsi" w:hAnsiTheme="minorHAnsi"/>
          <w:sz w:val="20"/>
        </w:rPr>
        <w:t>Jako źródło informacji o wskaźniku wskazać należy odpowiedni dokument.</w:t>
      </w:r>
    </w:p>
    <w:p w:rsidR="00A81480" w:rsidRPr="008940B1" w:rsidRDefault="00A81480" w:rsidP="008940B1">
      <w:pPr>
        <w:autoSpaceDE w:val="0"/>
        <w:autoSpaceDN w:val="0"/>
        <w:adjustRightInd w:val="0"/>
        <w:spacing w:before="120" w:after="120" w:line="240" w:lineRule="auto"/>
        <w:jc w:val="both"/>
        <w:rPr>
          <w:rFonts w:asciiTheme="minorHAnsi" w:hAnsiTheme="minorHAnsi"/>
          <w:b/>
          <w:sz w:val="20"/>
        </w:rPr>
      </w:pPr>
      <w:r w:rsidRPr="008940B1">
        <w:rPr>
          <w:rFonts w:asciiTheme="minorHAnsi" w:hAnsiTheme="minorHAnsi"/>
          <w:b/>
          <w:sz w:val="20"/>
        </w:rPr>
        <w:t>Wszyscy wnioskodawcy są zobligowani do określenia poniższych wskaźników o charakterze rezultatu bezpośredniego – także horyzontalnych, jeśli są adekwatne do celu projektu</w:t>
      </w:r>
      <w:r w:rsidR="00AF1D78" w:rsidRPr="008940B1">
        <w:rPr>
          <w:rFonts w:asciiTheme="minorHAnsi" w:hAnsiTheme="minorHAnsi"/>
          <w:b/>
          <w:sz w:val="20"/>
        </w:rPr>
        <w:t>.</w:t>
      </w:r>
    </w:p>
    <w:p w:rsidR="008C495E" w:rsidRPr="008940B1" w:rsidRDefault="003D3BC5" w:rsidP="008940B1">
      <w:pPr>
        <w:autoSpaceDE w:val="0"/>
        <w:autoSpaceDN w:val="0"/>
        <w:adjustRightInd w:val="0"/>
        <w:spacing w:before="120" w:after="120" w:line="240" w:lineRule="auto"/>
        <w:jc w:val="both"/>
        <w:rPr>
          <w:rFonts w:asciiTheme="minorHAnsi" w:hAnsiTheme="minorHAnsi"/>
          <w:sz w:val="20"/>
        </w:rPr>
      </w:pPr>
      <w:r w:rsidRPr="008940B1">
        <w:rPr>
          <w:rFonts w:asciiTheme="minorHAnsi" w:hAnsiTheme="minorHAnsi"/>
          <w:sz w:val="20"/>
        </w:rPr>
        <w:t xml:space="preserve">W ramach Działania </w:t>
      </w:r>
      <w:r w:rsidR="00352B50" w:rsidRPr="008940B1">
        <w:rPr>
          <w:rFonts w:asciiTheme="minorHAnsi" w:hAnsiTheme="minorHAnsi"/>
          <w:sz w:val="20"/>
        </w:rPr>
        <w:t>3.</w:t>
      </w:r>
      <w:r w:rsidRPr="008940B1">
        <w:rPr>
          <w:rFonts w:asciiTheme="minorHAnsi" w:hAnsiTheme="minorHAnsi"/>
          <w:sz w:val="20"/>
        </w:rPr>
        <w:t>4 określono poniższe wskaźniki</w:t>
      </w:r>
      <w:r w:rsidRPr="008940B1">
        <w:rPr>
          <w:rFonts w:asciiTheme="minorHAnsi" w:hAnsiTheme="minorHAnsi"/>
          <w:b/>
          <w:sz w:val="20"/>
        </w:rPr>
        <w:t xml:space="preserve"> rezultatu bezpośredniego</w:t>
      </w:r>
      <w:r w:rsidRPr="008940B1">
        <w:rPr>
          <w:rFonts w:asciiTheme="minorHAnsi" w:hAnsiTheme="minorHAnsi"/>
          <w:sz w:val="20"/>
        </w:rPr>
        <w:t>:</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5657D8" w:rsidRPr="008940B1" w:rsidTr="007E2D2C">
        <w:trPr>
          <w:trHeight w:val="20"/>
          <w:jc w:val="center"/>
        </w:trPr>
        <w:tc>
          <w:tcPr>
            <w:tcW w:w="1189" w:type="pct"/>
            <w:shd w:val="clear" w:color="auto" w:fill="auto"/>
            <w:vAlign w:val="center"/>
          </w:tcPr>
          <w:p w:rsidR="005657D8" w:rsidRPr="008940B1" w:rsidRDefault="005657D8" w:rsidP="008940B1">
            <w:pPr>
              <w:spacing w:before="0" w:line="240" w:lineRule="auto"/>
              <w:jc w:val="center"/>
              <w:rPr>
                <w:rFonts w:asciiTheme="minorHAnsi" w:hAnsiTheme="minorHAnsi"/>
                <w:b/>
                <w:sz w:val="20"/>
              </w:rPr>
            </w:pPr>
            <w:r w:rsidRPr="008940B1">
              <w:rPr>
                <w:rFonts w:asciiTheme="minorHAnsi" w:hAnsiTheme="minorHAnsi"/>
                <w:b/>
                <w:sz w:val="20"/>
              </w:rPr>
              <w:t>Nazwa wskaźnika rezultatu bezpośredniego</w:t>
            </w:r>
          </w:p>
        </w:tc>
        <w:tc>
          <w:tcPr>
            <w:tcW w:w="701" w:type="pct"/>
            <w:vAlign w:val="center"/>
          </w:tcPr>
          <w:p w:rsidR="005657D8" w:rsidRPr="008940B1" w:rsidRDefault="005657D8" w:rsidP="008940B1">
            <w:pPr>
              <w:suppressAutoHyphens/>
              <w:spacing w:before="0" w:line="240" w:lineRule="auto"/>
              <w:jc w:val="center"/>
              <w:rPr>
                <w:rFonts w:asciiTheme="minorHAnsi" w:hAnsiTheme="minorHAnsi"/>
                <w:b/>
                <w:bCs/>
                <w:sz w:val="20"/>
              </w:rPr>
            </w:pPr>
            <w:r w:rsidRPr="008940B1">
              <w:rPr>
                <w:rFonts w:asciiTheme="minorHAnsi" w:hAnsiTheme="minorHAnsi"/>
                <w:b/>
                <w:bCs/>
                <w:sz w:val="20"/>
              </w:rPr>
              <w:t>Jednostka miary</w:t>
            </w:r>
          </w:p>
        </w:tc>
        <w:tc>
          <w:tcPr>
            <w:tcW w:w="2061" w:type="pct"/>
            <w:shd w:val="clear" w:color="auto" w:fill="auto"/>
            <w:vAlign w:val="center"/>
          </w:tcPr>
          <w:p w:rsidR="005657D8" w:rsidRPr="008940B1" w:rsidRDefault="005657D8" w:rsidP="008940B1">
            <w:pPr>
              <w:suppressAutoHyphens/>
              <w:spacing w:before="0" w:line="240" w:lineRule="auto"/>
              <w:jc w:val="center"/>
              <w:rPr>
                <w:rFonts w:asciiTheme="minorHAnsi" w:hAnsiTheme="minorHAnsi"/>
                <w:b/>
                <w:sz w:val="20"/>
              </w:rPr>
            </w:pPr>
            <w:r w:rsidRPr="008940B1">
              <w:rPr>
                <w:rFonts w:asciiTheme="minorHAnsi" w:hAnsiTheme="minorHAnsi"/>
                <w:b/>
                <w:bCs/>
                <w:sz w:val="20"/>
              </w:rPr>
              <w:t>Definicja wskaźnika</w:t>
            </w:r>
          </w:p>
        </w:tc>
        <w:tc>
          <w:tcPr>
            <w:tcW w:w="1049" w:type="pct"/>
            <w:vAlign w:val="center"/>
          </w:tcPr>
          <w:p w:rsidR="005657D8" w:rsidRPr="008940B1" w:rsidRDefault="007E025A" w:rsidP="008940B1">
            <w:pPr>
              <w:suppressAutoHyphens/>
              <w:spacing w:before="0" w:line="240" w:lineRule="auto"/>
              <w:jc w:val="center"/>
              <w:rPr>
                <w:rFonts w:asciiTheme="minorHAnsi" w:hAnsiTheme="minorHAnsi"/>
                <w:b/>
                <w:bCs/>
                <w:sz w:val="20"/>
              </w:rPr>
            </w:pPr>
            <w:r w:rsidRPr="008940B1">
              <w:rPr>
                <w:rFonts w:asciiTheme="minorHAnsi" w:hAnsiTheme="minorHAnsi"/>
                <w:b/>
                <w:bCs/>
                <w:sz w:val="20"/>
              </w:rPr>
              <w:t>Rodzaj dokumentu, w </w:t>
            </w:r>
            <w:r w:rsidR="005657D8" w:rsidRPr="008940B1">
              <w:rPr>
                <w:rFonts w:asciiTheme="minorHAnsi" w:hAnsiTheme="minorHAnsi"/>
                <w:b/>
                <w:bCs/>
                <w:sz w:val="20"/>
              </w:rPr>
              <w:t>którym określono wskaźnik</w:t>
            </w:r>
          </w:p>
        </w:tc>
      </w:tr>
      <w:tr w:rsidR="00BC18C8" w:rsidRPr="008940B1" w:rsidTr="002F3353">
        <w:trPr>
          <w:trHeight w:val="20"/>
          <w:jc w:val="center"/>
        </w:trPr>
        <w:tc>
          <w:tcPr>
            <w:tcW w:w="1189" w:type="pct"/>
            <w:shd w:val="clear" w:color="auto" w:fill="auto"/>
          </w:tcPr>
          <w:p w:rsidR="00BC18C8" w:rsidRPr="008940B1" w:rsidRDefault="00BC18C8" w:rsidP="00975AE5">
            <w:pPr>
              <w:spacing w:before="40" w:after="40" w:line="240" w:lineRule="auto"/>
              <w:contextualSpacing/>
              <w:rPr>
                <w:rFonts w:asciiTheme="minorHAnsi" w:hAnsiTheme="minorHAnsi" w:cs="Arial"/>
                <w:sz w:val="20"/>
              </w:rPr>
            </w:pPr>
            <w:r w:rsidRPr="008940B1">
              <w:rPr>
                <w:rFonts w:asciiTheme="minorHAnsi" w:hAnsiTheme="minorHAnsi" w:cs="Arial"/>
                <w:sz w:val="20"/>
              </w:rPr>
              <w:t xml:space="preserve">Liczba przewozów komunikacją miejską na przebudowanych i nowych liniach komunikacji miejskiej </w:t>
            </w:r>
          </w:p>
        </w:tc>
        <w:tc>
          <w:tcPr>
            <w:tcW w:w="701" w:type="pct"/>
          </w:tcPr>
          <w:p w:rsidR="00BC18C8" w:rsidRPr="008940B1" w:rsidRDefault="00BC18C8" w:rsidP="008940B1">
            <w:pPr>
              <w:spacing w:before="0" w:line="240" w:lineRule="auto"/>
              <w:rPr>
                <w:rFonts w:asciiTheme="minorHAnsi" w:hAnsiTheme="minorHAnsi" w:cs="ArialNarrow"/>
                <w:sz w:val="20"/>
              </w:rPr>
            </w:pPr>
            <w:r w:rsidRPr="008940B1">
              <w:rPr>
                <w:rFonts w:asciiTheme="minorHAnsi" w:hAnsiTheme="minorHAnsi" w:cs="ArialNarrow"/>
                <w:sz w:val="20"/>
              </w:rPr>
              <w:t>szt./rok</w:t>
            </w:r>
          </w:p>
        </w:tc>
        <w:tc>
          <w:tcPr>
            <w:tcW w:w="2061" w:type="pct"/>
            <w:shd w:val="clear" w:color="auto" w:fill="auto"/>
            <w:vAlign w:val="center"/>
          </w:tcPr>
          <w:p w:rsidR="00BC18C8" w:rsidRPr="008940B1" w:rsidRDefault="00BC18C8" w:rsidP="008940B1">
            <w:pPr>
              <w:spacing w:before="0" w:line="240" w:lineRule="auto"/>
              <w:jc w:val="both"/>
              <w:rPr>
                <w:rFonts w:asciiTheme="minorHAnsi" w:hAnsiTheme="minorHAnsi"/>
                <w:sz w:val="20"/>
              </w:rPr>
            </w:pPr>
            <w:r w:rsidRPr="008940B1">
              <w:rPr>
                <w:rFonts w:asciiTheme="minorHAnsi" w:hAnsiTheme="minorHAnsi"/>
                <w:sz w:val="20"/>
              </w:rPr>
              <w:t>Przewóz o charakterze użyteczności publicznej – powszechnie dostępna usługa w zakresie publicznego transportu zbiorowego wykonywana przez operatora publicznego transportu zbiorowego w celu bieżącego i nieprzerwanego zaspokajania potrzeb przewozowych społeczności na danym obszarze.</w:t>
            </w:r>
          </w:p>
          <w:p w:rsidR="00D11D19" w:rsidRPr="008940B1" w:rsidRDefault="00D11D19" w:rsidP="008940B1">
            <w:pPr>
              <w:spacing w:before="0" w:line="240" w:lineRule="auto"/>
              <w:jc w:val="both"/>
              <w:rPr>
                <w:rFonts w:asciiTheme="minorHAnsi" w:eastAsiaTheme="minorHAnsi" w:hAnsiTheme="minorHAnsi"/>
                <w:b/>
                <w:sz w:val="20"/>
                <w:lang w:eastAsia="en-US"/>
              </w:rPr>
            </w:pPr>
          </w:p>
          <w:p w:rsidR="00BC18C8" w:rsidRPr="008940B1" w:rsidRDefault="00BC18C8" w:rsidP="008940B1">
            <w:pPr>
              <w:spacing w:before="0" w:line="240" w:lineRule="auto"/>
              <w:jc w:val="both"/>
              <w:rPr>
                <w:rFonts w:asciiTheme="minorHAnsi" w:eastAsiaTheme="minorHAnsi" w:hAnsiTheme="minorHAnsi"/>
                <w:sz w:val="20"/>
                <w:lang w:eastAsia="en-US"/>
              </w:rPr>
            </w:pPr>
            <w:r w:rsidRPr="008940B1">
              <w:rPr>
                <w:rFonts w:asciiTheme="minorHAnsi" w:eastAsiaTheme="minorHAnsi" w:hAnsiTheme="minorHAnsi"/>
                <w:b/>
                <w:sz w:val="20"/>
                <w:lang w:eastAsia="en-US"/>
              </w:rPr>
              <w:t xml:space="preserve">UWAGA </w:t>
            </w:r>
            <w:r w:rsidRPr="008940B1">
              <w:rPr>
                <w:rFonts w:asciiTheme="minorHAnsi" w:eastAsiaTheme="minorHAnsi" w:hAnsiTheme="minorHAnsi"/>
                <w:sz w:val="20"/>
                <w:lang w:eastAsia="en-US"/>
              </w:rPr>
              <w:t xml:space="preserve"> - ze względu na brak definicji wskaźnika na poziomie Umowy Partnerstwa, Instytucja Zarządzająca RPO WD proponuje ww. definicję, opartą o ustawę z dnia 16 grudnia 2010 r. o publicznym transporcie zbiorowym.</w:t>
            </w:r>
          </w:p>
          <w:p w:rsidR="00BC18C8" w:rsidRPr="008940B1" w:rsidRDefault="00BC18C8" w:rsidP="008940B1">
            <w:pPr>
              <w:spacing w:line="240" w:lineRule="auto"/>
              <w:jc w:val="both"/>
              <w:rPr>
                <w:rFonts w:asciiTheme="minorHAnsi" w:hAnsiTheme="minorHAnsi"/>
                <w:sz w:val="20"/>
              </w:rPr>
            </w:pPr>
            <w:r w:rsidRPr="008940B1">
              <w:rPr>
                <w:rFonts w:asciiTheme="minorHAnsi" w:hAnsiTheme="minorHAnsi" w:cs="TimesNewRoman,Bold"/>
                <w:sz w:val="20"/>
              </w:rPr>
              <w:t xml:space="preserve">W przypadku wprowadzenia w Umowie Partnerstwa innej definicji wskaźnika </w:t>
            </w:r>
            <w:r w:rsidRPr="008940B1">
              <w:rPr>
                <w:rFonts w:asciiTheme="minorHAnsi" w:hAnsiTheme="minorHAnsi" w:cs="TimesNewRoman,Bold"/>
                <w:i/>
                <w:sz w:val="20"/>
              </w:rPr>
              <w:t>Liczba przewozów komunikacją miejską na przebudowanych i nowych liniach komunikacji miejskiej</w:t>
            </w:r>
            <w:r w:rsidRPr="008940B1">
              <w:rPr>
                <w:rFonts w:asciiTheme="minorHAnsi" w:hAnsiTheme="minorHAnsi" w:cs="TimesNewRoman,Bold"/>
                <w:sz w:val="20"/>
              </w:rPr>
              <w:t>, Instytucja Zarządzająca RPO WD poinformuje o tym fakcie stosownym komunikatem.</w:t>
            </w:r>
          </w:p>
        </w:tc>
        <w:tc>
          <w:tcPr>
            <w:tcW w:w="1049" w:type="pct"/>
          </w:tcPr>
          <w:p w:rsidR="00BC18C8" w:rsidRPr="008940B1" w:rsidRDefault="00A545DA" w:rsidP="008940B1">
            <w:pPr>
              <w:spacing w:before="0" w:line="240" w:lineRule="auto"/>
              <w:jc w:val="center"/>
              <w:rPr>
                <w:rFonts w:asciiTheme="minorHAnsi" w:hAnsiTheme="minorHAnsi"/>
                <w:sz w:val="20"/>
              </w:rPr>
            </w:pPr>
            <w:proofErr w:type="spellStart"/>
            <w:r w:rsidRPr="00A545DA">
              <w:rPr>
                <w:rFonts w:asciiTheme="minorHAnsi" w:hAnsiTheme="minorHAnsi"/>
                <w:sz w:val="20"/>
              </w:rPr>
              <w:t>SzOOP</w:t>
            </w:r>
            <w:proofErr w:type="spellEnd"/>
          </w:p>
        </w:tc>
      </w:tr>
      <w:tr w:rsidR="00BC18C8" w:rsidRPr="008940B1" w:rsidTr="002F3353">
        <w:trPr>
          <w:trHeight w:val="20"/>
          <w:jc w:val="center"/>
        </w:trPr>
        <w:tc>
          <w:tcPr>
            <w:tcW w:w="1189" w:type="pct"/>
            <w:shd w:val="clear" w:color="auto" w:fill="auto"/>
          </w:tcPr>
          <w:p w:rsidR="00BC18C8" w:rsidRPr="008940B1" w:rsidRDefault="00BC18C8" w:rsidP="008940B1">
            <w:pPr>
              <w:spacing w:before="0" w:line="240" w:lineRule="auto"/>
              <w:rPr>
                <w:rFonts w:asciiTheme="minorHAnsi" w:hAnsiTheme="minorHAnsi"/>
                <w:sz w:val="20"/>
              </w:rPr>
            </w:pPr>
            <w:r w:rsidRPr="008940B1">
              <w:rPr>
                <w:rFonts w:asciiTheme="minorHAnsi" w:hAnsiTheme="minorHAnsi"/>
                <w:sz w:val="20"/>
              </w:rPr>
              <w:t xml:space="preserve">Szacowany roczny spadek emisji gazów cieplarnianych (CI 34) </w:t>
            </w:r>
          </w:p>
        </w:tc>
        <w:tc>
          <w:tcPr>
            <w:tcW w:w="701" w:type="pct"/>
          </w:tcPr>
          <w:p w:rsidR="00BC18C8" w:rsidRPr="008940B1" w:rsidRDefault="00BC18C8" w:rsidP="008940B1">
            <w:pPr>
              <w:spacing w:before="0" w:line="240" w:lineRule="auto"/>
              <w:rPr>
                <w:rFonts w:asciiTheme="minorHAnsi" w:hAnsiTheme="minorHAnsi" w:cs="ArialNarrow"/>
                <w:sz w:val="20"/>
              </w:rPr>
            </w:pPr>
            <w:r w:rsidRPr="008940B1">
              <w:rPr>
                <w:rFonts w:asciiTheme="minorHAnsi" w:hAnsiTheme="minorHAnsi"/>
                <w:sz w:val="20"/>
              </w:rPr>
              <w:t>tony równoważnika CO</w:t>
            </w:r>
            <w:r w:rsidRPr="008940B1">
              <w:rPr>
                <w:rFonts w:asciiTheme="minorHAnsi" w:hAnsiTheme="minorHAnsi"/>
                <w:sz w:val="20"/>
                <w:vertAlign w:val="subscript"/>
              </w:rPr>
              <w:t>2</w:t>
            </w:r>
          </w:p>
        </w:tc>
        <w:tc>
          <w:tcPr>
            <w:tcW w:w="2061" w:type="pct"/>
            <w:shd w:val="clear" w:color="auto" w:fill="auto"/>
            <w:vAlign w:val="center"/>
          </w:tcPr>
          <w:p w:rsidR="00BC18C8" w:rsidRPr="008940B1" w:rsidRDefault="00BC18C8" w:rsidP="008940B1">
            <w:pPr>
              <w:spacing w:before="0" w:line="240" w:lineRule="auto"/>
              <w:jc w:val="both"/>
              <w:rPr>
                <w:rFonts w:asciiTheme="minorHAnsi" w:hAnsiTheme="minorHAnsi"/>
                <w:sz w:val="20"/>
              </w:rPr>
            </w:pPr>
            <w:r w:rsidRPr="008940B1">
              <w:rPr>
                <w:rFonts w:asciiTheme="minorHAnsi" w:hAnsiTheme="minorHAnsi"/>
                <w:sz w:val="20"/>
              </w:rPr>
              <w:t>Tłumaczenie robocze:</w:t>
            </w:r>
          </w:p>
          <w:p w:rsidR="00BC18C8" w:rsidRPr="008940B1" w:rsidRDefault="00BC18C8" w:rsidP="008940B1">
            <w:pPr>
              <w:spacing w:line="240" w:lineRule="auto"/>
              <w:jc w:val="both"/>
              <w:rPr>
                <w:rFonts w:asciiTheme="minorHAnsi" w:hAnsiTheme="minorHAnsi"/>
                <w:sz w:val="20"/>
              </w:rPr>
            </w:pPr>
            <w:r w:rsidRPr="008940B1">
              <w:rPr>
                <w:rFonts w:asciiTheme="minorHAnsi" w:hAnsiTheme="minorHAnsi"/>
                <w:sz w:val="20"/>
              </w:rPr>
              <w:t xml:space="preserve">Wskaźnik ten jest liczony dla interwencji bezpośrednio zwiększających produkcję energii ze źródeł odnawialnych (patrz wskaźnik 30) lub zmniejszających zużycie energii za pomocą działań uzyskujących </w:t>
            </w:r>
            <w:r w:rsidRPr="008940B1">
              <w:rPr>
                <w:rFonts w:asciiTheme="minorHAnsi" w:hAnsiTheme="minorHAnsi"/>
                <w:sz w:val="20"/>
              </w:rPr>
              <w:lastRenderedPageBreak/>
              <w:t>oszczędność energii (patrz wskaźniki 31 i 32), dlatego też jego stosowanie jest obowiązkowe tylko w przypadkach, gdzie wskaźniki te są istotne. Stosowanie wskaźnika w przypadku innych interwencji, gdzie możliwe są skutki emisji gazów cieplarnianych, jest opcjonalne przy użyciu metodologii opracowanej przez IZ. Wskaźnik pokaże całkowity szacowany roczny spadek na koniec okresu, a nie całkowity spadek w całym okresie.</w:t>
            </w:r>
          </w:p>
          <w:p w:rsidR="00BC18C8" w:rsidRPr="008940B1" w:rsidRDefault="00BC18C8" w:rsidP="008940B1">
            <w:pPr>
              <w:spacing w:line="240" w:lineRule="auto"/>
              <w:jc w:val="both"/>
              <w:rPr>
                <w:rFonts w:asciiTheme="minorHAnsi" w:hAnsiTheme="minorHAnsi"/>
                <w:sz w:val="20"/>
              </w:rPr>
            </w:pPr>
            <w:r w:rsidRPr="008940B1">
              <w:rPr>
                <w:rFonts w:asciiTheme="minorHAnsi" w:hAnsiTheme="minorHAnsi"/>
                <w:sz w:val="20"/>
              </w:rPr>
              <w:t>W przypadku produkcji energii odnawialnej, prognoza opiera się na ilości energii pierwotnej produkowanej przez wsparte przedsiębiorstwa/ podmioty w danym roku (albo rok po zakończeniu projektu lub rok kalendarzowy po zakończeniu projektu). Energia odnawialna powinna być neutralna pod względem emisji gazów cieplarnianych i powinna zastąpić produkcję energii ze źródeł nieodnawialnych. Wpływ emisji gazów cieplarnianych w przypadku energii nieodnawialnej jest szacowany poprzez całkowitą emisję przez państwo członkowskie gazów cieplarnianych na jednostkę produkcji energii nieodnawialnej.</w:t>
            </w:r>
          </w:p>
          <w:p w:rsidR="00BC18C8" w:rsidRPr="008940B1" w:rsidRDefault="00BC18C8" w:rsidP="008940B1">
            <w:pPr>
              <w:spacing w:line="240" w:lineRule="auto"/>
              <w:jc w:val="both"/>
              <w:rPr>
                <w:rFonts w:asciiTheme="minorHAnsi" w:hAnsiTheme="minorHAnsi"/>
                <w:sz w:val="20"/>
              </w:rPr>
            </w:pPr>
            <w:r w:rsidRPr="008940B1">
              <w:rPr>
                <w:rFonts w:asciiTheme="minorHAnsi" w:hAnsiTheme="minorHAnsi"/>
                <w:sz w:val="20"/>
              </w:rPr>
              <w:t>W przypadku działań uzyskujących oszczędność energii, prognoza opiera się na ilości energii pierwotnej oszczędzonej w danym roku w ramach wspieranych operacji (albo rok po zakończeniu projektu, albo rok kalendarzowy po zakończeniu projektu). Zaoszczędzona energia ma zastąpić produkcję energii ze źródeł nieodnawialnych. Wpływ emisji gazów cieplarnianych w przypadku energii nieodnawialnej jest szacowany poprzez całkowitą emisję przez państwo członkowskie gazów cieplarnianych na jednostkę produkcji energii nieodnawialnej.</w:t>
            </w:r>
          </w:p>
          <w:p w:rsidR="00BC18C8" w:rsidRPr="008940B1" w:rsidRDefault="00BC18C8" w:rsidP="008940B1">
            <w:pPr>
              <w:spacing w:line="240" w:lineRule="auto"/>
              <w:jc w:val="both"/>
              <w:rPr>
                <w:rFonts w:asciiTheme="minorHAnsi" w:hAnsiTheme="minorHAnsi"/>
                <w:sz w:val="20"/>
                <w:lang w:val="en-US"/>
              </w:rPr>
            </w:pPr>
            <w:r w:rsidRPr="008940B1">
              <w:rPr>
                <w:rFonts w:asciiTheme="minorHAnsi" w:hAnsiTheme="minorHAnsi"/>
                <w:sz w:val="20"/>
                <w:lang w:val="en-US"/>
              </w:rPr>
              <w:t>This indicator is calculated for interventions directly aiming to increase renewable energy production (see indicator 30) or to decrease energy consumption through energy saving measures (see indicators 31 and 32), thus its use is mandatory only where these indicators are relevant. Uses for other interventions with possible GHG impact are optional with methodology developed by the MA. The indicator will show the total estimated of annual decrease by the end of the period, not the total decrease throughout the period.</w:t>
            </w:r>
          </w:p>
          <w:p w:rsidR="00BC18C8" w:rsidRPr="008940B1" w:rsidRDefault="00BC18C8" w:rsidP="008940B1">
            <w:pPr>
              <w:spacing w:line="240" w:lineRule="auto"/>
              <w:jc w:val="both"/>
              <w:rPr>
                <w:rFonts w:asciiTheme="minorHAnsi" w:hAnsiTheme="minorHAnsi"/>
                <w:sz w:val="20"/>
                <w:lang w:val="en-US"/>
              </w:rPr>
            </w:pPr>
            <w:r w:rsidRPr="008940B1">
              <w:rPr>
                <w:rFonts w:asciiTheme="minorHAnsi" w:hAnsiTheme="minorHAnsi"/>
                <w:sz w:val="20"/>
                <w:lang w:val="en-US"/>
              </w:rPr>
              <w:lastRenderedPageBreak/>
              <w:t>In case of renewable energy production, the estimate is based on the amount of primary energy produced by supported facilities in a given year (either one year following project completion or the calendar year after project completion). Renewable energy is supposed to be GHG neutral and replacing non-renewable energy production. GHG impact of nonrenewable energy is estimated through the MS total GHG emission per unit of non-renewable energy production.</w:t>
            </w:r>
          </w:p>
          <w:p w:rsidR="00BC18C8" w:rsidRPr="008940B1" w:rsidRDefault="00BC18C8" w:rsidP="008940B1">
            <w:pPr>
              <w:spacing w:line="240" w:lineRule="auto"/>
              <w:jc w:val="both"/>
              <w:rPr>
                <w:rFonts w:asciiTheme="minorHAnsi" w:hAnsiTheme="minorHAnsi"/>
                <w:sz w:val="20"/>
                <w:lang w:val="en-US"/>
              </w:rPr>
            </w:pPr>
            <w:r w:rsidRPr="008940B1">
              <w:rPr>
                <w:rFonts w:asciiTheme="minorHAnsi" w:hAnsiTheme="minorHAnsi"/>
                <w:sz w:val="20"/>
                <w:lang w:val="en-US"/>
              </w:rPr>
              <w:t>In case of energy saving measures, the estimate is based on the amount of primary energy saved through in a given year supported operations (either one year following project completion or the calendar year after project completion). Saved energy is supposed to be replacing non-renewable energy production. GHG impact of non-renewable energy is estimated through the MS total GHG emission per unit of non-renewable energy production.</w:t>
            </w:r>
          </w:p>
        </w:tc>
        <w:tc>
          <w:tcPr>
            <w:tcW w:w="1049" w:type="pct"/>
          </w:tcPr>
          <w:p w:rsidR="00BC18C8" w:rsidRPr="008940B1" w:rsidRDefault="00A545DA" w:rsidP="008940B1">
            <w:pPr>
              <w:spacing w:before="0" w:line="240" w:lineRule="auto"/>
              <w:jc w:val="center"/>
              <w:rPr>
                <w:rFonts w:asciiTheme="minorHAnsi" w:hAnsiTheme="minorHAnsi"/>
                <w:sz w:val="20"/>
              </w:rPr>
            </w:pPr>
            <w:r w:rsidRPr="00A545DA">
              <w:rPr>
                <w:rFonts w:asciiTheme="minorHAnsi" w:hAnsiTheme="minorHAnsi"/>
                <w:sz w:val="20"/>
              </w:rPr>
              <w:lastRenderedPageBreak/>
              <w:t>SzOOP</w:t>
            </w:r>
          </w:p>
        </w:tc>
      </w:tr>
      <w:tr w:rsidR="00BC18C8" w:rsidRPr="008940B1" w:rsidTr="007E2D2C">
        <w:trPr>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BC18C8" w:rsidRPr="008940B1" w:rsidRDefault="00BC18C8" w:rsidP="008940B1">
            <w:pPr>
              <w:autoSpaceDE w:val="0"/>
              <w:autoSpaceDN w:val="0"/>
              <w:adjustRightInd w:val="0"/>
              <w:spacing w:before="0" w:line="240" w:lineRule="auto"/>
              <w:rPr>
                <w:rFonts w:asciiTheme="minorHAnsi" w:hAnsiTheme="minorHAnsi" w:cs="ArialNarrow"/>
                <w:sz w:val="20"/>
              </w:rPr>
            </w:pPr>
            <w:r w:rsidRPr="008940B1">
              <w:rPr>
                <w:rFonts w:asciiTheme="minorHAnsi" w:hAnsiTheme="minorHAnsi" w:cs="ArialNarrow"/>
                <w:sz w:val="20"/>
              </w:rPr>
              <w:lastRenderedPageBreak/>
              <w:t>Wzrost zatrudnienia we wspieranych podmiotach (innych niż przedsiębiorstwa)</w:t>
            </w:r>
          </w:p>
          <w:p w:rsidR="00BC18C8" w:rsidRPr="008940B1" w:rsidRDefault="00BC18C8" w:rsidP="008940B1">
            <w:pPr>
              <w:autoSpaceDE w:val="0"/>
              <w:autoSpaceDN w:val="0"/>
              <w:adjustRightInd w:val="0"/>
              <w:spacing w:before="0" w:line="240" w:lineRule="auto"/>
              <w:rPr>
                <w:rFonts w:asciiTheme="minorHAnsi" w:hAnsiTheme="minorHAnsi" w:cs="ArialNarrow"/>
                <w:sz w:val="20"/>
              </w:rPr>
            </w:pPr>
            <w:r w:rsidRPr="008940B1">
              <w:rPr>
                <w:rFonts w:asciiTheme="minorHAnsi" w:hAnsiTheme="minorHAnsi" w:cs="ArialNarrow"/>
                <w:sz w:val="20"/>
              </w:rPr>
              <w:t>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C18C8" w:rsidRPr="008940B1" w:rsidRDefault="00BC18C8" w:rsidP="008940B1">
            <w:pPr>
              <w:spacing w:before="0" w:line="240" w:lineRule="auto"/>
              <w:jc w:val="center"/>
              <w:rPr>
                <w:rFonts w:asciiTheme="minorHAnsi" w:hAnsiTheme="minorHAnsi" w:cs="ArialNarrow"/>
                <w:sz w:val="20"/>
              </w:rPr>
            </w:pPr>
            <w:r w:rsidRPr="008940B1">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BC18C8" w:rsidRPr="008940B1" w:rsidRDefault="00BC18C8" w:rsidP="008940B1">
            <w:pPr>
              <w:spacing w:before="0" w:line="240" w:lineRule="auto"/>
              <w:jc w:val="both"/>
              <w:rPr>
                <w:rFonts w:asciiTheme="minorHAnsi" w:hAnsiTheme="minorHAnsi"/>
                <w:sz w:val="20"/>
              </w:rPr>
            </w:pPr>
            <w:r w:rsidRPr="008940B1">
              <w:rPr>
                <w:rFonts w:asciiTheme="minorHAnsi" w:hAnsiTheme="minorHAnsi"/>
                <w:sz w:val="20"/>
              </w:rPr>
              <w:t xml:space="preserve">Nowe miejsca pracy brutto we wspartych  podmiotach wyrażone w ekwiwalencie pełnego czasu pracy (EPC). </w:t>
            </w:r>
          </w:p>
          <w:p w:rsidR="00BC18C8" w:rsidRPr="008940B1" w:rsidRDefault="00BC18C8" w:rsidP="008940B1">
            <w:pPr>
              <w:spacing w:before="0" w:line="240" w:lineRule="auto"/>
              <w:jc w:val="both"/>
              <w:rPr>
                <w:rFonts w:asciiTheme="minorHAnsi" w:hAnsiTheme="minorHAnsi"/>
                <w:sz w:val="20"/>
              </w:rPr>
            </w:pPr>
            <w:r w:rsidRPr="008940B1">
              <w:rPr>
                <w:rFonts w:asciiTheme="minorHAnsi" w:hAnsiTheme="minorHAnsi"/>
                <w:sz w:val="20"/>
              </w:rPr>
              <w:t xml:space="preserve">Wskaźnik ukazuje zmianę "przed-po" </w:t>
            </w:r>
            <w:r w:rsidRPr="008940B1">
              <w:rPr>
                <w:rFonts w:asciiTheme="minorHAnsi" w:hAnsiTheme="minorHAnsi"/>
                <w:sz w:val="20"/>
              </w:rPr>
              <w:br/>
              <w:t xml:space="preserve">i obejmuje część wzrostu zatrudnienia </w:t>
            </w:r>
            <w:r w:rsidRPr="008940B1">
              <w:rPr>
                <w:rFonts w:asciiTheme="minorHAnsi" w:hAnsiTheme="minorHAnsi"/>
                <w:sz w:val="20"/>
              </w:rPr>
              <w:br/>
              <w:t xml:space="preserve">w podmiocie będącego bezpośrednim skutkiem zakończenia realizacji projektu (nie są wliczani pracownicy zatrudnieni do realizacji projektu). </w:t>
            </w:r>
          </w:p>
          <w:p w:rsidR="00BC18C8" w:rsidRPr="008940B1" w:rsidRDefault="00BC18C8" w:rsidP="008940B1">
            <w:pPr>
              <w:spacing w:before="0" w:after="240" w:line="240" w:lineRule="auto"/>
              <w:jc w:val="both"/>
              <w:rPr>
                <w:rFonts w:asciiTheme="minorHAnsi" w:hAnsiTheme="minorHAnsi"/>
                <w:sz w:val="20"/>
              </w:rPr>
            </w:pPr>
            <w:r w:rsidRPr="008940B1">
              <w:rPr>
                <w:rFonts w:asciiTheme="minorHAnsi" w:hAnsiTheme="minorHAnsi"/>
                <w:sz w:val="20"/>
              </w:rPr>
              <w:t>Uwzględnia się obsadzone miejsca pracy (wakaty nie są liczone), które zwiększają łączną liczbę miejsc pracy w podmiocie. Brak wzrostu w całkowitym zatrudnieniu w podmiocie oznacza, że wartość wskaźnika jest równa zero, co traktuje się jako wyrównanie miejsc pracy, a nie wzrost. Nie wlicza się miejsc pracy, np. utrzymanych dzięki realizacji projektu.</w:t>
            </w:r>
          </w:p>
          <w:p w:rsidR="00BC18C8" w:rsidRPr="008940B1" w:rsidRDefault="00BC18C8" w:rsidP="008940B1">
            <w:pPr>
              <w:spacing w:before="0" w:after="240" w:line="240" w:lineRule="auto"/>
              <w:jc w:val="both"/>
              <w:rPr>
                <w:rFonts w:asciiTheme="minorHAnsi" w:hAnsiTheme="minorHAnsi"/>
                <w:sz w:val="20"/>
              </w:rPr>
            </w:pPr>
            <w:r w:rsidRPr="008940B1">
              <w:rPr>
                <w:rFonts w:asciiTheme="minorHAnsi" w:hAnsiTheme="minorHAnsi"/>
                <w:sz w:val="20"/>
              </w:rPr>
              <w:t>Brutto: Nie uwzględniamy miejsca pracy otrzymanego w wyniku zmian wewnątrz podmiocie, dopóki nie przyczyni się to do całkowitego wzrostu liczby miejsc pracy.. Wskaźnik powinien być zastosowany, jeżeli wzrost zatrudnienia może być wiarygodnie przypisany do wsparcia w ramach projektu.</w:t>
            </w:r>
          </w:p>
          <w:p w:rsidR="00BC18C8" w:rsidRPr="008940B1" w:rsidRDefault="00BC18C8" w:rsidP="008940B1">
            <w:pPr>
              <w:spacing w:before="0" w:line="240" w:lineRule="auto"/>
              <w:jc w:val="both"/>
              <w:rPr>
                <w:rFonts w:asciiTheme="minorHAnsi" w:hAnsiTheme="minorHAnsi"/>
                <w:sz w:val="20"/>
              </w:rPr>
            </w:pPr>
            <w:r w:rsidRPr="008940B1">
              <w:rPr>
                <w:rFonts w:asciiTheme="minorHAnsi" w:hAnsiTheme="minorHAnsi"/>
                <w:sz w:val="20"/>
              </w:rPr>
              <w:t xml:space="preserve">Ekwiwalent pełnego czasu pracy: miejsca pracy mogą być pełnoetatowe, na część etatu lub sezonowe, przy czym etaty częściowe podlegają sumowaniu lecz nie są </w:t>
            </w:r>
            <w:r w:rsidRPr="008940B1">
              <w:rPr>
                <w:rFonts w:asciiTheme="minorHAnsi" w:hAnsiTheme="minorHAnsi"/>
                <w:sz w:val="20"/>
              </w:rPr>
              <w:lastRenderedPageBreak/>
              <w:t>zaokrąglane do pełnych jednostek. Zatrudnienie sezonowe i na część etatu przelicza się na EPC z wykorzystaniem standardów ILO (Międzynarodowa Organizacja Pracy)</w:t>
            </w:r>
            <w:r w:rsidR="00D11D19" w:rsidRPr="008940B1">
              <w:rPr>
                <w:rFonts w:asciiTheme="minorHAnsi" w:hAnsiTheme="minorHAnsi"/>
                <w:sz w:val="20"/>
              </w:rPr>
              <w:t xml:space="preserve"> </w:t>
            </w:r>
            <w:r w:rsidRPr="008940B1">
              <w:rPr>
                <w:rFonts w:asciiTheme="minorHAnsi" w:hAnsiTheme="minorHAnsi"/>
                <w:sz w:val="20"/>
              </w:rPr>
              <w:t>/ statystycznych</w:t>
            </w:r>
            <w:r w:rsidR="00D11D19" w:rsidRPr="008940B1">
              <w:rPr>
                <w:rFonts w:asciiTheme="minorHAnsi" w:hAnsiTheme="minorHAnsi"/>
                <w:sz w:val="20"/>
              </w:rPr>
              <w:t xml:space="preserve">  </w:t>
            </w:r>
            <w:r w:rsidRPr="008940B1">
              <w:rPr>
                <w:rFonts w:asciiTheme="minorHAnsi" w:hAnsiTheme="minorHAnsi"/>
                <w:sz w:val="20"/>
              </w:rPr>
              <w:t xml:space="preserve">/innych. </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BC18C8" w:rsidRPr="008940B1" w:rsidRDefault="00BC18C8" w:rsidP="008940B1">
            <w:pPr>
              <w:spacing w:before="0" w:line="240" w:lineRule="auto"/>
              <w:jc w:val="center"/>
              <w:rPr>
                <w:rFonts w:asciiTheme="minorHAnsi" w:hAnsiTheme="minorHAnsi"/>
                <w:sz w:val="20"/>
              </w:rPr>
            </w:pPr>
            <w:r w:rsidRPr="008940B1">
              <w:rPr>
                <w:rFonts w:asciiTheme="minorHAnsi" w:hAnsiTheme="minorHAnsi"/>
                <w:sz w:val="20"/>
              </w:rPr>
              <w:lastRenderedPageBreak/>
              <w:t>horyzontalny</w:t>
            </w:r>
          </w:p>
        </w:tc>
      </w:tr>
      <w:tr w:rsidR="00BC18C8" w:rsidRPr="008940B1" w:rsidTr="007E2D2C">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BC18C8" w:rsidRPr="008940B1" w:rsidRDefault="00BC18C8" w:rsidP="008940B1">
            <w:pPr>
              <w:autoSpaceDE w:val="0"/>
              <w:autoSpaceDN w:val="0"/>
              <w:adjustRightInd w:val="0"/>
              <w:spacing w:before="0" w:line="240" w:lineRule="auto"/>
              <w:rPr>
                <w:rFonts w:asciiTheme="minorHAnsi" w:hAnsiTheme="minorHAnsi" w:cs="ArialNarrow"/>
                <w:sz w:val="20"/>
              </w:rPr>
            </w:pPr>
            <w:r w:rsidRPr="008940B1">
              <w:rPr>
                <w:rFonts w:asciiTheme="minorHAnsi" w:hAnsiTheme="minorHAnsi" w:cs="ArialNarrow"/>
                <w:sz w:val="20"/>
              </w:rPr>
              <w:t>Liczba utrzymanych miejsc pracy</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C18C8" w:rsidRPr="008940B1" w:rsidRDefault="00BC18C8" w:rsidP="008940B1">
            <w:pPr>
              <w:spacing w:before="0" w:line="240" w:lineRule="auto"/>
              <w:jc w:val="center"/>
              <w:rPr>
                <w:rFonts w:asciiTheme="minorHAnsi" w:hAnsiTheme="minorHAnsi" w:cs="ArialNarrow"/>
                <w:sz w:val="20"/>
              </w:rPr>
            </w:pPr>
            <w:r w:rsidRPr="008940B1">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BC18C8" w:rsidRPr="008940B1" w:rsidRDefault="00BC18C8" w:rsidP="008940B1">
            <w:pPr>
              <w:autoSpaceDE w:val="0"/>
              <w:autoSpaceDN w:val="0"/>
              <w:adjustRightInd w:val="0"/>
              <w:spacing w:before="0" w:line="240" w:lineRule="auto"/>
              <w:jc w:val="both"/>
              <w:rPr>
                <w:rFonts w:asciiTheme="minorHAnsi" w:eastAsiaTheme="minorHAnsi" w:hAnsiTheme="minorHAnsi" w:cstheme="minorBidi"/>
                <w:sz w:val="20"/>
                <w:lang w:eastAsia="en-US"/>
              </w:rPr>
            </w:pPr>
            <w:r w:rsidRPr="008940B1">
              <w:rPr>
                <w:rFonts w:asciiTheme="minorHAnsi" w:eastAsiaTheme="minorHAnsi" w:hAnsiTheme="minorHAnsi" w:cstheme="minorBidi"/>
                <w:sz w:val="20"/>
                <w:lang w:eastAsia="en-US"/>
              </w:rPr>
              <w:t>Miejsca pracy utworzone w wyniku realizacji projektu, lecz nie powodują wzrostu zatrudnienia w organizacji</w:t>
            </w:r>
            <w:r w:rsidR="00D11D19" w:rsidRPr="008940B1">
              <w:rPr>
                <w:rFonts w:asciiTheme="minorHAnsi" w:eastAsiaTheme="minorHAnsi" w:hAnsiTheme="minorHAnsi" w:cstheme="minorBidi"/>
                <w:sz w:val="20"/>
                <w:lang w:eastAsia="en-US"/>
              </w:rPr>
              <w:t>.</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BC18C8" w:rsidRPr="008940B1" w:rsidRDefault="00BC18C8" w:rsidP="008940B1">
            <w:pPr>
              <w:spacing w:before="0" w:line="240" w:lineRule="auto"/>
              <w:jc w:val="center"/>
              <w:rPr>
                <w:rFonts w:asciiTheme="minorHAnsi" w:hAnsiTheme="minorHAnsi"/>
                <w:sz w:val="20"/>
              </w:rPr>
            </w:pPr>
            <w:r w:rsidRPr="008940B1">
              <w:rPr>
                <w:rFonts w:asciiTheme="minorHAnsi" w:hAnsiTheme="minorHAnsi"/>
                <w:sz w:val="20"/>
              </w:rPr>
              <w:t>horyzontalny</w:t>
            </w:r>
          </w:p>
        </w:tc>
      </w:tr>
      <w:tr w:rsidR="00BC18C8" w:rsidRPr="008940B1" w:rsidTr="007E2D2C">
        <w:trPr>
          <w:cantSplit/>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rsidR="00BC18C8" w:rsidRPr="008940B1" w:rsidRDefault="00BC18C8" w:rsidP="008940B1">
            <w:pPr>
              <w:autoSpaceDE w:val="0"/>
              <w:autoSpaceDN w:val="0"/>
              <w:adjustRightInd w:val="0"/>
              <w:spacing w:before="0" w:line="240" w:lineRule="auto"/>
              <w:rPr>
                <w:rFonts w:asciiTheme="minorHAnsi" w:hAnsiTheme="minorHAnsi" w:cs="ArialNarrow"/>
                <w:sz w:val="20"/>
              </w:rPr>
            </w:pPr>
            <w:r w:rsidRPr="008940B1">
              <w:rPr>
                <w:rFonts w:asciiTheme="minorHAnsi" w:hAnsiTheme="minorHAnsi" w:cs="ArialNarrow"/>
                <w:sz w:val="20"/>
              </w:rPr>
              <w:t xml:space="preserve">Liczba nowo utworzonych miejsc pracy - pozostałe formy </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BC18C8" w:rsidRPr="008940B1" w:rsidRDefault="00BC18C8" w:rsidP="008940B1">
            <w:pPr>
              <w:spacing w:before="0" w:line="240" w:lineRule="auto"/>
              <w:jc w:val="center"/>
              <w:rPr>
                <w:rFonts w:asciiTheme="minorHAnsi" w:hAnsiTheme="minorHAnsi" w:cs="ArialNarrow"/>
                <w:sz w:val="20"/>
              </w:rPr>
            </w:pPr>
            <w:r w:rsidRPr="008940B1">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rsidR="00BC18C8" w:rsidRPr="008940B1" w:rsidRDefault="00BC18C8" w:rsidP="008940B1">
            <w:pPr>
              <w:autoSpaceDE w:val="0"/>
              <w:autoSpaceDN w:val="0"/>
              <w:adjustRightInd w:val="0"/>
              <w:spacing w:before="0" w:line="240" w:lineRule="auto"/>
              <w:jc w:val="both"/>
              <w:rPr>
                <w:rFonts w:asciiTheme="minorHAnsi" w:eastAsiaTheme="minorHAnsi" w:hAnsiTheme="minorHAnsi" w:cs="Verdana"/>
                <w:sz w:val="20"/>
                <w:lang w:eastAsia="en-US"/>
              </w:rPr>
            </w:pPr>
            <w:r w:rsidRPr="008940B1">
              <w:rPr>
                <w:rFonts w:asciiTheme="minorHAnsi" w:eastAsiaTheme="minorHAnsi" w:hAnsiTheme="minorHAnsi" w:cstheme="minorBidi"/>
                <w:iCs/>
                <w:sz w:val="20"/>
                <w:lang w:eastAsia="en-US"/>
              </w:rPr>
              <w:t>Pozostałe formy</w:t>
            </w:r>
            <w:r w:rsidRPr="008940B1">
              <w:rPr>
                <w:rFonts w:asciiTheme="minorHAnsi" w:eastAsiaTheme="minorHAnsi" w:hAnsiTheme="minorHAnsi" w:cs="Verdana"/>
                <w:sz w:val="20"/>
                <w:lang w:eastAsia="en-US"/>
              </w:rPr>
              <w:t>, np. umowy cywilnoprawne, miejsca pracy do obsługi projektu, nietrwałe miejsca pracy</w:t>
            </w:r>
            <w:r w:rsidR="00D11D19" w:rsidRPr="008940B1">
              <w:rPr>
                <w:rFonts w:asciiTheme="minorHAnsi" w:eastAsiaTheme="minorHAnsi" w:hAnsiTheme="minorHAnsi" w:cs="Verdana"/>
                <w:sz w:val="20"/>
                <w:lang w:eastAsia="en-US"/>
              </w:rPr>
              <w:t>.</w:t>
            </w:r>
            <w:r w:rsidRPr="008940B1">
              <w:rPr>
                <w:rFonts w:asciiTheme="minorHAnsi" w:eastAsiaTheme="minorHAnsi" w:hAnsiTheme="minorHAnsi" w:cs="Verdana"/>
                <w:sz w:val="20"/>
                <w:lang w:eastAsia="en-US"/>
              </w:rPr>
              <w:t xml:space="preserve"> </w:t>
            </w: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BC18C8" w:rsidRPr="008940B1" w:rsidRDefault="00BC18C8" w:rsidP="008940B1">
            <w:pPr>
              <w:spacing w:before="0" w:line="240" w:lineRule="auto"/>
              <w:jc w:val="center"/>
              <w:rPr>
                <w:rFonts w:asciiTheme="minorHAnsi" w:hAnsiTheme="minorHAnsi"/>
                <w:sz w:val="20"/>
              </w:rPr>
            </w:pPr>
            <w:r w:rsidRPr="008940B1">
              <w:rPr>
                <w:rFonts w:asciiTheme="minorHAnsi" w:hAnsiTheme="minorHAnsi"/>
                <w:sz w:val="20"/>
              </w:rPr>
              <w:t>horyzontalny</w:t>
            </w:r>
          </w:p>
        </w:tc>
      </w:tr>
    </w:tbl>
    <w:p w:rsidR="008B73B1" w:rsidRPr="008940B1" w:rsidRDefault="008B73B1" w:rsidP="008940B1">
      <w:pPr>
        <w:autoSpaceDE w:val="0"/>
        <w:autoSpaceDN w:val="0"/>
        <w:adjustRightInd w:val="0"/>
        <w:spacing w:before="120" w:after="120" w:line="240" w:lineRule="auto"/>
        <w:jc w:val="both"/>
        <w:rPr>
          <w:rFonts w:asciiTheme="minorHAnsi" w:eastAsiaTheme="minorHAnsi" w:hAnsiTheme="minorHAnsi" w:cs="Arial"/>
          <w:sz w:val="20"/>
          <w:lang w:eastAsia="en-US"/>
        </w:rPr>
      </w:pPr>
    </w:p>
    <w:p w:rsidR="00DF6D97" w:rsidRPr="008940B1" w:rsidRDefault="00DF6D97" w:rsidP="008940B1">
      <w:pPr>
        <w:autoSpaceDE w:val="0"/>
        <w:autoSpaceDN w:val="0"/>
        <w:adjustRightInd w:val="0"/>
        <w:spacing w:before="120" w:after="120" w:line="240" w:lineRule="auto"/>
        <w:jc w:val="both"/>
        <w:rPr>
          <w:rFonts w:asciiTheme="minorHAnsi" w:eastAsiaTheme="minorHAnsi" w:hAnsiTheme="minorHAnsi" w:cs="Arial"/>
          <w:sz w:val="20"/>
          <w:lang w:eastAsia="en-US"/>
        </w:rPr>
      </w:pPr>
      <w:r w:rsidRPr="008940B1">
        <w:rPr>
          <w:rFonts w:asciiTheme="minorHAnsi" w:eastAsiaTheme="minorHAnsi" w:hAnsiTheme="minorHAnsi" w:cs="Arial"/>
          <w:sz w:val="20"/>
          <w:lang w:eastAsia="en-US"/>
        </w:rPr>
        <w:t xml:space="preserve">W ramach wniosku o dofinansowanie Wnioskodawca ma obowiązek uwzględnić </w:t>
      </w:r>
      <w:r w:rsidRPr="008940B1">
        <w:rPr>
          <w:rFonts w:asciiTheme="minorHAnsi" w:eastAsiaTheme="minorHAnsi" w:hAnsiTheme="minorHAnsi" w:cs="Arial"/>
          <w:b/>
          <w:sz w:val="20"/>
          <w:lang w:eastAsia="en-US"/>
        </w:rPr>
        <w:t>wszystkie adekwatne</w:t>
      </w:r>
      <w:r w:rsidRPr="008940B1">
        <w:rPr>
          <w:rFonts w:asciiTheme="minorHAnsi" w:eastAsiaTheme="minorHAnsi" w:hAnsiTheme="minorHAnsi" w:cs="Arial"/>
          <w:sz w:val="20"/>
          <w:lang w:eastAsia="en-US"/>
        </w:rPr>
        <w:t xml:space="preserve"> wskaźniki produktu oraz rezultatu bezpośredniego z listy przedstawionej  w powyższych tabelach, odpowiadające celowi projektu. </w:t>
      </w:r>
      <w:r w:rsidRPr="008940B1">
        <w:rPr>
          <w:rFonts w:asciiTheme="minorHAnsi" w:hAnsiTheme="minorHAnsi"/>
          <w:sz w:val="20"/>
        </w:rPr>
        <w:t>Dodatkowo w ramach wniosku o dofinansowanie Wnioskodawca może określić inne, dodatkowe wskaźniki specyficzne dla danego projektu, o ile będzie to niezbędne dla prawidłowej realizacji projektu (tzw. wskaźniki projektowe).</w:t>
      </w:r>
    </w:p>
    <w:p w:rsidR="00DF6D97" w:rsidRPr="008940B1" w:rsidRDefault="00DF6D97" w:rsidP="008940B1">
      <w:pPr>
        <w:pStyle w:val="Default"/>
        <w:jc w:val="both"/>
        <w:rPr>
          <w:rFonts w:asciiTheme="minorHAnsi" w:eastAsiaTheme="minorHAnsi" w:hAnsiTheme="minorHAnsi" w:cstheme="minorBidi"/>
          <w:lang w:eastAsia="en-US"/>
        </w:rPr>
      </w:pPr>
      <w:r w:rsidRPr="008940B1">
        <w:rPr>
          <w:rFonts w:asciiTheme="minorHAnsi" w:eastAsiaTheme="minorHAnsi" w:hAnsiTheme="minorHAnsi" w:cstheme="minorBidi"/>
          <w:lang w:eastAsia="en-US"/>
        </w:rPr>
        <w:t>We wniosku o dofinansowanie należy określić, w jaki sposób i na jakiej podstawie mierzone będą wskaźniki realizacji celu projektu poprzez ustalenie źródła weryfikacji</w:t>
      </w:r>
      <w:r w:rsidR="00970181" w:rsidRPr="008940B1">
        <w:rPr>
          <w:rFonts w:asciiTheme="minorHAnsi" w:eastAsiaTheme="minorHAnsi" w:hAnsiTheme="minorHAnsi" w:cstheme="minorBidi"/>
          <w:lang w:eastAsia="en-US"/>
        </w:rPr>
        <w:t xml:space="preserve"> </w:t>
      </w:r>
      <w:r w:rsidRPr="008940B1">
        <w:rPr>
          <w:rFonts w:asciiTheme="minorHAnsi" w:eastAsiaTheme="minorHAnsi" w:hAnsiTheme="minorHAnsi" w:cstheme="minorBidi"/>
          <w:lang w:eastAsia="en-US"/>
        </w:rPr>
        <w:t>/</w:t>
      </w:r>
      <w:r w:rsidR="00970181" w:rsidRPr="008940B1">
        <w:rPr>
          <w:rFonts w:asciiTheme="minorHAnsi" w:eastAsiaTheme="minorHAnsi" w:hAnsiTheme="minorHAnsi" w:cstheme="minorBidi"/>
          <w:lang w:eastAsia="en-US"/>
        </w:rPr>
        <w:t xml:space="preserve"> </w:t>
      </w:r>
      <w:r w:rsidRPr="008940B1">
        <w:rPr>
          <w:rFonts w:asciiTheme="minorHAnsi" w:eastAsiaTheme="minorHAnsi" w:hAnsiTheme="minorHAnsi" w:cstheme="minorBidi"/>
          <w:lang w:eastAsia="en-US"/>
        </w:rPr>
        <w:t xml:space="preserve">pozyskania danych do pomiaru wskaźnika oraz częstotliwości pomiaru. Dlatego przy określaniu wskaźników należy wziąć pod uwagę dostępność i wiarygodność danych niezbędnych do pomiaru danego wskaźnika. </w:t>
      </w:r>
    </w:p>
    <w:p w:rsidR="00DF6D97" w:rsidRPr="008940B1" w:rsidRDefault="00DF6D97" w:rsidP="008940B1">
      <w:pPr>
        <w:spacing w:line="240" w:lineRule="auto"/>
        <w:jc w:val="both"/>
        <w:rPr>
          <w:rFonts w:asciiTheme="minorHAnsi" w:hAnsiTheme="minorHAnsi" w:cs="Arial"/>
          <w:b/>
          <w:sz w:val="20"/>
          <w:u w:val="single"/>
        </w:rPr>
      </w:pPr>
      <w:r w:rsidRPr="008940B1">
        <w:rPr>
          <w:rFonts w:asciiTheme="minorHAnsi" w:hAnsiTheme="minorHAnsi" w:cs="Arial"/>
          <w:b/>
          <w:sz w:val="20"/>
          <w:u w:val="single"/>
        </w:rPr>
        <w:t>Wartość bazowa (tzn. wartość w momencie rozpoczęcia realizacji projektu) w przypadku każdego wskaźnika powinna być wykazana na poziomie „0”.</w:t>
      </w:r>
    </w:p>
    <w:p w:rsidR="00DF6D97" w:rsidRPr="008940B1" w:rsidRDefault="00A917DF" w:rsidP="008940B1">
      <w:pPr>
        <w:spacing w:line="240" w:lineRule="auto"/>
        <w:jc w:val="both"/>
        <w:rPr>
          <w:rFonts w:asciiTheme="minorHAnsi" w:hAnsiTheme="minorHAnsi" w:cs="Arial"/>
          <w:b/>
          <w:sz w:val="20"/>
          <w:u w:val="single"/>
        </w:rPr>
      </w:pPr>
      <w:r>
        <w:rPr>
          <w:rFonts w:asciiTheme="minorHAnsi" w:hAnsiTheme="minorHAnsi" w:cs="Arial"/>
          <w:b/>
          <w:sz w:val="20"/>
          <w:u w:val="single"/>
        </w:rPr>
        <w:t>E</w:t>
      </w:r>
      <w:r w:rsidR="00DF6D97" w:rsidRPr="008940B1">
        <w:rPr>
          <w:rFonts w:asciiTheme="minorHAnsi" w:hAnsiTheme="minorHAnsi" w:cs="Arial"/>
          <w:b/>
          <w:sz w:val="20"/>
          <w:u w:val="single"/>
        </w:rPr>
        <w:t xml:space="preserve">fekt wsparcia na poziomie projektu występuje: </w:t>
      </w:r>
    </w:p>
    <w:p w:rsidR="00DF6D97" w:rsidRPr="008940B1" w:rsidRDefault="00DF6D97" w:rsidP="008940B1">
      <w:pPr>
        <w:spacing w:line="240" w:lineRule="auto"/>
        <w:jc w:val="both"/>
        <w:rPr>
          <w:rFonts w:asciiTheme="minorHAnsi" w:hAnsiTheme="minorHAnsi" w:cs="Arial"/>
          <w:b/>
          <w:sz w:val="20"/>
          <w:u w:val="single"/>
        </w:rPr>
      </w:pPr>
      <w:r w:rsidRPr="008940B1">
        <w:rPr>
          <w:rFonts w:asciiTheme="minorHAnsi" w:hAnsiTheme="minorHAnsi" w:cs="Arial"/>
          <w:b/>
          <w:sz w:val="20"/>
          <w:u w:val="single"/>
        </w:rPr>
        <w:t>a) w przypadku wskaźników produktu – w okresie od podpisania umowy o dofinansowanie, przy czym osiągnięte wartości powinny zostać wykazane najpóźniej we wniosku o płatność końcową</w:t>
      </w:r>
      <w:r w:rsidR="00A917DF">
        <w:rPr>
          <w:rFonts w:asciiTheme="minorHAnsi" w:hAnsiTheme="minorHAnsi" w:cs="Arial"/>
          <w:b/>
          <w:sz w:val="20"/>
          <w:u w:val="single"/>
        </w:rPr>
        <w:t xml:space="preserve"> </w:t>
      </w:r>
      <w:r w:rsidR="00A917DF" w:rsidRPr="00A917DF">
        <w:rPr>
          <w:rFonts w:asciiTheme="minorHAnsi" w:hAnsiTheme="minorHAnsi" w:cs="Arial"/>
          <w:b/>
          <w:sz w:val="20"/>
          <w:u w:val="single"/>
        </w:rPr>
        <w:t>oraz utrzymane w okresie trwałości projektu</w:t>
      </w:r>
      <w:r w:rsidRPr="008940B1">
        <w:rPr>
          <w:rFonts w:asciiTheme="minorHAnsi" w:hAnsiTheme="minorHAnsi" w:cs="Arial"/>
          <w:b/>
          <w:sz w:val="20"/>
          <w:u w:val="single"/>
        </w:rPr>
        <w:t xml:space="preserve">, </w:t>
      </w:r>
    </w:p>
    <w:p w:rsidR="00DF6D97" w:rsidRPr="008940B1" w:rsidRDefault="00DF6D97" w:rsidP="008940B1">
      <w:pPr>
        <w:spacing w:line="240" w:lineRule="auto"/>
        <w:jc w:val="both"/>
        <w:rPr>
          <w:rFonts w:asciiTheme="minorHAnsi" w:hAnsiTheme="minorHAnsi" w:cs="Arial"/>
          <w:b/>
          <w:sz w:val="20"/>
          <w:u w:val="single"/>
        </w:rPr>
      </w:pPr>
      <w:r w:rsidRPr="008940B1">
        <w:rPr>
          <w:rFonts w:asciiTheme="minorHAnsi" w:hAnsiTheme="minorHAnsi" w:cs="Arial"/>
          <w:b/>
          <w:sz w:val="20"/>
          <w:u w:val="single"/>
        </w:rPr>
        <w:t xml:space="preserve">b) w przypadku wskaźników rezultatu określonych na poziomie projektu: </w:t>
      </w:r>
    </w:p>
    <w:p w:rsidR="00A917DF" w:rsidRDefault="00DF6D97" w:rsidP="004960B3">
      <w:pPr>
        <w:pStyle w:val="Akapitzlist"/>
        <w:numPr>
          <w:ilvl w:val="0"/>
          <w:numId w:val="6"/>
        </w:numPr>
        <w:spacing w:before="0" w:after="200" w:line="240" w:lineRule="auto"/>
        <w:ind w:left="709"/>
        <w:contextualSpacing/>
        <w:jc w:val="both"/>
        <w:rPr>
          <w:rFonts w:asciiTheme="minorHAnsi" w:hAnsiTheme="minorHAnsi" w:cs="Arial"/>
          <w:b/>
          <w:sz w:val="20"/>
          <w:u w:val="single"/>
        </w:rPr>
      </w:pPr>
      <w:r w:rsidRPr="008940B1">
        <w:rPr>
          <w:rFonts w:asciiTheme="minorHAnsi" w:hAnsiTheme="minorHAnsi" w:cs="Arial"/>
          <w:b/>
          <w:sz w:val="20"/>
          <w:u w:val="single"/>
        </w:rPr>
        <w:t>co do zasady – w okresie 12 miesięcy od zakończenia okresu realizacji projektu określonego w umowie o dofinansowaniu projektu lub, o ile wynika to ze specyfiki projektu, od uruchomienia przedsięwzięcia, przy czym osiągnięte wartości wykazywane są w</w:t>
      </w:r>
      <w:r w:rsidR="00A917DF">
        <w:rPr>
          <w:rFonts w:asciiTheme="minorHAnsi" w:hAnsiTheme="minorHAnsi" w:cs="Arial"/>
          <w:b/>
          <w:sz w:val="20"/>
          <w:u w:val="single"/>
        </w:rPr>
        <w:t>e</w:t>
      </w:r>
      <w:r w:rsidRPr="008940B1">
        <w:rPr>
          <w:rFonts w:asciiTheme="minorHAnsi" w:hAnsiTheme="minorHAnsi" w:cs="Arial"/>
          <w:b/>
          <w:sz w:val="20"/>
          <w:u w:val="single"/>
        </w:rPr>
        <w:t xml:space="preserve"> wniosku o płatność końcową</w:t>
      </w:r>
      <w:r w:rsidR="00A917DF">
        <w:rPr>
          <w:rFonts w:asciiTheme="minorHAnsi" w:hAnsiTheme="minorHAnsi" w:cs="Arial"/>
          <w:b/>
          <w:sz w:val="20"/>
          <w:u w:val="single"/>
        </w:rPr>
        <w:t xml:space="preserve"> lub jego </w:t>
      </w:r>
      <w:r w:rsidR="00A917DF" w:rsidRPr="008940B1">
        <w:rPr>
          <w:rFonts w:asciiTheme="minorHAnsi" w:hAnsiTheme="minorHAnsi" w:cs="Arial"/>
          <w:b/>
          <w:sz w:val="20"/>
          <w:u w:val="single"/>
        </w:rPr>
        <w:t>korekcie</w:t>
      </w:r>
      <w:r w:rsidRPr="008940B1">
        <w:rPr>
          <w:rFonts w:asciiTheme="minorHAnsi" w:hAnsiTheme="minorHAnsi" w:cs="Arial"/>
          <w:b/>
          <w:sz w:val="20"/>
          <w:u w:val="single"/>
        </w:rPr>
        <w:t>.</w:t>
      </w:r>
      <w:r w:rsidR="00A917DF">
        <w:rPr>
          <w:rFonts w:asciiTheme="minorHAnsi" w:hAnsiTheme="minorHAnsi" w:cs="Arial"/>
          <w:b/>
          <w:sz w:val="20"/>
          <w:u w:val="single"/>
        </w:rPr>
        <w:t xml:space="preserve"> </w:t>
      </w:r>
      <w:r w:rsidR="00A917DF" w:rsidRPr="00A917DF">
        <w:rPr>
          <w:rFonts w:asciiTheme="minorHAnsi" w:hAnsiTheme="minorHAnsi" w:cs="Arial"/>
          <w:b/>
          <w:sz w:val="20"/>
          <w:u w:val="single"/>
        </w:rPr>
        <w:t>Wskaźniki rezultatu powinny być utrzymane w okresie trwałości projektu</w:t>
      </w:r>
    </w:p>
    <w:p w:rsidR="00A917DF" w:rsidRPr="00A917DF" w:rsidRDefault="00A917DF" w:rsidP="004960B3">
      <w:pPr>
        <w:spacing w:before="0" w:after="200" w:line="240" w:lineRule="auto"/>
        <w:contextualSpacing/>
        <w:jc w:val="both"/>
        <w:rPr>
          <w:rFonts w:asciiTheme="minorHAnsi" w:hAnsiTheme="minorHAnsi" w:cs="Arial"/>
          <w:b/>
          <w:sz w:val="20"/>
          <w:u w:val="single"/>
        </w:rPr>
      </w:pPr>
      <w:r>
        <w:rPr>
          <w:rFonts w:asciiTheme="minorHAnsi" w:hAnsiTheme="minorHAnsi" w:cs="Arial"/>
          <w:b/>
          <w:sz w:val="20"/>
          <w:u w:val="single"/>
        </w:rPr>
        <w:t>lub</w:t>
      </w:r>
    </w:p>
    <w:p w:rsidR="0032765F" w:rsidRPr="00A917DF" w:rsidRDefault="00A917DF" w:rsidP="004960B3">
      <w:pPr>
        <w:pStyle w:val="Akapitzlist"/>
        <w:numPr>
          <w:ilvl w:val="0"/>
          <w:numId w:val="6"/>
        </w:numPr>
        <w:spacing w:before="0" w:after="200" w:line="240" w:lineRule="auto"/>
        <w:ind w:left="709"/>
        <w:contextualSpacing/>
        <w:jc w:val="both"/>
        <w:rPr>
          <w:rFonts w:asciiTheme="minorHAnsi" w:hAnsiTheme="minorHAnsi" w:cs="Arial"/>
          <w:b/>
          <w:sz w:val="20"/>
          <w:u w:val="single"/>
        </w:rPr>
      </w:pPr>
      <w:r w:rsidRPr="00A917DF">
        <w:rPr>
          <w:rFonts w:asciiTheme="minorHAnsi" w:hAnsiTheme="minorHAnsi"/>
          <w:b/>
          <w:sz w:val="20"/>
          <w:u w:val="single"/>
        </w:rPr>
        <w:t>w okresie trwałości projektu, na zasadach określonych przez IZ (w umowie o dofinansowanie projektu)</w:t>
      </w:r>
      <w:r w:rsidR="004960B3">
        <w:rPr>
          <w:rFonts w:asciiTheme="minorHAnsi" w:hAnsiTheme="minorHAnsi"/>
          <w:b/>
          <w:sz w:val="20"/>
          <w:u w:val="single"/>
        </w:rPr>
        <w:t xml:space="preserve"> </w:t>
      </w:r>
      <w:r w:rsidRPr="00A917DF">
        <w:rPr>
          <w:rFonts w:asciiTheme="minorHAnsi" w:hAnsiTheme="minorHAnsi"/>
          <w:b/>
          <w:sz w:val="20"/>
          <w:u w:val="single"/>
        </w:rPr>
        <w:t>- w przypadku wskaźników, których termin realizacji został wydłużony na wniosek beneficjenta i za zgodą IZ, jednak nie później niż do dnia 31.12.2023 r.</w:t>
      </w:r>
    </w:p>
    <w:sectPr w:rsidR="0032765F" w:rsidRPr="00A917DF" w:rsidSect="00830641">
      <w:headerReference w:type="default" r:id="rId8"/>
      <w:footerReference w:type="default" r:id="rId9"/>
      <w:pgSz w:w="11906" w:h="16838"/>
      <w:pgMar w:top="1417" w:right="1417" w:bottom="1417" w:left="1417"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DC3" w:rsidRDefault="009F6DC3" w:rsidP="008C495E">
      <w:pPr>
        <w:spacing w:before="0" w:line="240" w:lineRule="auto"/>
      </w:pPr>
      <w:r>
        <w:separator/>
      </w:r>
    </w:p>
  </w:endnote>
  <w:endnote w:type="continuationSeparator" w:id="0">
    <w:p w:rsidR="009F6DC3" w:rsidRDefault="009F6DC3"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490311"/>
      <w:docPartObj>
        <w:docPartGallery w:val="Page Numbers (Bottom of Page)"/>
        <w:docPartUnique/>
      </w:docPartObj>
    </w:sdtPr>
    <w:sdtEndPr>
      <w:rPr>
        <w:rFonts w:asciiTheme="minorHAnsi" w:hAnsiTheme="minorHAnsi"/>
      </w:rPr>
    </w:sdtEndPr>
    <w:sdtContent>
      <w:p w:rsidR="00830641" w:rsidRPr="00830641" w:rsidRDefault="00830641">
        <w:pPr>
          <w:pStyle w:val="Stopka"/>
          <w:jc w:val="center"/>
          <w:rPr>
            <w:rFonts w:asciiTheme="minorHAnsi" w:hAnsiTheme="minorHAnsi"/>
          </w:rPr>
        </w:pPr>
        <w:r w:rsidRPr="00830641">
          <w:rPr>
            <w:rFonts w:asciiTheme="minorHAnsi" w:hAnsiTheme="minorHAnsi"/>
          </w:rPr>
          <w:fldChar w:fldCharType="begin"/>
        </w:r>
        <w:r w:rsidRPr="00830641">
          <w:rPr>
            <w:rFonts w:asciiTheme="minorHAnsi" w:hAnsiTheme="minorHAnsi"/>
          </w:rPr>
          <w:instrText>PAGE   \* MERGEFORMAT</w:instrText>
        </w:r>
        <w:r w:rsidRPr="00830641">
          <w:rPr>
            <w:rFonts w:asciiTheme="minorHAnsi" w:hAnsiTheme="minorHAnsi"/>
          </w:rPr>
          <w:fldChar w:fldCharType="separate"/>
        </w:r>
        <w:r>
          <w:rPr>
            <w:rFonts w:asciiTheme="minorHAnsi" w:hAnsiTheme="minorHAnsi"/>
            <w:noProof/>
          </w:rPr>
          <w:t>7</w:t>
        </w:r>
        <w:r w:rsidRPr="00830641">
          <w:rPr>
            <w:rFonts w:asciiTheme="minorHAnsi" w:hAnsiTheme="minorHAnsi"/>
          </w:rPr>
          <w:fldChar w:fldCharType="end"/>
        </w:r>
      </w:p>
    </w:sdtContent>
  </w:sdt>
  <w:p w:rsidR="00830641" w:rsidRDefault="008306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DC3" w:rsidRDefault="009F6DC3" w:rsidP="008C495E">
      <w:pPr>
        <w:spacing w:before="0" w:line="240" w:lineRule="auto"/>
      </w:pPr>
      <w:r>
        <w:separator/>
      </w:r>
    </w:p>
  </w:footnote>
  <w:footnote w:type="continuationSeparator" w:id="0">
    <w:p w:rsidR="009F6DC3" w:rsidRDefault="009F6DC3" w:rsidP="008C495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78F" w:rsidRPr="00C0278F" w:rsidRDefault="00C0278F" w:rsidP="00A33762">
    <w:pPr>
      <w:pStyle w:val="Nagwek"/>
      <w:jc w:val="right"/>
      <w:rPr>
        <w:rFonts w:asciiTheme="minorHAnsi" w:hAnsiTheme="minorHAnsi"/>
        <w:sz w:val="20"/>
      </w:rPr>
    </w:pPr>
    <w:r>
      <w:tab/>
    </w:r>
    <w:r w:rsidRPr="00C0278F">
      <w:rPr>
        <w:rFonts w:asciiTheme="minorHAnsi" w:hAnsiTheme="minorHAnsi"/>
        <w:sz w:val="20"/>
      </w:rPr>
      <w:t xml:space="preserve">Załącznik  nr </w:t>
    </w:r>
    <w:r w:rsidR="00B65B2E">
      <w:rPr>
        <w:rFonts w:asciiTheme="minorHAnsi" w:hAnsiTheme="minorHAnsi"/>
        <w:sz w:val="20"/>
      </w:rPr>
      <w:t>2</w:t>
    </w:r>
    <w:r w:rsidRPr="00C0278F">
      <w:rPr>
        <w:rFonts w:asciiTheme="minorHAnsi" w:hAnsiTheme="minorHAnsi"/>
        <w:sz w:val="20"/>
      </w:rPr>
      <w:t xml:space="preserve"> do Regulaminu konkursu </w:t>
    </w:r>
  </w:p>
  <w:p w:rsidR="00C0278F" w:rsidRDefault="00C0278F" w:rsidP="00A33762">
    <w:pPr>
      <w:spacing w:before="0"/>
      <w:jc w:val="right"/>
    </w:pPr>
    <w:r w:rsidRPr="00C0278F">
      <w:rPr>
        <w:rFonts w:asciiTheme="minorHAnsi" w:hAnsiTheme="minorHAnsi"/>
        <w:sz w:val="20"/>
      </w:rPr>
      <w:t xml:space="preserve">Nr naboru </w:t>
    </w:r>
    <w:r w:rsidR="00A33762" w:rsidRPr="00A33762">
      <w:rPr>
        <w:rFonts w:asciiTheme="minorHAnsi" w:hAnsiTheme="minorHAnsi"/>
        <w:sz w:val="20"/>
      </w:rPr>
      <w:t>RPDS.0</w:t>
    </w:r>
    <w:r w:rsidR="00352B50">
      <w:rPr>
        <w:rFonts w:asciiTheme="minorHAnsi" w:hAnsiTheme="minorHAnsi"/>
        <w:sz w:val="20"/>
      </w:rPr>
      <w:t>3</w:t>
    </w:r>
    <w:r w:rsidR="00A33762" w:rsidRPr="00A33762">
      <w:rPr>
        <w:rFonts w:asciiTheme="minorHAnsi" w:hAnsiTheme="minorHAnsi"/>
        <w:sz w:val="20"/>
      </w:rPr>
      <w:t>.0</w:t>
    </w:r>
    <w:r w:rsidR="00352B50">
      <w:rPr>
        <w:rFonts w:asciiTheme="minorHAnsi" w:hAnsiTheme="minorHAnsi"/>
        <w:sz w:val="20"/>
      </w:rPr>
      <w:t>4</w:t>
    </w:r>
    <w:r w:rsidR="00A33762" w:rsidRPr="00A33762">
      <w:rPr>
        <w:rFonts w:asciiTheme="minorHAnsi" w:hAnsiTheme="minorHAnsi"/>
        <w:sz w:val="20"/>
      </w:rPr>
      <w:t>.0</w:t>
    </w:r>
    <w:r w:rsidR="00780DD9">
      <w:rPr>
        <w:rFonts w:asciiTheme="minorHAnsi" w:hAnsiTheme="minorHAnsi"/>
        <w:sz w:val="20"/>
      </w:rPr>
      <w:t>1</w:t>
    </w:r>
    <w:r w:rsidR="00A33762" w:rsidRPr="00A33762">
      <w:rPr>
        <w:rFonts w:asciiTheme="minorHAnsi" w:hAnsiTheme="minorHAnsi"/>
        <w:sz w:val="20"/>
      </w:rPr>
      <w:t>-IZ.00-02-3</w:t>
    </w:r>
    <w:r w:rsidR="00780DD9">
      <w:rPr>
        <w:rFonts w:asciiTheme="minorHAnsi" w:hAnsiTheme="minorHAnsi"/>
        <w:sz w:val="20"/>
      </w:rPr>
      <w:t>36</w:t>
    </w:r>
    <w:r w:rsidR="00A33762" w:rsidRPr="00A33762">
      <w:rPr>
        <w:rFonts w:asciiTheme="minorHAnsi" w:hAnsiTheme="minorHAnsi"/>
        <w:sz w:val="20"/>
      </w:rPr>
      <w:t>/1</w:t>
    </w:r>
    <w:r w:rsidR="00780DD9">
      <w:rPr>
        <w:rFonts w:asciiTheme="minorHAnsi" w:hAnsiTheme="minorHAnsi"/>
        <w:sz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DB0"/>
    <w:multiLevelType w:val="hybridMultilevel"/>
    <w:tmpl w:val="5B8C81C4"/>
    <w:lvl w:ilvl="0" w:tplc="C170685E">
      <w:numFmt w:val="bullet"/>
      <w:lvlText w:val="•"/>
      <w:lvlJc w:val="left"/>
      <w:pPr>
        <w:ind w:left="1065" w:hanging="705"/>
      </w:pPr>
      <w:rPr>
        <w:rFonts w:ascii="Calibri" w:eastAsiaTheme="minorHAns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234B56"/>
    <w:multiLevelType w:val="hybridMultilevel"/>
    <w:tmpl w:val="F18E7590"/>
    <w:lvl w:ilvl="0" w:tplc="3752A00A">
      <w:numFmt w:val="bullet"/>
      <w:lvlText w:val="•"/>
      <w:lvlJc w:val="left"/>
      <w:pPr>
        <w:ind w:left="1425" w:hanging="705"/>
      </w:pPr>
      <w:rPr>
        <w:rFonts w:ascii="Calibri" w:eastAsiaTheme="minorHAnsi" w:hAnsi="Calibri"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41B0B61"/>
    <w:multiLevelType w:val="hybridMultilevel"/>
    <w:tmpl w:val="E188C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BA3436"/>
    <w:multiLevelType w:val="hybridMultilevel"/>
    <w:tmpl w:val="80DE5A56"/>
    <w:lvl w:ilvl="0" w:tplc="3694483E">
      <w:numFmt w:val="bullet"/>
      <w:lvlText w:val="•"/>
      <w:lvlJc w:val="left"/>
      <w:pPr>
        <w:ind w:left="1425" w:hanging="705"/>
      </w:pPr>
      <w:rPr>
        <w:rFonts w:ascii="Calibri" w:eastAsiaTheme="minorHAnsi" w:hAnsi="Calibri"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B10331B"/>
    <w:multiLevelType w:val="hybridMultilevel"/>
    <w:tmpl w:val="7CF431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A8539E"/>
    <w:multiLevelType w:val="hybridMultilevel"/>
    <w:tmpl w:val="28B04482"/>
    <w:lvl w:ilvl="0" w:tplc="3694483E">
      <w:numFmt w:val="bullet"/>
      <w:lvlText w:val="•"/>
      <w:lvlJc w:val="left"/>
      <w:pPr>
        <w:ind w:left="1065" w:hanging="705"/>
      </w:pPr>
      <w:rPr>
        <w:rFonts w:ascii="Calibri" w:eastAsiaTheme="minorHAns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27324F3"/>
    <w:multiLevelType w:val="hybridMultilevel"/>
    <w:tmpl w:val="0756E4E4"/>
    <w:lvl w:ilvl="0" w:tplc="3694483E">
      <w:numFmt w:val="bullet"/>
      <w:lvlText w:val="•"/>
      <w:lvlJc w:val="left"/>
      <w:pPr>
        <w:ind w:left="1065" w:hanging="705"/>
      </w:pPr>
      <w:rPr>
        <w:rFonts w:ascii="Calibri" w:eastAsiaTheme="minorHAns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CBA1D11"/>
    <w:multiLevelType w:val="hybridMultilevel"/>
    <w:tmpl w:val="5890DECC"/>
    <w:lvl w:ilvl="0" w:tplc="C170685E">
      <w:numFmt w:val="bullet"/>
      <w:lvlText w:val="•"/>
      <w:lvlJc w:val="left"/>
      <w:pPr>
        <w:ind w:left="1065" w:hanging="705"/>
      </w:pPr>
      <w:rPr>
        <w:rFonts w:ascii="Calibri" w:eastAsiaTheme="minorHAns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FEB0D58"/>
    <w:multiLevelType w:val="hybridMultilevel"/>
    <w:tmpl w:val="27FEA4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6D1918AE"/>
    <w:multiLevelType w:val="hybridMultilevel"/>
    <w:tmpl w:val="E474E3BE"/>
    <w:lvl w:ilvl="0" w:tplc="3694483E">
      <w:numFmt w:val="bullet"/>
      <w:lvlText w:val="•"/>
      <w:lvlJc w:val="left"/>
      <w:pPr>
        <w:ind w:left="1065" w:hanging="705"/>
      </w:pPr>
      <w:rPr>
        <w:rFonts w:ascii="Calibri" w:eastAsiaTheme="minorHAns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EBB3944"/>
    <w:multiLevelType w:val="hybridMultilevel"/>
    <w:tmpl w:val="2E863AEA"/>
    <w:lvl w:ilvl="0" w:tplc="3752A00A">
      <w:numFmt w:val="bullet"/>
      <w:lvlText w:val="•"/>
      <w:lvlJc w:val="left"/>
      <w:pPr>
        <w:ind w:left="1065" w:hanging="705"/>
      </w:pPr>
      <w:rPr>
        <w:rFonts w:ascii="Calibri" w:eastAsiaTheme="minorHAns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6B1E9B"/>
    <w:multiLevelType w:val="hybridMultilevel"/>
    <w:tmpl w:val="95CA09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4"/>
  </w:num>
  <w:num w:numId="8">
    <w:abstractNumId w:val="9"/>
  </w:num>
  <w:num w:numId="9">
    <w:abstractNumId w:val="6"/>
  </w:num>
  <w:num w:numId="10">
    <w:abstractNumId w:val="10"/>
  </w:num>
  <w:num w:numId="11">
    <w:abstractNumId w:val="16"/>
  </w:num>
  <w:num w:numId="12">
    <w:abstractNumId w:val="4"/>
  </w:num>
  <w:num w:numId="13">
    <w:abstractNumId w:val="20"/>
  </w:num>
  <w:num w:numId="14">
    <w:abstractNumId w:val="13"/>
  </w:num>
  <w:num w:numId="15">
    <w:abstractNumId w:val="17"/>
  </w:num>
  <w:num w:numId="16">
    <w:abstractNumId w:val="5"/>
  </w:num>
  <w:num w:numId="17">
    <w:abstractNumId w:val="11"/>
  </w:num>
  <w:num w:numId="18">
    <w:abstractNumId w:val="15"/>
  </w:num>
  <w:num w:numId="19">
    <w:abstractNumId w:val="0"/>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95E"/>
    <w:rsid w:val="00094C3F"/>
    <w:rsid w:val="000B7AC3"/>
    <w:rsid w:val="000D0008"/>
    <w:rsid w:val="000F5C98"/>
    <w:rsid w:val="001149E8"/>
    <w:rsid w:val="00141571"/>
    <w:rsid w:val="0015486C"/>
    <w:rsid w:val="00181054"/>
    <w:rsid w:val="0018137B"/>
    <w:rsid w:val="00191605"/>
    <w:rsid w:val="001C4F9E"/>
    <w:rsid w:val="001D1816"/>
    <w:rsid w:val="00247EDA"/>
    <w:rsid w:val="00253FAA"/>
    <w:rsid w:val="00273701"/>
    <w:rsid w:val="002972E4"/>
    <w:rsid w:val="002D5507"/>
    <w:rsid w:val="002E6E1E"/>
    <w:rsid w:val="002F3FD3"/>
    <w:rsid w:val="002F6273"/>
    <w:rsid w:val="00315984"/>
    <w:rsid w:val="00322399"/>
    <w:rsid w:val="0032765F"/>
    <w:rsid w:val="00340A6B"/>
    <w:rsid w:val="003424BF"/>
    <w:rsid w:val="00343F78"/>
    <w:rsid w:val="00352B50"/>
    <w:rsid w:val="00370466"/>
    <w:rsid w:val="00374DEB"/>
    <w:rsid w:val="003972F3"/>
    <w:rsid w:val="003B7C59"/>
    <w:rsid w:val="003C5549"/>
    <w:rsid w:val="003C55C7"/>
    <w:rsid w:val="003D2C3D"/>
    <w:rsid w:val="003D3BC5"/>
    <w:rsid w:val="0041446A"/>
    <w:rsid w:val="00421C29"/>
    <w:rsid w:val="00433A72"/>
    <w:rsid w:val="0046263E"/>
    <w:rsid w:val="00471B0C"/>
    <w:rsid w:val="00476947"/>
    <w:rsid w:val="004960B3"/>
    <w:rsid w:val="004B303A"/>
    <w:rsid w:val="004C1A62"/>
    <w:rsid w:val="004C43B6"/>
    <w:rsid w:val="00516B06"/>
    <w:rsid w:val="00522930"/>
    <w:rsid w:val="00522C13"/>
    <w:rsid w:val="00535E8F"/>
    <w:rsid w:val="00554023"/>
    <w:rsid w:val="00555321"/>
    <w:rsid w:val="005657D8"/>
    <w:rsid w:val="00570D1E"/>
    <w:rsid w:val="005A6989"/>
    <w:rsid w:val="005F044E"/>
    <w:rsid w:val="0060140B"/>
    <w:rsid w:val="00620A45"/>
    <w:rsid w:val="00635DB0"/>
    <w:rsid w:val="0063731A"/>
    <w:rsid w:val="006455F0"/>
    <w:rsid w:val="0068088E"/>
    <w:rsid w:val="006A09F0"/>
    <w:rsid w:val="006C652C"/>
    <w:rsid w:val="006D32FE"/>
    <w:rsid w:val="00701E65"/>
    <w:rsid w:val="00704612"/>
    <w:rsid w:val="00704B1F"/>
    <w:rsid w:val="00723BBC"/>
    <w:rsid w:val="007300ED"/>
    <w:rsid w:val="00741B27"/>
    <w:rsid w:val="007650AC"/>
    <w:rsid w:val="00780DD9"/>
    <w:rsid w:val="00785000"/>
    <w:rsid w:val="00787387"/>
    <w:rsid w:val="007A172C"/>
    <w:rsid w:val="007D1CF1"/>
    <w:rsid w:val="007D7DE7"/>
    <w:rsid w:val="007E025A"/>
    <w:rsid w:val="007E2D2C"/>
    <w:rsid w:val="007E6D53"/>
    <w:rsid w:val="00822185"/>
    <w:rsid w:val="00830641"/>
    <w:rsid w:val="0083716C"/>
    <w:rsid w:val="008940B1"/>
    <w:rsid w:val="008A09D1"/>
    <w:rsid w:val="008A195C"/>
    <w:rsid w:val="008B21E1"/>
    <w:rsid w:val="008B73B1"/>
    <w:rsid w:val="008C495E"/>
    <w:rsid w:val="008E3F0D"/>
    <w:rsid w:val="009024D3"/>
    <w:rsid w:val="00911273"/>
    <w:rsid w:val="009456DB"/>
    <w:rsid w:val="00965BB1"/>
    <w:rsid w:val="00970181"/>
    <w:rsid w:val="00975AE5"/>
    <w:rsid w:val="009D3C56"/>
    <w:rsid w:val="009E60AF"/>
    <w:rsid w:val="009E65D0"/>
    <w:rsid w:val="009F121E"/>
    <w:rsid w:val="009F6DC3"/>
    <w:rsid w:val="00A25539"/>
    <w:rsid w:val="00A33762"/>
    <w:rsid w:val="00A545DA"/>
    <w:rsid w:val="00A81480"/>
    <w:rsid w:val="00A816DE"/>
    <w:rsid w:val="00A87308"/>
    <w:rsid w:val="00A917DF"/>
    <w:rsid w:val="00AA0801"/>
    <w:rsid w:val="00AD2437"/>
    <w:rsid w:val="00AF1D78"/>
    <w:rsid w:val="00AF7EBE"/>
    <w:rsid w:val="00B204DD"/>
    <w:rsid w:val="00B235B0"/>
    <w:rsid w:val="00B65B2E"/>
    <w:rsid w:val="00B80838"/>
    <w:rsid w:val="00B840A9"/>
    <w:rsid w:val="00BA2582"/>
    <w:rsid w:val="00BB367B"/>
    <w:rsid w:val="00BC03CE"/>
    <w:rsid w:val="00BC18C8"/>
    <w:rsid w:val="00BD1CC9"/>
    <w:rsid w:val="00C0278F"/>
    <w:rsid w:val="00C10532"/>
    <w:rsid w:val="00C357EC"/>
    <w:rsid w:val="00C409A8"/>
    <w:rsid w:val="00C40E8D"/>
    <w:rsid w:val="00C90F5E"/>
    <w:rsid w:val="00C912B2"/>
    <w:rsid w:val="00CC7758"/>
    <w:rsid w:val="00CF69D1"/>
    <w:rsid w:val="00D03CAB"/>
    <w:rsid w:val="00D10171"/>
    <w:rsid w:val="00D11CB4"/>
    <w:rsid w:val="00D11D19"/>
    <w:rsid w:val="00D11E26"/>
    <w:rsid w:val="00D353E2"/>
    <w:rsid w:val="00D5098A"/>
    <w:rsid w:val="00D56A03"/>
    <w:rsid w:val="00D56E5D"/>
    <w:rsid w:val="00D93881"/>
    <w:rsid w:val="00DF6D97"/>
    <w:rsid w:val="00E13197"/>
    <w:rsid w:val="00E32B6F"/>
    <w:rsid w:val="00E61834"/>
    <w:rsid w:val="00E64CE1"/>
    <w:rsid w:val="00E709B8"/>
    <w:rsid w:val="00E72468"/>
    <w:rsid w:val="00E83262"/>
    <w:rsid w:val="00E90CA0"/>
    <w:rsid w:val="00E9718E"/>
    <w:rsid w:val="00E97A52"/>
    <w:rsid w:val="00EB34D2"/>
    <w:rsid w:val="00EE0005"/>
    <w:rsid w:val="00F02218"/>
    <w:rsid w:val="00F11106"/>
    <w:rsid w:val="00F223FC"/>
    <w:rsid w:val="00F24701"/>
    <w:rsid w:val="00F33908"/>
    <w:rsid w:val="00F81827"/>
    <w:rsid w:val="00FA51D7"/>
    <w:rsid w:val="00FC6B1D"/>
    <w:rsid w:val="00FD70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93512F-AFF2-4468-83B9-DF1A2EA5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 w:id="2023388468">
      <w:bodyDiv w:val="1"/>
      <w:marLeft w:val="0"/>
      <w:marRight w:val="0"/>
      <w:marTop w:val="0"/>
      <w:marBottom w:val="0"/>
      <w:divBdr>
        <w:top w:val="none" w:sz="0" w:space="0" w:color="auto"/>
        <w:left w:val="none" w:sz="0" w:space="0" w:color="auto"/>
        <w:bottom w:val="none" w:sz="0" w:space="0" w:color="auto"/>
        <w:right w:val="none" w:sz="0" w:space="0" w:color="auto"/>
      </w:divBdr>
      <w:divsChild>
        <w:div w:id="472869475">
          <w:marLeft w:val="0"/>
          <w:marRight w:val="0"/>
          <w:marTop w:val="0"/>
          <w:marBottom w:val="0"/>
          <w:divBdr>
            <w:top w:val="none" w:sz="0" w:space="0" w:color="auto"/>
            <w:left w:val="none" w:sz="0" w:space="0" w:color="auto"/>
            <w:bottom w:val="none" w:sz="0" w:space="0" w:color="auto"/>
            <w:right w:val="none" w:sz="0" w:space="0" w:color="auto"/>
          </w:divBdr>
          <w:divsChild>
            <w:div w:id="18403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5B1F6-1064-47FB-86F2-3C15B6EE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9</Pages>
  <Words>3321</Words>
  <Characters>19926</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48</cp:revision>
  <cp:lastPrinted>2018-09-19T10:49:00Z</cp:lastPrinted>
  <dcterms:created xsi:type="dcterms:W3CDTF">2017-03-03T07:55:00Z</dcterms:created>
  <dcterms:modified xsi:type="dcterms:W3CDTF">2019-01-09T11:32:00Z</dcterms:modified>
</cp:coreProperties>
</file>