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D7" w:rsidRDefault="00FA51D7" w:rsidP="00FA51D7">
      <w:pPr>
        <w:autoSpaceDE w:val="0"/>
        <w:autoSpaceDN w:val="0"/>
        <w:adjustRightInd w:val="0"/>
        <w:spacing w:before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0" w:name="_Toc426632922"/>
      <w:bookmarkStart w:id="1" w:name="_Toc430826826"/>
      <w:bookmarkStart w:id="2" w:name="_Toc432758974"/>
    </w:p>
    <w:p w:rsidR="00FA51D7" w:rsidRDefault="009D3C56" w:rsidP="00FA51D7">
      <w:pPr>
        <w:autoSpaceDE w:val="0"/>
        <w:autoSpaceDN w:val="0"/>
        <w:adjustRightInd w:val="0"/>
        <w:spacing w:before="0" w:line="36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F02218">
        <w:rPr>
          <w:rFonts w:ascii="Calibri" w:hAnsi="Calibri" w:cs="Calibri"/>
          <w:b/>
          <w:color w:val="000000"/>
          <w:sz w:val="24"/>
          <w:szCs w:val="24"/>
        </w:rPr>
        <w:t xml:space="preserve">Lista wskaźników na poziomie projektu </w:t>
      </w:r>
    </w:p>
    <w:p w:rsidR="009D3C56" w:rsidRPr="00F02218" w:rsidRDefault="009D3C56" w:rsidP="00FA51D7">
      <w:pPr>
        <w:autoSpaceDE w:val="0"/>
        <w:autoSpaceDN w:val="0"/>
        <w:adjustRightInd w:val="0"/>
        <w:spacing w:before="0" w:line="240" w:lineRule="auto"/>
        <w:jc w:val="center"/>
        <w:rPr>
          <w:b/>
          <w:sz w:val="24"/>
          <w:szCs w:val="24"/>
        </w:rPr>
      </w:pPr>
      <w:r w:rsidRPr="00F02218">
        <w:rPr>
          <w:rFonts w:ascii="Calibri" w:hAnsi="Calibri" w:cs="Calibri"/>
          <w:b/>
          <w:color w:val="000000"/>
          <w:sz w:val="24"/>
          <w:szCs w:val="24"/>
        </w:rPr>
        <w:t xml:space="preserve">dla </w:t>
      </w:r>
      <w:r w:rsidR="00FA51D7">
        <w:rPr>
          <w:rFonts w:ascii="Calibri" w:hAnsi="Calibri" w:cs="Calibri"/>
          <w:b/>
          <w:color w:val="000000"/>
          <w:sz w:val="24"/>
          <w:szCs w:val="24"/>
        </w:rPr>
        <w:t xml:space="preserve">Działania </w:t>
      </w:r>
      <w:r w:rsidRPr="00F02218">
        <w:rPr>
          <w:rFonts w:ascii="Calibri" w:hAnsi="Calibri" w:cs="Calibri"/>
          <w:b/>
          <w:color w:val="000000"/>
          <w:sz w:val="24"/>
          <w:szCs w:val="24"/>
        </w:rPr>
        <w:t>4.</w:t>
      </w:r>
      <w:r w:rsidR="000B7AC3">
        <w:rPr>
          <w:rFonts w:ascii="Calibri" w:hAnsi="Calibri" w:cs="Calibri"/>
          <w:b/>
          <w:color w:val="000000"/>
          <w:sz w:val="24"/>
          <w:szCs w:val="24"/>
        </w:rPr>
        <w:t>5</w:t>
      </w:r>
      <w:r w:rsidR="00FA51D7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83716C">
        <w:rPr>
          <w:rFonts w:ascii="Calibri" w:hAnsi="Calibri" w:cs="Calibri"/>
          <w:b/>
          <w:color w:val="000000"/>
          <w:sz w:val="24"/>
          <w:szCs w:val="24"/>
        </w:rPr>
        <w:t>Bezpieczeństwo</w:t>
      </w:r>
      <w:r w:rsidRPr="00F02218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822185">
        <w:rPr>
          <w:rFonts w:ascii="Calibri" w:hAnsi="Calibri" w:cs="Calibri"/>
          <w:b/>
          <w:color w:val="000000"/>
          <w:sz w:val="24"/>
          <w:szCs w:val="24"/>
        </w:rPr>
        <w:t>RPO WD 2014-2020</w:t>
      </w:r>
    </w:p>
    <w:p w:rsidR="00CF69D1" w:rsidRDefault="00CF69D1" w:rsidP="007650AC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bookmarkEnd w:id="0"/>
    <w:bookmarkEnd w:id="1"/>
    <w:bookmarkEnd w:id="2"/>
    <w:p w:rsidR="00A81480" w:rsidRDefault="00A81480" w:rsidP="00A81480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911273">
        <w:rPr>
          <w:rFonts w:asciiTheme="minorHAnsi" w:eastAsiaTheme="minorHAnsi" w:hAnsiTheme="minorHAnsi" w:cs="Calibri"/>
          <w:szCs w:val="22"/>
          <w:lang w:eastAsia="en-US"/>
        </w:rPr>
        <w:t>Główną funkcją wskaźników jest zmierzenie, na ile cel główny projektu zostały zrealizowany</w:t>
      </w:r>
      <w:r>
        <w:rPr>
          <w:rFonts w:asciiTheme="minorHAnsi" w:eastAsiaTheme="minorHAnsi" w:hAnsiTheme="minorHAnsi" w:cs="Calibri"/>
          <w:szCs w:val="22"/>
          <w:lang w:eastAsia="en-US"/>
        </w:rPr>
        <w:t xml:space="preserve">. Wskaźniki służą ilościowej prezentacji działań podjętych w ramach projektu i ich rezultatów. 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W trakcie realizacji projektu wskaźniki powinny umożliwiać mierzenie jego postępu względem celów projektu. </w:t>
      </w:r>
    </w:p>
    <w:p w:rsidR="00A81480" w:rsidRDefault="00A81480" w:rsidP="00A81480">
      <w:pPr>
        <w:autoSpaceDE w:val="0"/>
        <w:autoSpaceDN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  <w:r w:rsidRPr="00911273">
        <w:rPr>
          <w:rFonts w:asciiTheme="minorHAnsi" w:eastAsiaTheme="minorHAnsi" w:hAnsiTheme="minorHAnsi" w:cs="Calibri"/>
          <w:szCs w:val="22"/>
          <w:lang w:eastAsia="en-US"/>
        </w:rPr>
        <w:t>Wybór wskaźników projektu powinien być powiązany z typem realizowanego przedsięwzięcia i</w:t>
      </w:r>
      <w:r>
        <w:rPr>
          <w:rFonts w:asciiTheme="minorHAnsi" w:eastAsiaTheme="minorHAnsi" w:hAnsiTheme="minorHAnsi" w:cs="Calibri"/>
          <w:szCs w:val="22"/>
          <w:lang w:eastAsia="en-US"/>
        </w:rPr>
        <w:t> 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planowanymi działaniami, które </w:t>
      </w:r>
      <w:r>
        <w:rPr>
          <w:rFonts w:asciiTheme="minorHAnsi" w:eastAsiaTheme="minorHAnsi" w:hAnsiTheme="minorHAnsi" w:cs="Calibri"/>
          <w:szCs w:val="22"/>
          <w:lang w:eastAsia="en-US"/>
        </w:rPr>
        <w:t>wnioskodawca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 zamierza podjąć w ramach projektu. </w:t>
      </w:r>
      <w:r w:rsidRPr="00911273">
        <w:rPr>
          <w:rFonts w:asciiTheme="minorHAnsi" w:eastAsiaTheme="minorHAnsi" w:hAnsiTheme="minorHAnsi" w:cs="Calibri"/>
          <w:bCs/>
          <w:szCs w:val="22"/>
          <w:lang w:eastAsia="en-US"/>
        </w:rPr>
        <w:t xml:space="preserve">Do celu głównego projektu </w:t>
      </w:r>
      <w:r>
        <w:rPr>
          <w:rFonts w:asciiTheme="minorHAnsi" w:eastAsiaTheme="minorHAnsi" w:hAnsiTheme="minorHAnsi" w:cs="Calibri"/>
          <w:bCs/>
          <w:szCs w:val="22"/>
          <w:lang w:eastAsia="en-US"/>
        </w:rPr>
        <w:t>wnioskodawca</w:t>
      </w:r>
      <w:r w:rsidRPr="00911273">
        <w:rPr>
          <w:rFonts w:asciiTheme="minorHAnsi" w:eastAsiaTheme="minorHAnsi" w:hAnsiTheme="minorHAnsi" w:cs="Calibri"/>
          <w:bCs/>
          <w:szCs w:val="22"/>
          <w:lang w:eastAsia="en-US"/>
        </w:rPr>
        <w:t xml:space="preserve"> powinien dobrać odpowiednie wskaźniki, produktu i rezultatu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 bezpośredniego</w:t>
      </w:r>
      <w:r>
        <w:rPr>
          <w:rFonts w:asciiTheme="minorHAnsi" w:eastAsiaTheme="minorHAnsi" w:hAnsiTheme="minorHAnsi" w:cs="Calibri"/>
          <w:szCs w:val="22"/>
          <w:lang w:eastAsia="en-US"/>
        </w:rPr>
        <w:t>. Muszą być logicznie powiązane z projektem i spójne.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 </w:t>
      </w:r>
    </w:p>
    <w:p w:rsidR="00A81480" w:rsidRPr="00911273" w:rsidRDefault="00A81480" w:rsidP="00A81480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>
        <w:rPr>
          <w:rFonts w:asciiTheme="minorHAnsi" w:hAnsiTheme="minorHAnsi"/>
          <w:szCs w:val="22"/>
        </w:rPr>
        <w:t>Każdy ze wskaźników powinien posiadać następujące cechy:</w:t>
      </w:r>
    </w:p>
    <w:p w:rsidR="00A81480" w:rsidRDefault="00A81480" w:rsidP="00A81480">
      <w:pPr>
        <w:numPr>
          <w:ilvl w:val="0"/>
          <w:numId w:val="10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adekwatność – wskaźnik powinien być dostosowany do charakteru projektu oraz oczekiwanych efektów związanych z jego realizacją;</w:t>
      </w:r>
    </w:p>
    <w:p w:rsidR="00A81480" w:rsidRDefault="00A81480" w:rsidP="00A81480">
      <w:pPr>
        <w:numPr>
          <w:ilvl w:val="0"/>
          <w:numId w:val="10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mierzalność – wskaźnik powinien być kwantyfikowalny, tj. wyrażony w wartościach liczbowych bądź finansowych;</w:t>
      </w:r>
    </w:p>
    <w:p w:rsidR="00A81480" w:rsidRDefault="00A81480" w:rsidP="00A81480">
      <w:pPr>
        <w:numPr>
          <w:ilvl w:val="0"/>
          <w:numId w:val="10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wiarygodność – wskaźnik powinien być zdefiniowany w taki sposób, aby jego weryfikacja nie powodowała utrudnień;</w:t>
      </w:r>
    </w:p>
    <w:p w:rsidR="00A81480" w:rsidRDefault="00A81480" w:rsidP="00A81480">
      <w:pPr>
        <w:numPr>
          <w:ilvl w:val="0"/>
          <w:numId w:val="10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dostępność – wskaźnik powinien być łatwy do określenia w wyniku realizacji projektu;</w:t>
      </w:r>
    </w:p>
    <w:p w:rsidR="00A81480" w:rsidRDefault="00A81480" w:rsidP="00A81480">
      <w:pPr>
        <w:numPr>
          <w:ilvl w:val="0"/>
          <w:numId w:val="10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określony w czasie – wartość wskaźnika powinna zostać określona w czasie, tj. określony rok osiągnięcia wartości docelowej wskaźnika oraz okres, w którym będzie mierzony wskaźnik.</w:t>
      </w:r>
    </w:p>
    <w:p w:rsidR="00A81480" w:rsidRDefault="00A81480" w:rsidP="00A81480">
      <w:pPr>
        <w:autoSpaceDE w:val="0"/>
        <w:autoSpaceDN w:val="0"/>
        <w:adjustRightInd w:val="0"/>
        <w:spacing w:before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Odpowiednio we wniosku </w:t>
      </w:r>
      <w:r>
        <w:rPr>
          <w:rFonts w:asciiTheme="minorHAnsi" w:eastAsiaTheme="minorHAnsi" w:hAnsiTheme="minorHAnsi" w:cs="Calibri"/>
          <w:szCs w:val="22"/>
          <w:lang w:eastAsia="en-US"/>
        </w:rPr>
        <w:t xml:space="preserve">o dofinansowanie 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>należy określić, w jaki sposób mierzona będzie realizacja ce</w:t>
      </w:r>
      <w:r>
        <w:rPr>
          <w:rFonts w:asciiTheme="minorHAnsi" w:eastAsiaTheme="minorHAnsi" w:hAnsiTheme="minorHAnsi" w:cs="Calibri"/>
          <w:szCs w:val="22"/>
          <w:lang w:eastAsia="en-US"/>
        </w:rPr>
        <w:t>lu poprzez ustalenie wskaźników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>. Należy określić, co najmniej jeden podstawowy i mierzalny wskaźnik, który w sposób precyzyjny umożliwi weryfikację stopnia realizacji celu głównego</w:t>
      </w:r>
      <w:r>
        <w:rPr>
          <w:rFonts w:asciiTheme="minorHAnsi" w:eastAsiaTheme="minorHAnsi" w:hAnsiTheme="minorHAnsi" w:cs="Calibri"/>
          <w:szCs w:val="22"/>
          <w:lang w:eastAsia="en-US"/>
        </w:rPr>
        <w:t xml:space="preserve"> projektu.</w:t>
      </w:r>
    </w:p>
    <w:p w:rsidR="00A81480" w:rsidRDefault="00A81480" w:rsidP="00A81480">
      <w:pPr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 ramach RPO WD 2014-2020 rozróżnia się następujące wskaźniki:</w:t>
      </w:r>
    </w:p>
    <w:p w:rsidR="00A81480" w:rsidRDefault="00A81480" w:rsidP="00A81480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obligatoryjne – wskaźniki ujęte w RPO WD 2014-2020, SZOOP RPO WD 2014-2020;</w:t>
      </w:r>
    </w:p>
    <w:p w:rsidR="00A81480" w:rsidRDefault="00A81480" w:rsidP="00A81480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horyzontalne;</w:t>
      </w:r>
    </w:p>
    <w:p w:rsidR="00A81480" w:rsidRDefault="00A81480" w:rsidP="00A81480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dodatkowe – wskaźniki projektowe.</w:t>
      </w:r>
    </w:p>
    <w:p w:rsidR="00A81480" w:rsidRPr="00911273" w:rsidRDefault="00A81480" w:rsidP="00A81480">
      <w:pPr>
        <w:pStyle w:val="Nagwek1"/>
        <w:spacing w:before="120"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911273">
        <w:rPr>
          <w:rFonts w:asciiTheme="minorHAnsi" w:hAnsiTheme="minorHAnsi"/>
          <w:sz w:val="22"/>
          <w:szCs w:val="22"/>
        </w:rPr>
        <w:t>Wymagania w zakresie wskaźników w projekcie</w:t>
      </w:r>
      <w:r>
        <w:rPr>
          <w:rFonts w:asciiTheme="minorHAnsi" w:hAnsiTheme="minorHAnsi"/>
          <w:sz w:val="22"/>
          <w:szCs w:val="22"/>
        </w:rPr>
        <w:t>:</w:t>
      </w:r>
    </w:p>
    <w:p w:rsidR="00A81480" w:rsidRDefault="00A81480" w:rsidP="00A81480">
      <w:pPr>
        <w:pStyle w:val="Default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911273">
        <w:rPr>
          <w:rFonts w:asciiTheme="minorHAnsi" w:eastAsiaTheme="minorHAnsi" w:hAnsiTheme="minorHAnsi" w:cs="Calibri"/>
          <w:szCs w:val="22"/>
          <w:lang w:eastAsia="en-US"/>
        </w:rPr>
        <w:t>W ramach wni</w:t>
      </w:r>
      <w:r>
        <w:rPr>
          <w:rFonts w:asciiTheme="minorHAnsi" w:eastAsiaTheme="minorHAnsi" w:hAnsiTheme="minorHAnsi" w:cs="Calibri"/>
          <w:szCs w:val="22"/>
          <w:lang w:eastAsia="en-US"/>
        </w:rPr>
        <w:t>osku o dofinansowanie projektu w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nioskodawca określa </w:t>
      </w:r>
      <w:r w:rsidRPr="00911273">
        <w:rPr>
          <w:rFonts w:asciiTheme="minorHAnsi" w:eastAsiaTheme="minorHAnsi" w:hAnsiTheme="minorHAnsi" w:cs="Calibri"/>
          <w:b/>
          <w:bCs/>
          <w:szCs w:val="22"/>
          <w:lang w:eastAsia="en-US"/>
        </w:rPr>
        <w:t>wskaźniki służące pomiarowi działań i</w:t>
      </w:r>
      <w:r>
        <w:rPr>
          <w:rFonts w:asciiTheme="minorHAnsi" w:eastAsiaTheme="minorHAnsi" w:hAnsiTheme="minorHAnsi" w:cs="Calibri"/>
          <w:b/>
          <w:bCs/>
          <w:szCs w:val="22"/>
          <w:lang w:eastAsia="en-US"/>
        </w:rPr>
        <w:t> </w:t>
      </w:r>
      <w:r w:rsidRPr="00911273">
        <w:rPr>
          <w:rFonts w:asciiTheme="minorHAnsi" w:eastAsiaTheme="minorHAnsi" w:hAnsiTheme="minorHAnsi" w:cs="Calibri"/>
          <w:b/>
          <w:bCs/>
          <w:szCs w:val="22"/>
          <w:lang w:eastAsia="en-US"/>
        </w:rPr>
        <w:t>celów założonych w projekcie.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 Wskaźniki w ramach projektu należy określić mając w szczególności na uwadze zapisy niniejszego </w:t>
      </w:r>
      <w:r>
        <w:rPr>
          <w:rFonts w:asciiTheme="minorHAnsi" w:eastAsiaTheme="minorHAnsi" w:hAnsiTheme="minorHAnsi" w:cs="Calibri"/>
          <w:szCs w:val="22"/>
          <w:lang w:eastAsia="en-US"/>
        </w:rPr>
        <w:t>R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>egulaminu</w:t>
      </w:r>
      <w:r>
        <w:rPr>
          <w:rFonts w:asciiTheme="minorHAnsi" w:eastAsiaTheme="minorHAnsi" w:hAnsiTheme="minorHAnsi" w:cs="Calibri"/>
          <w:szCs w:val="22"/>
          <w:lang w:eastAsia="en-US"/>
        </w:rPr>
        <w:t>.</w:t>
      </w:r>
    </w:p>
    <w:p w:rsidR="00A81480" w:rsidRDefault="00A81480" w:rsidP="00A81480">
      <w:pPr>
        <w:pStyle w:val="Default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:rsidR="00A81480" w:rsidRPr="00A459F4" w:rsidRDefault="00A81480" w:rsidP="00A81480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8A09D1">
        <w:rPr>
          <w:rFonts w:asciiTheme="minorHAnsi" w:hAnsiTheme="minorHAnsi"/>
          <w:b/>
          <w:sz w:val="22"/>
          <w:szCs w:val="22"/>
        </w:rPr>
        <w:t xml:space="preserve">W przypadku, gdy w ramach danego </w:t>
      </w:r>
      <w:r>
        <w:rPr>
          <w:rFonts w:asciiTheme="minorHAnsi" w:hAnsiTheme="minorHAnsi"/>
          <w:b/>
          <w:sz w:val="22"/>
          <w:szCs w:val="22"/>
        </w:rPr>
        <w:t>D</w:t>
      </w:r>
      <w:r w:rsidRPr="008A09D1">
        <w:rPr>
          <w:rFonts w:asciiTheme="minorHAnsi" w:hAnsiTheme="minorHAnsi"/>
          <w:b/>
          <w:sz w:val="22"/>
          <w:szCs w:val="22"/>
        </w:rPr>
        <w:t>ziałania uwzględniony został wskaźnik z RPO</w:t>
      </w:r>
      <w:r>
        <w:rPr>
          <w:rFonts w:asciiTheme="minorHAnsi" w:hAnsiTheme="minorHAnsi"/>
          <w:b/>
          <w:sz w:val="22"/>
          <w:szCs w:val="22"/>
        </w:rPr>
        <w:t xml:space="preserve"> WD 2014-2020</w:t>
      </w:r>
      <w:r w:rsidRPr="008A09D1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 xml:space="preserve">SZOOP RPO WD 2014-2020, </w:t>
      </w:r>
      <w:r w:rsidRPr="008A09D1">
        <w:rPr>
          <w:rFonts w:asciiTheme="minorHAnsi" w:hAnsiTheme="minorHAnsi"/>
          <w:b/>
          <w:sz w:val="22"/>
          <w:szCs w:val="22"/>
        </w:rPr>
        <w:t>który odzwierciedla zakres projektu, jego w</w:t>
      </w:r>
      <w:r>
        <w:rPr>
          <w:rFonts w:asciiTheme="minorHAnsi" w:hAnsiTheme="minorHAnsi"/>
          <w:b/>
          <w:sz w:val="22"/>
          <w:szCs w:val="22"/>
        </w:rPr>
        <w:t>ykazanie dla wnioskodawcy jest obligatoryjne.</w:t>
      </w:r>
    </w:p>
    <w:p w:rsidR="00A81480" w:rsidRPr="008A09D1" w:rsidRDefault="00A81480" w:rsidP="00A8148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000000"/>
        </w:rPr>
      </w:pPr>
      <w:r w:rsidRPr="008A09D1">
        <w:rPr>
          <w:rFonts w:asciiTheme="minorHAnsi" w:hAnsiTheme="minorHAnsi" w:cs="Arial"/>
          <w:b/>
          <w:color w:val="000000"/>
        </w:rPr>
        <w:t>W</w:t>
      </w:r>
      <w:r w:rsidRPr="008A09D1">
        <w:rPr>
          <w:rFonts w:asciiTheme="minorHAnsi" w:hAnsiTheme="minorHAnsi" w:cs="Arial"/>
          <w:b/>
          <w:bCs/>
          <w:color w:val="000000"/>
        </w:rPr>
        <w:t>skaźniki produktu</w:t>
      </w:r>
      <w:r w:rsidRPr="008A09D1">
        <w:rPr>
          <w:rFonts w:asciiTheme="minorHAnsi" w:hAnsiTheme="minorHAnsi" w:cs="Arial"/>
          <w:bCs/>
          <w:color w:val="000000"/>
        </w:rPr>
        <w:t xml:space="preserve"> są to wskaźniki powiązane bezpośrednio z wydatkami ponoszonymi w projekcie</w:t>
      </w:r>
      <w:r w:rsidRPr="008A09D1">
        <w:rPr>
          <w:rFonts w:asciiTheme="minorHAnsi" w:hAnsiTheme="minorHAnsi" w:cs="Arial"/>
          <w:color w:val="000000"/>
        </w:rPr>
        <w:t xml:space="preserve">, mierzone konkretnymi wielkościami. Liczone są w jednostkach fizycznych </w:t>
      </w:r>
      <w:r>
        <w:rPr>
          <w:rFonts w:asciiTheme="minorHAnsi" w:hAnsiTheme="minorHAnsi" w:cs="Arial"/>
          <w:color w:val="000000"/>
        </w:rPr>
        <w:t>lub monetarnych. Wybrane przez w</w:t>
      </w:r>
      <w:r w:rsidRPr="008A09D1">
        <w:rPr>
          <w:rFonts w:asciiTheme="minorHAnsi" w:hAnsiTheme="minorHAnsi" w:cs="Arial"/>
          <w:color w:val="000000"/>
        </w:rPr>
        <w:t>nioskodawcę wskaźniki muszą być adekwatne do zakresu projektu oraz mają być powiązane z</w:t>
      </w:r>
      <w:r>
        <w:rPr>
          <w:rFonts w:asciiTheme="minorHAnsi" w:hAnsiTheme="minorHAnsi" w:cs="Arial"/>
          <w:color w:val="000000"/>
        </w:rPr>
        <w:t> </w:t>
      </w:r>
      <w:r w:rsidRPr="008A09D1">
        <w:rPr>
          <w:rFonts w:asciiTheme="minorHAnsi" w:hAnsiTheme="minorHAnsi" w:cs="Arial"/>
          <w:color w:val="000000"/>
        </w:rPr>
        <w:t>głównymi kategoriami wydatków w projekcie.</w:t>
      </w:r>
    </w:p>
    <w:p w:rsidR="00DF6D97" w:rsidRDefault="00DF6D97" w:rsidP="00DF6D9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 w:rsidRPr="00911273">
        <w:rPr>
          <w:rFonts w:asciiTheme="minorHAnsi" w:hAnsiTheme="minorHAnsi"/>
          <w:szCs w:val="22"/>
        </w:rPr>
        <w:t>W ramach Działania 4.</w:t>
      </w:r>
      <w:r w:rsidR="000B7AC3">
        <w:rPr>
          <w:rFonts w:asciiTheme="minorHAnsi" w:hAnsiTheme="minorHAnsi"/>
          <w:szCs w:val="22"/>
        </w:rPr>
        <w:t>5</w:t>
      </w:r>
      <w:r w:rsidRPr="00911273">
        <w:rPr>
          <w:rFonts w:asciiTheme="minorHAnsi" w:hAnsiTheme="minorHAnsi"/>
          <w:szCs w:val="22"/>
        </w:rPr>
        <w:t xml:space="preserve"> określono poniższe wskaźniki </w:t>
      </w:r>
      <w:r w:rsidRPr="008A09D1">
        <w:rPr>
          <w:rFonts w:asciiTheme="minorHAnsi" w:hAnsiTheme="minorHAnsi"/>
          <w:b/>
          <w:szCs w:val="22"/>
        </w:rPr>
        <w:t>produktu:</w:t>
      </w:r>
    </w:p>
    <w:tbl>
      <w:tblPr>
        <w:tblW w:w="5000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849"/>
        <w:gridCol w:w="4681"/>
        <w:gridCol w:w="1521"/>
      </w:tblGrid>
      <w:tr w:rsidR="00370466" w:rsidRPr="00911273" w:rsidTr="007E2D2C">
        <w:trPr>
          <w:cantSplit/>
          <w:trHeight w:val="20"/>
          <w:jc w:val="center"/>
        </w:trPr>
        <w:tc>
          <w:tcPr>
            <w:tcW w:w="1204" w:type="pct"/>
            <w:shd w:val="clear" w:color="auto" w:fill="auto"/>
            <w:vAlign w:val="center"/>
          </w:tcPr>
          <w:p w:rsidR="005657D8" w:rsidRPr="00911273" w:rsidRDefault="005657D8" w:rsidP="007E2D2C">
            <w:pPr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911273">
              <w:rPr>
                <w:rFonts w:asciiTheme="minorHAnsi" w:hAnsiTheme="minorHAnsi"/>
                <w:b/>
                <w:szCs w:val="22"/>
              </w:rPr>
              <w:lastRenderedPageBreak/>
              <w:t>Nazwa wskaźnika produktu</w:t>
            </w:r>
          </w:p>
        </w:tc>
        <w:tc>
          <w:tcPr>
            <w:tcW w:w="457" w:type="pct"/>
            <w:vAlign w:val="center"/>
          </w:tcPr>
          <w:p w:rsidR="005657D8" w:rsidRPr="00911273" w:rsidRDefault="005657D8" w:rsidP="007E2D2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911273">
              <w:rPr>
                <w:rFonts w:asciiTheme="minorHAnsi" w:hAnsiTheme="minorHAnsi"/>
                <w:b/>
                <w:bCs/>
                <w:szCs w:val="22"/>
              </w:rPr>
              <w:t>Jedn</w:t>
            </w:r>
            <w:r w:rsidR="00FD702E">
              <w:rPr>
                <w:rFonts w:asciiTheme="minorHAnsi" w:hAnsiTheme="minorHAnsi"/>
                <w:b/>
                <w:bCs/>
                <w:szCs w:val="22"/>
              </w:rPr>
              <w:t>.</w:t>
            </w:r>
            <w:r w:rsidRPr="00911273">
              <w:rPr>
                <w:rFonts w:asciiTheme="minorHAnsi" w:hAnsiTheme="minorHAnsi"/>
                <w:b/>
                <w:bCs/>
                <w:szCs w:val="22"/>
              </w:rPr>
              <w:t xml:space="preserve"> miary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5657D8" w:rsidRPr="00911273" w:rsidRDefault="005657D8" w:rsidP="007E2D2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911273">
              <w:rPr>
                <w:rFonts w:asciiTheme="minorHAnsi" w:hAnsiTheme="minorHAnsi"/>
                <w:b/>
                <w:bCs/>
                <w:szCs w:val="22"/>
              </w:rPr>
              <w:t>Definicja wskaźnika</w:t>
            </w:r>
          </w:p>
        </w:tc>
        <w:tc>
          <w:tcPr>
            <w:tcW w:w="819" w:type="pct"/>
            <w:vAlign w:val="center"/>
          </w:tcPr>
          <w:p w:rsidR="005657D8" w:rsidRPr="00911273" w:rsidRDefault="005657D8" w:rsidP="007E2D2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Rodzaj dokumentu, w</w:t>
            </w:r>
            <w:r w:rsidR="007E025A">
              <w:rPr>
                <w:rFonts w:asciiTheme="minorHAnsi" w:hAnsiTheme="minorHAnsi"/>
                <w:b/>
                <w:bCs/>
                <w:szCs w:val="22"/>
              </w:rPr>
              <w:t> </w:t>
            </w:r>
            <w:r>
              <w:rPr>
                <w:rFonts w:asciiTheme="minorHAnsi" w:hAnsiTheme="minorHAnsi"/>
                <w:b/>
                <w:bCs/>
                <w:szCs w:val="22"/>
              </w:rPr>
              <w:t>którym określono wskaźnik</w:t>
            </w:r>
          </w:p>
        </w:tc>
      </w:tr>
      <w:tr w:rsidR="00370466" w:rsidRPr="00911273" w:rsidTr="007E2D2C">
        <w:trPr>
          <w:cantSplit/>
          <w:trHeight w:val="20"/>
          <w:jc w:val="center"/>
        </w:trPr>
        <w:tc>
          <w:tcPr>
            <w:tcW w:w="1204" w:type="pct"/>
            <w:shd w:val="clear" w:color="auto" w:fill="auto"/>
          </w:tcPr>
          <w:p w:rsidR="00A25539" w:rsidRPr="00A25539" w:rsidRDefault="00A25539" w:rsidP="00AF1D78">
            <w:p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ArialNarrow"/>
                <w:szCs w:val="22"/>
              </w:rPr>
            </w:pPr>
            <w:r w:rsidRPr="00A25539">
              <w:rPr>
                <w:rFonts w:asciiTheme="minorHAnsi" w:hAnsiTheme="minorHAnsi" w:cs="Calibri"/>
                <w:szCs w:val="22"/>
              </w:rPr>
              <w:t xml:space="preserve">Pojemność obiektów małej retencji </w:t>
            </w:r>
          </w:p>
          <w:p w:rsidR="005657D8" w:rsidRPr="00A25539" w:rsidRDefault="005657D8" w:rsidP="00AF1D78">
            <w:pPr>
              <w:spacing w:before="0" w:after="6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7" w:type="pct"/>
          </w:tcPr>
          <w:p w:rsidR="005657D8" w:rsidRPr="00A25539" w:rsidRDefault="00A25539" w:rsidP="007E2D2C">
            <w:pPr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A25539">
              <w:rPr>
                <w:rFonts w:asciiTheme="minorHAnsi" w:hAnsiTheme="minorHAnsi" w:cs="Calibri"/>
                <w:szCs w:val="22"/>
              </w:rPr>
              <w:t>m</w:t>
            </w:r>
            <w:r w:rsidRPr="007E2D2C">
              <w:rPr>
                <w:rFonts w:asciiTheme="minorHAnsi" w:hAnsiTheme="minorHAnsi" w:cs="Calibri"/>
                <w:szCs w:val="22"/>
                <w:vertAlign w:val="superscript"/>
              </w:rPr>
              <w:t>3</w:t>
            </w:r>
          </w:p>
        </w:tc>
        <w:tc>
          <w:tcPr>
            <w:tcW w:w="2520" w:type="pct"/>
            <w:shd w:val="clear" w:color="auto" w:fill="auto"/>
          </w:tcPr>
          <w:p w:rsidR="00A25539" w:rsidRPr="00A25539" w:rsidRDefault="00A25539" w:rsidP="007E2D2C">
            <w:pPr>
              <w:spacing w:before="0" w:line="240" w:lineRule="auto"/>
              <w:rPr>
                <w:rFonts w:asciiTheme="minorHAnsi" w:hAnsiTheme="minorHAnsi" w:cs="Helv"/>
                <w:szCs w:val="22"/>
              </w:rPr>
            </w:pPr>
            <w:r w:rsidRPr="00A25539">
              <w:rPr>
                <w:rFonts w:asciiTheme="minorHAnsi" w:hAnsiTheme="minorHAnsi"/>
                <w:szCs w:val="22"/>
              </w:rPr>
              <w:t xml:space="preserve">Możliwa do uzyskania pojemność retencjonowania wody w wyniku budowy lub przebudowy obiektów małej retencji. Obiekty małej retencji </w:t>
            </w:r>
            <w:r w:rsidRPr="00A25539">
              <w:rPr>
                <w:rFonts w:asciiTheme="minorHAnsi" w:hAnsiTheme="minorHAnsi" w:cs="Helv"/>
                <w:szCs w:val="22"/>
              </w:rPr>
              <w:t>to   budowle i urządzenia służące zatrzymaniu jak największej ilości wody w jej powierzchniowym i przypowierzchniowym obiegu. Są to:</w:t>
            </w:r>
          </w:p>
          <w:p w:rsidR="00A25539" w:rsidRPr="00A25539" w:rsidRDefault="00A25539" w:rsidP="007E2D2C">
            <w:pPr>
              <w:numPr>
                <w:ilvl w:val="0"/>
                <w:numId w:val="9"/>
              </w:numPr>
              <w:spacing w:before="0" w:line="240" w:lineRule="auto"/>
              <w:contextualSpacing/>
              <w:rPr>
                <w:rFonts w:asciiTheme="minorHAnsi" w:hAnsiTheme="minorHAnsi" w:cs="Helv"/>
                <w:szCs w:val="22"/>
              </w:rPr>
            </w:pPr>
            <w:r w:rsidRPr="00A25539">
              <w:rPr>
                <w:rFonts w:asciiTheme="minorHAnsi" w:hAnsiTheme="minorHAnsi" w:cs="Helv"/>
                <w:szCs w:val="22"/>
              </w:rPr>
              <w:t>sztuczne zbiorniki wodne o pojemności do 5 mln metrów3;</w:t>
            </w:r>
          </w:p>
          <w:p w:rsidR="00A25539" w:rsidRPr="00A25539" w:rsidRDefault="00A25539" w:rsidP="007E2D2C">
            <w:pPr>
              <w:numPr>
                <w:ilvl w:val="0"/>
                <w:numId w:val="9"/>
              </w:numPr>
              <w:spacing w:before="0" w:line="240" w:lineRule="auto"/>
              <w:contextualSpacing/>
              <w:rPr>
                <w:rFonts w:asciiTheme="minorHAnsi" w:hAnsiTheme="minorHAnsi" w:cs="Helv"/>
                <w:szCs w:val="22"/>
              </w:rPr>
            </w:pPr>
            <w:r w:rsidRPr="00A25539">
              <w:rPr>
                <w:rFonts w:asciiTheme="minorHAnsi" w:hAnsiTheme="minorHAnsi" w:cs="Helv"/>
                <w:szCs w:val="22"/>
              </w:rPr>
              <w:t>samodzielne budowle piętrzące i ujęcia wody;</w:t>
            </w:r>
          </w:p>
          <w:p w:rsidR="00A25539" w:rsidRPr="00A25539" w:rsidRDefault="00A25539" w:rsidP="007E2D2C">
            <w:pPr>
              <w:numPr>
                <w:ilvl w:val="0"/>
                <w:numId w:val="9"/>
              </w:numPr>
              <w:spacing w:before="0" w:line="240" w:lineRule="auto"/>
              <w:contextualSpacing/>
              <w:rPr>
                <w:rFonts w:asciiTheme="minorHAnsi" w:hAnsiTheme="minorHAnsi" w:cs="Helv"/>
                <w:szCs w:val="22"/>
              </w:rPr>
            </w:pPr>
            <w:r w:rsidRPr="00A25539">
              <w:rPr>
                <w:rFonts w:asciiTheme="minorHAnsi" w:hAnsiTheme="minorHAnsi" w:cs="Helv"/>
                <w:szCs w:val="22"/>
              </w:rPr>
              <w:t>stawy rybne;</w:t>
            </w:r>
          </w:p>
          <w:p w:rsidR="00A25539" w:rsidRPr="00A25539" w:rsidRDefault="00A25539" w:rsidP="007E2D2C">
            <w:pPr>
              <w:numPr>
                <w:ilvl w:val="0"/>
                <w:numId w:val="9"/>
              </w:numPr>
              <w:spacing w:before="0" w:line="240" w:lineRule="auto"/>
              <w:contextualSpacing/>
              <w:rPr>
                <w:rFonts w:asciiTheme="minorHAnsi" w:hAnsiTheme="minorHAnsi" w:cs="Helv"/>
                <w:szCs w:val="22"/>
              </w:rPr>
            </w:pPr>
            <w:r w:rsidRPr="00A25539">
              <w:rPr>
                <w:rFonts w:asciiTheme="minorHAnsi" w:hAnsiTheme="minorHAnsi" w:cs="Helv"/>
                <w:szCs w:val="22"/>
              </w:rPr>
              <w:t>inne budowle piętrzące lub transportujące wodę.</w:t>
            </w:r>
          </w:p>
          <w:p w:rsidR="005657D8" w:rsidRPr="00A25539" w:rsidRDefault="005657D8" w:rsidP="007E2D2C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819" w:type="pct"/>
          </w:tcPr>
          <w:p w:rsidR="005657D8" w:rsidRPr="00A25539" w:rsidRDefault="00A25539" w:rsidP="00FD702E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A25539">
              <w:rPr>
                <w:rFonts w:asciiTheme="minorHAnsi" w:hAnsiTheme="minorHAnsi"/>
                <w:szCs w:val="22"/>
              </w:rPr>
              <w:t>RPO WD 2014-2020</w:t>
            </w:r>
          </w:p>
        </w:tc>
      </w:tr>
      <w:tr w:rsidR="0083716C" w:rsidRPr="0083716C" w:rsidTr="007E2D2C">
        <w:trPr>
          <w:trHeight w:val="20"/>
          <w:jc w:val="center"/>
        </w:trPr>
        <w:tc>
          <w:tcPr>
            <w:tcW w:w="1204" w:type="pct"/>
            <w:shd w:val="clear" w:color="auto" w:fill="auto"/>
          </w:tcPr>
          <w:p w:rsidR="00A25539" w:rsidRPr="00A25539" w:rsidRDefault="00A25539" w:rsidP="00A25539">
            <w:p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ArialNarrow"/>
                <w:szCs w:val="22"/>
              </w:rPr>
            </w:pPr>
            <w:r w:rsidRPr="00A25539">
              <w:rPr>
                <w:rFonts w:asciiTheme="minorHAnsi" w:hAnsiTheme="minorHAnsi" w:cs="ArialNarrow"/>
                <w:szCs w:val="22"/>
              </w:rPr>
              <w:t xml:space="preserve">Liczba wybudowanych urządzeń dla celów ochrony przeciwpowodziowej </w:t>
            </w:r>
          </w:p>
          <w:p w:rsidR="005657D8" w:rsidRPr="00A25539" w:rsidRDefault="005657D8" w:rsidP="00A25539">
            <w:pPr>
              <w:pStyle w:val="Akapitzlist"/>
              <w:autoSpaceDE w:val="0"/>
              <w:autoSpaceDN w:val="0"/>
              <w:adjustRightInd w:val="0"/>
              <w:spacing w:before="0" w:line="240" w:lineRule="auto"/>
              <w:ind w:left="365"/>
              <w:contextualSpacing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7" w:type="pct"/>
          </w:tcPr>
          <w:p w:rsidR="005657D8" w:rsidRPr="00A25539" w:rsidRDefault="00BA2582" w:rsidP="007E2D2C">
            <w:pPr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5539" w:rsidRPr="00A25539">
              <w:rPr>
                <w:rFonts w:asciiTheme="minorHAnsi" w:hAnsiTheme="minorHAnsi"/>
                <w:szCs w:val="22"/>
              </w:rPr>
              <w:t>zt</w:t>
            </w:r>
            <w:r w:rsidR="00A25539" w:rsidRPr="00A25539">
              <w:rPr>
                <w:rFonts w:asciiTheme="minorHAnsi" w:hAnsiTheme="minorHAnsi" w:cs="ArialNarrow"/>
                <w:szCs w:val="22"/>
              </w:rPr>
              <w:t>.</w:t>
            </w:r>
          </w:p>
        </w:tc>
        <w:tc>
          <w:tcPr>
            <w:tcW w:w="2520" w:type="pct"/>
            <w:shd w:val="clear" w:color="auto" w:fill="auto"/>
          </w:tcPr>
          <w:p w:rsidR="005657D8" w:rsidRDefault="00A25539" w:rsidP="007E2D2C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A25539">
              <w:rPr>
                <w:rFonts w:asciiTheme="minorHAnsi" w:hAnsiTheme="minorHAnsi"/>
                <w:szCs w:val="22"/>
              </w:rPr>
              <w:t>Liczba urządzeń ochrony przeciwpowodziowej, które zostały wybudowane, w ramach dofinansowanego projektu</w:t>
            </w:r>
            <w:r>
              <w:rPr>
                <w:rFonts w:asciiTheme="minorHAnsi" w:hAnsiTheme="minorHAnsi"/>
                <w:szCs w:val="22"/>
              </w:rPr>
              <w:t>.</w:t>
            </w:r>
          </w:p>
          <w:p w:rsidR="00BD1CC9" w:rsidRDefault="00BD1CC9" w:rsidP="007E2D2C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</w:p>
          <w:p w:rsidR="00BD1CC9" w:rsidRPr="00BD1CC9" w:rsidRDefault="00BD1CC9" w:rsidP="007E2D2C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Przez wybudowanie rozumie się definicję zawartą w art. 3 pkt 6 ustawy </w:t>
            </w:r>
            <w:r w:rsidRPr="00BD1CC9">
              <w:rPr>
                <w:rFonts w:asciiTheme="minorHAnsi" w:hAnsiTheme="minorHAnsi"/>
                <w:szCs w:val="22"/>
              </w:rPr>
              <w:t>z dnia 7 lipca 1994 r.</w:t>
            </w:r>
          </w:p>
          <w:p w:rsidR="00BD1CC9" w:rsidRPr="00A25539" w:rsidRDefault="00BD1CC9" w:rsidP="007E2D2C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BD1CC9">
              <w:rPr>
                <w:rFonts w:asciiTheme="minorHAnsi" w:hAnsiTheme="minorHAnsi"/>
                <w:szCs w:val="22"/>
              </w:rPr>
              <w:t>Prawo budowlane</w:t>
            </w:r>
            <w:r>
              <w:rPr>
                <w:rFonts w:asciiTheme="minorHAnsi" w:hAnsiTheme="minorHAnsi"/>
                <w:szCs w:val="22"/>
              </w:rPr>
              <w:t xml:space="preserve"> (tekst jednolity: </w:t>
            </w:r>
            <w:r w:rsidRPr="00BD1CC9">
              <w:rPr>
                <w:rFonts w:asciiTheme="minorHAnsi" w:hAnsiTheme="minorHAnsi"/>
                <w:szCs w:val="22"/>
              </w:rPr>
              <w:t>Dz.U.</w:t>
            </w:r>
            <w:r>
              <w:rPr>
                <w:rFonts w:asciiTheme="minorHAnsi" w:hAnsiTheme="minorHAnsi"/>
                <w:szCs w:val="22"/>
              </w:rPr>
              <w:t xml:space="preserve"> z </w:t>
            </w:r>
            <w:r w:rsidRPr="00BD1CC9">
              <w:rPr>
                <w:rFonts w:asciiTheme="minorHAnsi" w:hAnsiTheme="minorHAnsi"/>
                <w:szCs w:val="22"/>
              </w:rPr>
              <w:t>2018</w:t>
            </w:r>
            <w:r>
              <w:rPr>
                <w:rFonts w:asciiTheme="minorHAnsi" w:hAnsiTheme="minorHAnsi"/>
                <w:szCs w:val="22"/>
              </w:rPr>
              <w:t xml:space="preserve"> r</w:t>
            </w:r>
            <w:r w:rsidRPr="00BD1CC9">
              <w:rPr>
                <w:rFonts w:asciiTheme="minorHAnsi" w:hAnsiTheme="minorHAnsi"/>
                <w:szCs w:val="22"/>
              </w:rPr>
              <w:t>.</w:t>
            </w:r>
            <w:r>
              <w:rPr>
                <w:rFonts w:asciiTheme="minorHAnsi" w:hAnsiTheme="minorHAnsi"/>
                <w:szCs w:val="22"/>
              </w:rPr>
              <w:t xml:space="preserve"> poz. </w:t>
            </w:r>
            <w:r w:rsidRPr="00BD1CC9">
              <w:rPr>
                <w:rFonts w:asciiTheme="minorHAnsi" w:hAnsiTheme="minorHAnsi"/>
                <w:szCs w:val="22"/>
              </w:rPr>
              <w:t>1202</w:t>
            </w:r>
            <w:r>
              <w:rPr>
                <w:rFonts w:asciiTheme="minorHAnsi" w:hAnsiTheme="minorHAnsi"/>
                <w:szCs w:val="22"/>
              </w:rPr>
              <w:t xml:space="preserve">, z </w:t>
            </w:r>
            <w:proofErr w:type="spellStart"/>
            <w:r>
              <w:rPr>
                <w:rFonts w:asciiTheme="minorHAnsi" w:hAnsiTheme="minorHAnsi"/>
                <w:szCs w:val="22"/>
              </w:rPr>
              <w:t>późn</w:t>
            </w:r>
            <w:proofErr w:type="spellEnd"/>
            <w:r>
              <w:rPr>
                <w:rFonts w:asciiTheme="minorHAnsi" w:hAnsiTheme="minorHAnsi"/>
                <w:szCs w:val="22"/>
              </w:rPr>
              <w:t>. zm.).</w:t>
            </w:r>
          </w:p>
        </w:tc>
        <w:tc>
          <w:tcPr>
            <w:tcW w:w="819" w:type="pct"/>
          </w:tcPr>
          <w:p w:rsidR="005657D8" w:rsidRPr="00A25539" w:rsidRDefault="00965BB1" w:rsidP="00FD702E">
            <w:pPr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A25539">
              <w:rPr>
                <w:rFonts w:asciiTheme="minorHAnsi" w:hAnsiTheme="minorHAnsi"/>
                <w:szCs w:val="22"/>
              </w:rPr>
              <w:t>SZOOP</w:t>
            </w:r>
          </w:p>
        </w:tc>
      </w:tr>
      <w:tr w:rsidR="00A25539" w:rsidRPr="00911273" w:rsidTr="007E2D2C">
        <w:trPr>
          <w:trHeight w:val="20"/>
          <w:jc w:val="center"/>
        </w:trPr>
        <w:tc>
          <w:tcPr>
            <w:tcW w:w="1204" w:type="pct"/>
            <w:shd w:val="clear" w:color="auto" w:fill="auto"/>
            <w:vAlign w:val="center"/>
          </w:tcPr>
          <w:p w:rsidR="00A25539" w:rsidRPr="00A25539" w:rsidRDefault="00A25539" w:rsidP="00A25539">
            <w:p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ArialNarrow"/>
                <w:szCs w:val="22"/>
              </w:rPr>
            </w:pPr>
            <w:r w:rsidRPr="00A25539">
              <w:rPr>
                <w:rFonts w:asciiTheme="minorHAnsi" w:hAnsiTheme="minorHAnsi" w:cs="ArialNarrow"/>
                <w:szCs w:val="22"/>
              </w:rPr>
              <w:t xml:space="preserve">Liczba przebudowanych urządzeń dla celów ochrony przeciwpowodziowej </w:t>
            </w:r>
          </w:p>
          <w:p w:rsidR="00A25539" w:rsidRPr="00A25539" w:rsidRDefault="00A25539" w:rsidP="007650AC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457" w:type="pct"/>
          </w:tcPr>
          <w:p w:rsidR="00A25539" w:rsidRPr="00A25539" w:rsidRDefault="00BA2582" w:rsidP="007E2D2C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25539" w:rsidRPr="00A25539">
              <w:rPr>
                <w:rFonts w:asciiTheme="minorHAnsi" w:hAnsiTheme="minorHAnsi"/>
                <w:szCs w:val="22"/>
              </w:rPr>
              <w:t>zt</w:t>
            </w:r>
            <w:r w:rsidR="00A25539" w:rsidRPr="00A25539">
              <w:rPr>
                <w:rFonts w:asciiTheme="minorHAnsi" w:hAnsiTheme="minorHAnsi" w:cs="ArialNarrow"/>
                <w:szCs w:val="22"/>
              </w:rPr>
              <w:t>.</w:t>
            </w:r>
          </w:p>
        </w:tc>
        <w:tc>
          <w:tcPr>
            <w:tcW w:w="2520" w:type="pct"/>
            <w:shd w:val="clear" w:color="auto" w:fill="auto"/>
          </w:tcPr>
          <w:p w:rsidR="00A25539" w:rsidRDefault="00A25539" w:rsidP="007E2D2C">
            <w:pPr>
              <w:spacing w:before="0" w:line="240" w:lineRule="auto"/>
              <w:rPr>
                <w:rFonts w:asciiTheme="minorHAnsi" w:hAnsiTheme="minorHAnsi" w:cs="Helv"/>
                <w:szCs w:val="22"/>
              </w:rPr>
            </w:pPr>
            <w:r w:rsidRPr="00A25539">
              <w:rPr>
                <w:rFonts w:asciiTheme="minorHAnsi" w:hAnsiTheme="minorHAnsi"/>
                <w:szCs w:val="22"/>
              </w:rPr>
              <w:t xml:space="preserve">Liczba urządzeń ochrony przeciwpowodziowej, które zostały przebudowane w ramach dofinansowanego projektu. </w:t>
            </w:r>
            <w:r w:rsidRPr="00A25539">
              <w:rPr>
                <w:rFonts w:asciiTheme="minorHAnsi" w:hAnsiTheme="minorHAnsi" w:cs="Helv"/>
                <w:szCs w:val="22"/>
              </w:rPr>
              <w:t xml:space="preserve"> </w:t>
            </w:r>
          </w:p>
          <w:p w:rsidR="00BD1CC9" w:rsidRDefault="00BD1CC9" w:rsidP="007E2D2C">
            <w:pPr>
              <w:spacing w:before="0" w:line="240" w:lineRule="auto"/>
              <w:rPr>
                <w:rFonts w:asciiTheme="minorHAnsi" w:hAnsiTheme="minorHAnsi" w:cs="Helv"/>
                <w:szCs w:val="22"/>
              </w:rPr>
            </w:pPr>
          </w:p>
          <w:p w:rsidR="00BD1CC9" w:rsidRPr="00BD1CC9" w:rsidRDefault="00BD1CC9" w:rsidP="007E2D2C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Przez przebudowę rozumie się definicję zawartą w art. 3 pkt 7a ustawy </w:t>
            </w:r>
            <w:r w:rsidRPr="00BD1CC9">
              <w:rPr>
                <w:rFonts w:asciiTheme="minorHAnsi" w:hAnsiTheme="minorHAnsi"/>
                <w:szCs w:val="22"/>
              </w:rPr>
              <w:t>z dnia 7 lipca 1994 r.</w:t>
            </w:r>
          </w:p>
          <w:p w:rsidR="00BD1CC9" w:rsidRPr="00A25539" w:rsidRDefault="00BD1CC9" w:rsidP="007E2D2C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BD1CC9">
              <w:rPr>
                <w:rFonts w:asciiTheme="minorHAnsi" w:hAnsiTheme="minorHAnsi"/>
                <w:szCs w:val="22"/>
              </w:rPr>
              <w:t>Prawo budowlane</w:t>
            </w:r>
            <w:r>
              <w:rPr>
                <w:rFonts w:asciiTheme="minorHAnsi" w:hAnsiTheme="minorHAnsi"/>
                <w:szCs w:val="22"/>
              </w:rPr>
              <w:t xml:space="preserve"> (tekst jednolity: </w:t>
            </w:r>
            <w:r w:rsidRPr="00BD1CC9">
              <w:rPr>
                <w:rFonts w:asciiTheme="minorHAnsi" w:hAnsiTheme="minorHAnsi"/>
                <w:szCs w:val="22"/>
              </w:rPr>
              <w:t>Dz.U.</w:t>
            </w:r>
            <w:r>
              <w:rPr>
                <w:rFonts w:asciiTheme="minorHAnsi" w:hAnsiTheme="minorHAnsi"/>
                <w:szCs w:val="22"/>
              </w:rPr>
              <w:t xml:space="preserve"> z </w:t>
            </w:r>
            <w:r w:rsidRPr="00BD1CC9">
              <w:rPr>
                <w:rFonts w:asciiTheme="minorHAnsi" w:hAnsiTheme="minorHAnsi"/>
                <w:szCs w:val="22"/>
              </w:rPr>
              <w:t>2018</w:t>
            </w:r>
            <w:r>
              <w:rPr>
                <w:rFonts w:asciiTheme="minorHAnsi" w:hAnsiTheme="minorHAnsi"/>
                <w:szCs w:val="22"/>
              </w:rPr>
              <w:t xml:space="preserve"> r</w:t>
            </w:r>
            <w:r w:rsidRPr="00BD1CC9">
              <w:rPr>
                <w:rFonts w:asciiTheme="minorHAnsi" w:hAnsiTheme="minorHAnsi"/>
                <w:szCs w:val="22"/>
              </w:rPr>
              <w:t>.</w:t>
            </w:r>
            <w:r>
              <w:rPr>
                <w:rFonts w:asciiTheme="minorHAnsi" w:hAnsiTheme="minorHAnsi"/>
                <w:szCs w:val="22"/>
              </w:rPr>
              <w:t xml:space="preserve"> poz. </w:t>
            </w:r>
            <w:r w:rsidRPr="00BD1CC9">
              <w:rPr>
                <w:rFonts w:asciiTheme="minorHAnsi" w:hAnsiTheme="minorHAnsi"/>
                <w:szCs w:val="22"/>
              </w:rPr>
              <w:t>1202</w:t>
            </w:r>
            <w:r>
              <w:rPr>
                <w:rFonts w:asciiTheme="minorHAnsi" w:hAnsiTheme="minorHAnsi"/>
                <w:szCs w:val="22"/>
              </w:rPr>
              <w:t xml:space="preserve">, z </w:t>
            </w:r>
            <w:proofErr w:type="spellStart"/>
            <w:r>
              <w:rPr>
                <w:rFonts w:asciiTheme="minorHAnsi" w:hAnsiTheme="minorHAnsi"/>
                <w:szCs w:val="22"/>
              </w:rPr>
              <w:t>późn</w:t>
            </w:r>
            <w:proofErr w:type="spellEnd"/>
            <w:r>
              <w:rPr>
                <w:rFonts w:asciiTheme="minorHAnsi" w:hAnsiTheme="minorHAnsi"/>
                <w:szCs w:val="22"/>
              </w:rPr>
              <w:t>. zm.).</w:t>
            </w:r>
          </w:p>
        </w:tc>
        <w:tc>
          <w:tcPr>
            <w:tcW w:w="819" w:type="pct"/>
          </w:tcPr>
          <w:p w:rsidR="00A25539" w:rsidRPr="00A25539" w:rsidRDefault="00A25539" w:rsidP="00FD702E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25539">
              <w:rPr>
                <w:rFonts w:asciiTheme="minorHAnsi" w:hAnsiTheme="minorHAnsi"/>
                <w:szCs w:val="22"/>
              </w:rPr>
              <w:t>SZOOP</w:t>
            </w:r>
          </w:p>
        </w:tc>
      </w:tr>
      <w:tr w:rsidR="00704612" w:rsidRPr="00911273" w:rsidTr="007E2D2C">
        <w:trPr>
          <w:trHeight w:val="20"/>
          <w:jc w:val="center"/>
        </w:trPr>
        <w:tc>
          <w:tcPr>
            <w:tcW w:w="1204" w:type="pct"/>
            <w:shd w:val="clear" w:color="auto" w:fill="auto"/>
          </w:tcPr>
          <w:p w:rsidR="00704612" w:rsidRPr="00604576" w:rsidRDefault="00704612" w:rsidP="00AF1D78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Liczba obiektów dostosowanych do potrzeb osób z niepełnosprawnościami</w:t>
            </w:r>
          </w:p>
        </w:tc>
        <w:tc>
          <w:tcPr>
            <w:tcW w:w="457" w:type="pct"/>
          </w:tcPr>
          <w:p w:rsidR="00704612" w:rsidRPr="00604576" w:rsidRDefault="00704612" w:rsidP="007E2D2C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szt.</w:t>
            </w:r>
          </w:p>
        </w:tc>
        <w:tc>
          <w:tcPr>
            <w:tcW w:w="2520" w:type="pct"/>
            <w:shd w:val="clear" w:color="auto" w:fill="auto"/>
          </w:tcPr>
          <w:p w:rsidR="00704612" w:rsidRPr="00604576" w:rsidRDefault="00704612" w:rsidP="007E2D2C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Wskaźnik odnosi się do liczby obiektów, które zaopatrzono w specjalne podjazdy, windy, urządzenia głośnomówiące, bądź inne </w:t>
            </w: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 rozwiązania umożliwiające dostęp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(tj. usunięcie barier w dostępie, w szczególności barier architektonicznych) do tych obiektów i poruszanie się po nich osobom niepełnosprawnym ruchowo czy sensorycznie.</w:t>
            </w:r>
          </w:p>
          <w:p w:rsidR="00704612" w:rsidRPr="00604576" w:rsidRDefault="00704612" w:rsidP="007E2D2C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Jako obiekty budowlane należy rozumieć konstrukcje połączone z gruntem w sposób trwały, wykonane z materiałów budowlanych i elementów składowych, będące wynikiem prac budowlanych (wg. def. PKOB).</w:t>
            </w:r>
          </w:p>
          <w:p w:rsidR="00704612" w:rsidRPr="00604576" w:rsidRDefault="00704612" w:rsidP="007E2D2C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Należy podać liczbę </w:t>
            </w: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t>wspartych lub zaopatrzonych w sprzęt obiektów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, a nie liczbę sprzętów,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lastRenderedPageBreak/>
              <w:t>urządzeń itp., w które obiekty zaopatrzono.</w:t>
            </w:r>
          </w:p>
          <w:p w:rsidR="00704612" w:rsidRPr="00604576" w:rsidRDefault="00704612" w:rsidP="007E2D2C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Jeśli instytucja, zakład itp. składa się z kilku obiektów, należy zliczyć wszystkie, które dostosowano do potrzeb osób niepełnosprawnych.</w:t>
            </w:r>
          </w:p>
        </w:tc>
        <w:tc>
          <w:tcPr>
            <w:tcW w:w="819" w:type="pct"/>
          </w:tcPr>
          <w:p w:rsidR="00704612" w:rsidRPr="00604576" w:rsidRDefault="00704612" w:rsidP="00FD702E">
            <w:pPr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04576">
              <w:rPr>
                <w:rFonts w:asciiTheme="minorHAnsi" w:hAnsiTheme="minorHAnsi"/>
                <w:szCs w:val="22"/>
              </w:rPr>
              <w:lastRenderedPageBreak/>
              <w:t>Horyzontalny</w:t>
            </w:r>
          </w:p>
        </w:tc>
      </w:tr>
      <w:tr w:rsidR="00704612" w:rsidRPr="00911273" w:rsidTr="007E2D2C">
        <w:trPr>
          <w:trHeight w:val="20"/>
          <w:jc w:val="center"/>
        </w:trPr>
        <w:tc>
          <w:tcPr>
            <w:tcW w:w="1204" w:type="pct"/>
            <w:shd w:val="clear" w:color="auto" w:fill="auto"/>
          </w:tcPr>
          <w:p w:rsidR="00704612" w:rsidRPr="00604576" w:rsidRDefault="00704612" w:rsidP="00AF1D78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lastRenderedPageBreak/>
              <w:t>Liczba podmiotów wykorzystujących technologie informacyjno-komunikacyjne (TIK)</w:t>
            </w:r>
          </w:p>
        </w:tc>
        <w:tc>
          <w:tcPr>
            <w:tcW w:w="457" w:type="pct"/>
          </w:tcPr>
          <w:p w:rsidR="00704612" w:rsidRPr="00604576" w:rsidRDefault="00704612" w:rsidP="007E2D2C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szt.</w:t>
            </w:r>
          </w:p>
        </w:tc>
        <w:tc>
          <w:tcPr>
            <w:tcW w:w="2520" w:type="pct"/>
            <w:shd w:val="clear" w:color="auto" w:fill="auto"/>
          </w:tcPr>
          <w:p w:rsidR="00704612" w:rsidRPr="00604576" w:rsidRDefault="00704612" w:rsidP="007E2D2C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Wskaźnik mierzy liczbę podmiotów, które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 xml:space="preserve">w celu realizacji projektu zainwestowały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 xml:space="preserve">w technologie informacyjno-komunikacyjne,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>a w przypadku projektów edukacyjno-szkoleniowych, również podmiotów, które podjęły działania upowszechniające wykorzystanie TIK.</w:t>
            </w:r>
          </w:p>
          <w:p w:rsidR="00704612" w:rsidRPr="00604576" w:rsidRDefault="00704612" w:rsidP="007E2D2C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  <w:p w:rsidR="00704612" w:rsidRPr="00604576" w:rsidRDefault="00704612" w:rsidP="007E2D2C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Przez technologie informacyjno-komunikacyjne (ang. ICT – Information and Communications Technology) należy rozumieć technologie pozyskiwania produkcji, gromadzenia, przechowywania, przesyłania, przetwarzania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 xml:space="preserve">i rozpowszechniania informacji w formie elektronicznej oraz wszelkie działania zawiązane z produkcją i wykorzystaniem urządzeń telekomunikacyjnych i informatycznych oraz usług im towarzyszących działania edukacyjne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>i szkoleniowe.</w:t>
            </w:r>
          </w:p>
          <w:p w:rsidR="00704612" w:rsidRPr="00604576" w:rsidRDefault="00704612" w:rsidP="007E2D2C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  <w:p w:rsidR="00704612" w:rsidRPr="00604576" w:rsidRDefault="00704612" w:rsidP="007E2D2C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Podmiotami realizującymi projekty TIK mogą być m.in. MŚP, duże przedsiębiorstwa, administracja publiczna, w tym jednostki samorządu terytorialnego, NGO, jednostki naukowe, szkoły, które będą wykorzystywać TIK do usprawnienia swojego działania i do prowadzenia relacji z innymi podmiotami.</w:t>
            </w:r>
          </w:p>
          <w:p w:rsidR="00704612" w:rsidRPr="00604576" w:rsidRDefault="00704612" w:rsidP="007E2D2C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  <w:p w:rsidR="00704612" w:rsidRPr="00604576" w:rsidRDefault="00704612" w:rsidP="007E2D2C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W przypadku, gdy beneficjentem pozostaje jeden podmiot, we wskaźniku należy ująć wartość „1”. W przypadku, gdy projekt jest realizowany przez partnerstwo podmiotów,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 xml:space="preserve">w wartości wskaźnika należy ująć każdy </w:t>
            </w: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br/>
              <w:t>z podmiotów wchodzących w skład partnerstwa, który wdrożył w swojej działalności narzędzia TIK.</w:t>
            </w:r>
          </w:p>
        </w:tc>
        <w:tc>
          <w:tcPr>
            <w:tcW w:w="819" w:type="pct"/>
          </w:tcPr>
          <w:p w:rsidR="00704612" w:rsidRPr="00604576" w:rsidRDefault="00704612" w:rsidP="00FD702E">
            <w:pPr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04576">
              <w:rPr>
                <w:rFonts w:asciiTheme="minorHAnsi" w:hAnsiTheme="minorHAnsi"/>
                <w:szCs w:val="22"/>
              </w:rPr>
              <w:t>horyzontalny</w:t>
            </w:r>
          </w:p>
        </w:tc>
      </w:tr>
      <w:tr w:rsidR="00704612" w:rsidRPr="00911273" w:rsidTr="007E2D2C">
        <w:trPr>
          <w:trHeight w:val="20"/>
          <w:jc w:val="center"/>
        </w:trPr>
        <w:tc>
          <w:tcPr>
            <w:tcW w:w="1204" w:type="pct"/>
            <w:shd w:val="clear" w:color="auto" w:fill="auto"/>
          </w:tcPr>
          <w:p w:rsidR="00704612" w:rsidRPr="00604576" w:rsidRDefault="00704612" w:rsidP="002F4663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Liczba osób objętych szkoleniami / doradztwem w zakresie kompetencji cyfrowych O/K/M</w:t>
            </w:r>
          </w:p>
        </w:tc>
        <w:tc>
          <w:tcPr>
            <w:tcW w:w="457" w:type="pct"/>
          </w:tcPr>
          <w:p w:rsidR="00704612" w:rsidRPr="00604576" w:rsidRDefault="00704612" w:rsidP="007E2D2C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os.</w:t>
            </w:r>
          </w:p>
        </w:tc>
        <w:tc>
          <w:tcPr>
            <w:tcW w:w="2520" w:type="pct"/>
            <w:shd w:val="clear" w:color="auto" w:fill="auto"/>
          </w:tcPr>
          <w:p w:rsidR="00704612" w:rsidRPr="00604576" w:rsidRDefault="00704612" w:rsidP="007E2D2C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Wskaźnik mierzy liczbę osób objętych szkoleniami/doradztwem w zakresie nabywania /doskonalenia umiejętności warunkujących efektywne korzystanie z mediów elektronicznych tj. m.in. korzystania z komputera, różnych rodzajów oprogramowania, </w:t>
            </w:r>
            <w:proofErr w:type="spellStart"/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>internetu</w:t>
            </w:r>
            <w:proofErr w:type="spellEnd"/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t xml:space="preserve"> oraz kompetencji ściśle informatycznych (np. programowanie, zarządzanie bazami danych, administracja sieciami, administracja witrynami internetowymi).</w:t>
            </w:r>
          </w:p>
        </w:tc>
        <w:tc>
          <w:tcPr>
            <w:tcW w:w="819" w:type="pct"/>
          </w:tcPr>
          <w:p w:rsidR="00704612" w:rsidRPr="00604576" w:rsidRDefault="00704612" w:rsidP="00FD702E">
            <w:pPr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04576">
              <w:rPr>
                <w:rFonts w:asciiTheme="minorHAnsi" w:hAnsiTheme="minorHAnsi"/>
                <w:szCs w:val="22"/>
              </w:rPr>
              <w:t>Horyzontalny</w:t>
            </w:r>
          </w:p>
        </w:tc>
      </w:tr>
      <w:tr w:rsidR="00704612" w:rsidRPr="00911273" w:rsidTr="007E2D2C">
        <w:trPr>
          <w:trHeight w:val="20"/>
          <w:jc w:val="center"/>
        </w:trPr>
        <w:tc>
          <w:tcPr>
            <w:tcW w:w="1204" w:type="pct"/>
            <w:shd w:val="clear" w:color="auto" w:fill="auto"/>
          </w:tcPr>
          <w:p w:rsidR="00704612" w:rsidRPr="00604576" w:rsidRDefault="00704612" w:rsidP="002F4663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Liczba projektów, w </w:t>
            </w: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lastRenderedPageBreak/>
              <w:t>których sfinansowano koszty racjonalnych usprawnień dla osób z niepełnosprawnościami</w:t>
            </w:r>
          </w:p>
        </w:tc>
        <w:tc>
          <w:tcPr>
            <w:tcW w:w="457" w:type="pct"/>
          </w:tcPr>
          <w:p w:rsidR="00704612" w:rsidRPr="00604576" w:rsidRDefault="00704612" w:rsidP="007E2D2C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2520" w:type="pct"/>
            <w:shd w:val="clear" w:color="auto" w:fill="auto"/>
          </w:tcPr>
          <w:p w:rsidR="00704612" w:rsidRPr="00604576" w:rsidRDefault="00704612" w:rsidP="007E2D2C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Racjonalne usprawnienie oznacza konieczne </w:t>
            </w: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br/>
            </w: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lastRenderedPageBreak/>
              <w:t>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 Wskaźnik mierzony w momencie rozliczenia wydatku związanego z racjonalnymi usprawnieniami.</w:t>
            </w:r>
          </w:p>
          <w:p w:rsidR="00704612" w:rsidRPr="00604576" w:rsidRDefault="00704612" w:rsidP="007E2D2C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t>Przykłady racjonalnych usprawnień: tłumacz języka migowego, transport niskopodłogowy, dostosowanie infrastruktury (nie tylko budynku ale też dostosowanie infrastruktury komputerowej np. programy powiększające, mówiące, drukarki materiałów w alfabecie Braille'a), osoby asystujące, odpowiednie dostosowanie wyżywienia.</w:t>
            </w:r>
          </w:p>
          <w:p w:rsidR="00704612" w:rsidRPr="00604576" w:rsidRDefault="00704612" w:rsidP="007E2D2C">
            <w:pPr>
              <w:spacing w:before="0" w:line="240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Definicja na podstawie </w:t>
            </w:r>
            <w:r w:rsidRPr="00604576">
              <w:rPr>
                <w:rFonts w:asciiTheme="minorHAnsi" w:eastAsiaTheme="minorHAnsi" w:hAnsiTheme="minorHAnsi" w:cs="Arial"/>
                <w:i/>
                <w:iCs/>
                <w:szCs w:val="22"/>
                <w:lang w:eastAsia="en-US"/>
              </w:rPr>
              <w:t xml:space="preserve">Wytycznych w zakresie realizacji zasady równości szans </w:t>
            </w:r>
            <w:r w:rsidRPr="00604576">
              <w:rPr>
                <w:rFonts w:asciiTheme="minorHAnsi" w:eastAsiaTheme="minorHAnsi" w:hAnsiTheme="minorHAnsi" w:cs="Arial"/>
                <w:i/>
                <w:iCs/>
                <w:szCs w:val="22"/>
                <w:lang w:eastAsia="en-US"/>
              </w:rPr>
              <w:br/>
              <w:t>i niedyskryminacji, w tym dostępności dla osób z niepełnosprawnościami oraz równości szans kobiet i mężczyzn w ramach funduszy unijnych na lata 2014-2020</w:t>
            </w:r>
            <w:r w:rsidRPr="00604576">
              <w:rPr>
                <w:rFonts w:asciiTheme="minorHAnsi" w:eastAsiaTheme="minorHAnsi" w:hAnsiTheme="minorHAnsi" w:cs="Arial"/>
                <w:szCs w:val="22"/>
                <w:lang w:eastAsia="en-US"/>
              </w:rPr>
              <w:t>.</w:t>
            </w:r>
          </w:p>
        </w:tc>
        <w:tc>
          <w:tcPr>
            <w:tcW w:w="819" w:type="pct"/>
          </w:tcPr>
          <w:p w:rsidR="00704612" w:rsidRPr="00604576" w:rsidRDefault="00704612" w:rsidP="00FD702E">
            <w:pPr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04576">
              <w:rPr>
                <w:rFonts w:asciiTheme="minorHAnsi" w:hAnsiTheme="minorHAnsi"/>
                <w:szCs w:val="22"/>
              </w:rPr>
              <w:lastRenderedPageBreak/>
              <w:t>Horyzontalny</w:t>
            </w:r>
          </w:p>
        </w:tc>
      </w:tr>
    </w:tbl>
    <w:p w:rsidR="00DF6D97" w:rsidRDefault="00DF6D97" w:rsidP="007650AC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/>
        </w:rPr>
      </w:pPr>
    </w:p>
    <w:p w:rsidR="00C912B2" w:rsidRPr="00497732" w:rsidRDefault="00C912B2" w:rsidP="00C912B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A81480" w:rsidRPr="008A09D1" w:rsidRDefault="00E83262" w:rsidP="00A81480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497732">
        <w:rPr>
          <w:rFonts w:asciiTheme="minorHAnsi" w:hAnsiTheme="minorHAnsi"/>
          <w:sz w:val="22"/>
          <w:szCs w:val="22"/>
        </w:rPr>
        <w:t xml:space="preserve"> </w:t>
      </w:r>
      <w:r w:rsidR="00A81480" w:rsidRPr="008A09D1">
        <w:rPr>
          <w:rFonts w:asciiTheme="minorHAnsi" w:hAnsiTheme="minorHAnsi"/>
          <w:sz w:val="22"/>
          <w:szCs w:val="22"/>
        </w:rPr>
        <w:t xml:space="preserve">Dla </w:t>
      </w:r>
      <w:r w:rsidR="00A81480">
        <w:rPr>
          <w:rFonts w:asciiTheme="minorHAnsi" w:hAnsiTheme="minorHAnsi"/>
          <w:sz w:val="22"/>
          <w:szCs w:val="22"/>
        </w:rPr>
        <w:t>każdego z wybranych wskaźników w</w:t>
      </w:r>
      <w:r w:rsidR="00A81480" w:rsidRPr="008A09D1">
        <w:rPr>
          <w:rFonts w:asciiTheme="minorHAnsi" w:hAnsiTheme="minorHAnsi"/>
          <w:sz w:val="22"/>
          <w:szCs w:val="22"/>
        </w:rPr>
        <w:t xml:space="preserve">nioskodawca zobowiązany jest do wskazania </w:t>
      </w:r>
      <w:r w:rsidR="00A81480" w:rsidRPr="008A09D1">
        <w:rPr>
          <w:rFonts w:asciiTheme="minorHAnsi" w:hAnsiTheme="minorHAnsi"/>
          <w:i/>
          <w:sz w:val="22"/>
          <w:szCs w:val="22"/>
        </w:rPr>
        <w:t>„Jednostki miary”</w:t>
      </w:r>
      <w:r w:rsidR="00A81480" w:rsidRPr="008A09D1">
        <w:rPr>
          <w:rFonts w:asciiTheme="minorHAnsi" w:hAnsiTheme="minorHAnsi"/>
          <w:sz w:val="22"/>
          <w:szCs w:val="22"/>
        </w:rPr>
        <w:t xml:space="preserve">, </w:t>
      </w:r>
      <w:r w:rsidR="00A81480" w:rsidRPr="008A09D1">
        <w:rPr>
          <w:rFonts w:asciiTheme="minorHAnsi" w:hAnsiTheme="minorHAnsi"/>
          <w:i/>
          <w:sz w:val="22"/>
          <w:szCs w:val="22"/>
        </w:rPr>
        <w:t>„Wartości bazowej”</w:t>
      </w:r>
      <w:r w:rsidR="00A81480" w:rsidRPr="008A09D1">
        <w:rPr>
          <w:rFonts w:asciiTheme="minorHAnsi" w:hAnsiTheme="minorHAnsi"/>
          <w:sz w:val="22"/>
          <w:szCs w:val="22"/>
        </w:rPr>
        <w:t xml:space="preserve">, </w:t>
      </w:r>
      <w:r w:rsidR="00A81480" w:rsidRPr="008A09D1">
        <w:rPr>
          <w:rFonts w:asciiTheme="minorHAnsi" w:hAnsiTheme="minorHAnsi"/>
          <w:i/>
          <w:sz w:val="22"/>
          <w:szCs w:val="22"/>
        </w:rPr>
        <w:t>„Wartości docelowej wskaźnika”</w:t>
      </w:r>
      <w:r w:rsidR="00A81480" w:rsidRPr="008A09D1">
        <w:rPr>
          <w:rFonts w:asciiTheme="minorHAnsi" w:hAnsiTheme="minorHAnsi"/>
          <w:sz w:val="22"/>
          <w:szCs w:val="22"/>
        </w:rPr>
        <w:t xml:space="preserve">, a także </w:t>
      </w:r>
      <w:r w:rsidR="00A81480" w:rsidRPr="008A09D1">
        <w:rPr>
          <w:rFonts w:asciiTheme="minorHAnsi" w:hAnsiTheme="minorHAnsi"/>
          <w:i/>
          <w:sz w:val="22"/>
          <w:szCs w:val="22"/>
        </w:rPr>
        <w:t>„Źródła informacji o</w:t>
      </w:r>
      <w:r w:rsidR="00A81480">
        <w:rPr>
          <w:rFonts w:asciiTheme="minorHAnsi" w:hAnsiTheme="minorHAnsi"/>
          <w:i/>
          <w:sz w:val="22"/>
          <w:szCs w:val="22"/>
        </w:rPr>
        <w:t> </w:t>
      </w:r>
      <w:r w:rsidR="00A81480" w:rsidRPr="008A09D1">
        <w:rPr>
          <w:rFonts w:asciiTheme="minorHAnsi" w:hAnsiTheme="minorHAnsi"/>
          <w:i/>
          <w:sz w:val="22"/>
          <w:szCs w:val="22"/>
        </w:rPr>
        <w:t>wskaźniku”</w:t>
      </w:r>
      <w:r w:rsidR="00A81480" w:rsidRPr="008A09D1">
        <w:rPr>
          <w:rFonts w:asciiTheme="minorHAnsi" w:hAnsiTheme="minorHAnsi"/>
          <w:sz w:val="22"/>
          <w:szCs w:val="22"/>
        </w:rPr>
        <w:t xml:space="preserve">. </w:t>
      </w:r>
    </w:p>
    <w:p w:rsidR="00A81480" w:rsidRPr="008A09D1" w:rsidRDefault="00A81480" w:rsidP="00A81480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8A09D1">
        <w:rPr>
          <w:rFonts w:asciiTheme="minorHAnsi" w:hAnsiTheme="minorHAnsi"/>
          <w:sz w:val="22"/>
          <w:szCs w:val="22"/>
        </w:rPr>
        <w:t xml:space="preserve">Wartość docelowa dla wskaźnika produktu to wyrażony liczbowo stan danego wskaźnika na moment zakończenia rzeczowej realizacji projektu. </w:t>
      </w:r>
    </w:p>
    <w:p w:rsidR="00A81480" w:rsidRDefault="00A81480" w:rsidP="00A81480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</w:rPr>
      </w:pPr>
      <w:r w:rsidRPr="008A09D1">
        <w:rPr>
          <w:rFonts w:asciiTheme="minorHAnsi" w:hAnsiTheme="minorHAnsi"/>
          <w:sz w:val="22"/>
          <w:szCs w:val="22"/>
        </w:rPr>
        <w:t>Jako źródło informacji o wskaźniku wskazać należy odpowiedni dokument (np. protokół odbioru</w:t>
      </w:r>
      <w:r>
        <w:rPr>
          <w:rFonts w:asciiTheme="minorHAnsi" w:hAnsiTheme="minorHAnsi"/>
          <w:sz w:val="22"/>
          <w:szCs w:val="22"/>
        </w:rPr>
        <w:t xml:space="preserve"> robót</w:t>
      </w:r>
      <w:r w:rsidRPr="008A09D1">
        <w:rPr>
          <w:rFonts w:asciiTheme="minorHAnsi" w:hAnsiTheme="minorHAnsi"/>
          <w:sz w:val="22"/>
          <w:szCs w:val="22"/>
        </w:rPr>
        <w:t>).</w:t>
      </w:r>
      <w:r w:rsidRPr="008A09D1"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A81480" w:rsidRDefault="00A81480" w:rsidP="007650AC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/>
        </w:rPr>
      </w:pPr>
    </w:p>
    <w:p w:rsidR="00A81480" w:rsidRPr="00025979" w:rsidRDefault="00A81480" w:rsidP="00A8148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911273">
        <w:rPr>
          <w:rFonts w:asciiTheme="minorHAnsi" w:eastAsiaTheme="minorHAnsi" w:hAnsiTheme="minorHAnsi" w:cs="Arial"/>
          <w:szCs w:val="22"/>
          <w:lang w:eastAsia="en-US"/>
        </w:rPr>
        <w:t>W r</w:t>
      </w:r>
      <w:r>
        <w:rPr>
          <w:rFonts w:asciiTheme="minorHAnsi" w:eastAsiaTheme="minorHAnsi" w:hAnsiTheme="minorHAnsi" w:cs="Arial"/>
          <w:szCs w:val="22"/>
          <w:lang w:eastAsia="en-US"/>
        </w:rPr>
        <w:t>amach wniosku o dofinansowanie w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nioskodawca ma obowiązek uwzględnić </w:t>
      </w:r>
      <w:r w:rsidRPr="00911273">
        <w:rPr>
          <w:rFonts w:asciiTheme="minorHAnsi" w:eastAsiaTheme="minorHAnsi" w:hAnsiTheme="minorHAnsi" w:cs="Arial"/>
          <w:b/>
          <w:szCs w:val="22"/>
          <w:lang w:eastAsia="en-US"/>
        </w:rPr>
        <w:t>wszystkie adekwatne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 wskaźniki produktu z listy przedstawionej </w:t>
      </w:r>
      <w:r>
        <w:rPr>
          <w:rFonts w:asciiTheme="minorHAnsi" w:eastAsiaTheme="minorHAnsi" w:hAnsiTheme="minorHAnsi" w:cs="Arial"/>
          <w:szCs w:val="22"/>
          <w:lang w:eastAsia="en-US"/>
        </w:rPr>
        <w:t xml:space="preserve"> w powyższej  tabeli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, odpowiadające </w:t>
      </w:r>
      <w:r>
        <w:rPr>
          <w:rFonts w:asciiTheme="minorHAnsi" w:eastAsiaTheme="minorHAnsi" w:hAnsiTheme="minorHAnsi" w:cs="Arial"/>
          <w:szCs w:val="22"/>
          <w:lang w:eastAsia="en-US"/>
        </w:rPr>
        <w:t xml:space="preserve">celowi 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projektu. </w:t>
      </w:r>
    </w:p>
    <w:p w:rsidR="00A81480" w:rsidRDefault="00A81480" w:rsidP="00A81480">
      <w:pPr>
        <w:spacing w:line="240" w:lineRule="auto"/>
        <w:jc w:val="both"/>
        <w:rPr>
          <w:rFonts w:asciiTheme="minorHAnsi" w:hAnsiTheme="minorHAnsi" w:cs="Arial"/>
          <w:szCs w:val="22"/>
        </w:rPr>
      </w:pPr>
      <w:r w:rsidRPr="00911273">
        <w:rPr>
          <w:rFonts w:asciiTheme="minorHAnsi" w:hAnsiTheme="minorHAnsi"/>
          <w:b/>
          <w:szCs w:val="22"/>
        </w:rPr>
        <w:t>Wskaźniki rezultatu bezpośredniego</w:t>
      </w:r>
      <w:r>
        <w:rPr>
          <w:rFonts w:asciiTheme="minorHAnsi" w:hAnsiTheme="minorHAnsi"/>
          <w:szCs w:val="22"/>
        </w:rPr>
        <w:t xml:space="preserve"> są to </w:t>
      </w:r>
      <w:r w:rsidRPr="00911273">
        <w:rPr>
          <w:rFonts w:asciiTheme="minorHAnsi" w:hAnsiTheme="minorHAnsi"/>
          <w:szCs w:val="22"/>
        </w:rPr>
        <w:t>w</w:t>
      </w:r>
      <w:r w:rsidRPr="00911273">
        <w:rPr>
          <w:rFonts w:asciiTheme="minorHAnsi" w:hAnsiTheme="minorHAnsi" w:cs="Arial"/>
          <w:szCs w:val="22"/>
        </w:rPr>
        <w:t>ska</w:t>
      </w:r>
      <w:r w:rsidRPr="003D3BC5">
        <w:rPr>
          <w:rFonts w:asciiTheme="minorHAnsi" w:hAnsiTheme="minorHAnsi" w:cs="Arial"/>
          <w:szCs w:val="22"/>
        </w:rPr>
        <w:t>źniki odnoszące się</w:t>
      </w:r>
      <w:r>
        <w:rPr>
          <w:rFonts w:asciiTheme="minorHAnsi" w:hAnsiTheme="minorHAnsi" w:cs="Arial"/>
          <w:szCs w:val="22"/>
        </w:rPr>
        <w:t xml:space="preserve"> </w:t>
      </w:r>
      <w:r w:rsidRPr="003D3BC5">
        <w:rPr>
          <w:rFonts w:asciiTheme="minorHAnsi" w:hAnsiTheme="minorHAnsi" w:cs="Arial"/>
          <w:szCs w:val="22"/>
        </w:rPr>
        <w:t xml:space="preserve">do bezpośrednich efektów projektu, </w:t>
      </w:r>
      <w:r>
        <w:rPr>
          <w:rFonts w:asciiTheme="minorHAnsi" w:hAnsiTheme="minorHAnsi" w:cs="Arial"/>
          <w:szCs w:val="22"/>
        </w:rPr>
        <w:t xml:space="preserve">stanowią </w:t>
      </w:r>
      <w:r w:rsidRPr="003D3BC5">
        <w:rPr>
          <w:rFonts w:asciiTheme="minorHAnsi" w:hAnsiTheme="minorHAnsi" w:cs="Arial"/>
          <w:szCs w:val="22"/>
        </w:rPr>
        <w:t>wynik</w:t>
      </w:r>
      <w:r>
        <w:rPr>
          <w:rFonts w:asciiTheme="minorHAnsi" w:hAnsiTheme="minorHAnsi" w:cs="Arial"/>
          <w:szCs w:val="22"/>
        </w:rPr>
        <w:t xml:space="preserve"> realizacji</w:t>
      </w:r>
      <w:r w:rsidRPr="003D3BC5">
        <w:rPr>
          <w:rFonts w:asciiTheme="minorHAnsi" w:hAnsiTheme="minorHAnsi" w:cs="Arial"/>
          <w:szCs w:val="22"/>
        </w:rPr>
        <w:t xml:space="preserve"> projektu, ale mogą</w:t>
      </w:r>
      <w:r w:rsidRPr="00911273">
        <w:rPr>
          <w:rFonts w:asciiTheme="minorHAnsi" w:hAnsiTheme="minorHAnsi" w:cs="Arial"/>
          <w:szCs w:val="22"/>
        </w:rPr>
        <w:t xml:space="preserve"> </w:t>
      </w:r>
      <w:r w:rsidRPr="003D3BC5">
        <w:rPr>
          <w:rFonts w:asciiTheme="minorHAnsi" w:hAnsiTheme="minorHAnsi" w:cs="Arial"/>
          <w:szCs w:val="22"/>
        </w:rPr>
        <w:t>mieć</w:t>
      </w:r>
      <w:r w:rsidRPr="00911273">
        <w:rPr>
          <w:rFonts w:asciiTheme="minorHAnsi" w:hAnsiTheme="minorHAnsi" w:cs="Arial"/>
          <w:szCs w:val="22"/>
        </w:rPr>
        <w:t xml:space="preserve"> </w:t>
      </w:r>
      <w:r w:rsidRPr="003D3BC5">
        <w:rPr>
          <w:rFonts w:asciiTheme="minorHAnsi" w:hAnsiTheme="minorHAnsi" w:cs="Arial"/>
          <w:szCs w:val="22"/>
        </w:rPr>
        <w:t>na ni</w:t>
      </w:r>
      <w:r>
        <w:rPr>
          <w:rFonts w:asciiTheme="minorHAnsi" w:hAnsiTheme="minorHAnsi" w:cs="Arial"/>
          <w:szCs w:val="22"/>
        </w:rPr>
        <w:t>ego</w:t>
      </w:r>
      <w:r w:rsidRPr="00911273">
        <w:rPr>
          <w:rFonts w:asciiTheme="minorHAnsi" w:hAnsiTheme="minorHAnsi" w:cs="Arial"/>
          <w:szCs w:val="22"/>
        </w:rPr>
        <w:t xml:space="preserve"> </w:t>
      </w:r>
      <w:r w:rsidRPr="003D3BC5">
        <w:rPr>
          <w:rFonts w:asciiTheme="minorHAnsi" w:hAnsiTheme="minorHAnsi" w:cs="Arial"/>
          <w:szCs w:val="22"/>
        </w:rPr>
        <w:t xml:space="preserve">wpływ także inne zewnętrzne czynniki; niepowiązane bezpośrednio z wydatkami ponoszonymi w projekcie. </w:t>
      </w:r>
      <w:r>
        <w:rPr>
          <w:rFonts w:asciiTheme="minorHAnsi" w:hAnsiTheme="minorHAnsi" w:cs="Arial"/>
          <w:szCs w:val="22"/>
        </w:rPr>
        <w:t>Dostarczają informacji o zmianach jakie nastąpiły w wyniku realizacji projektu, w porównaniu z wielkością wyjściową (bazową). Są logicznie powiązane ze wskaźnikami produktu.  Muszą być adekwatne do celu projektu.</w:t>
      </w:r>
    </w:p>
    <w:p w:rsidR="00A81480" w:rsidRDefault="00A81480" w:rsidP="00A81480">
      <w:pPr>
        <w:pStyle w:val="Default"/>
        <w:jc w:val="both"/>
        <w:rPr>
          <w:sz w:val="22"/>
          <w:szCs w:val="22"/>
        </w:rPr>
      </w:pPr>
    </w:p>
    <w:p w:rsidR="00A81480" w:rsidRPr="000F5C98" w:rsidRDefault="00A81480" w:rsidP="00A81480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0F5C98">
        <w:rPr>
          <w:rFonts w:asciiTheme="minorHAnsi" w:hAnsiTheme="minorHAnsi"/>
          <w:sz w:val="22"/>
          <w:szCs w:val="22"/>
        </w:rPr>
        <w:t xml:space="preserve">Dla </w:t>
      </w:r>
      <w:r>
        <w:rPr>
          <w:rFonts w:asciiTheme="minorHAnsi" w:hAnsiTheme="minorHAnsi"/>
          <w:sz w:val="22"/>
          <w:szCs w:val="22"/>
        </w:rPr>
        <w:t>każdego z wybranych wskaźników w</w:t>
      </w:r>
      <w:r w:rsidRPr="000F5C98">
        <w:rPr>
          <w:rFonts w:asciiTheme="minorHAnsi" w:hAnsiTheme="minorHAnsi"/>
          <w:sz w:val="22"/>
          <w:szCs w:val="22"/>
        </w:rPr>
        <w:t xml:space="preserve">nioskodawca zobowiązany jest do wskazania </w:t>
      </w:r>
      <w:r w:rsidRPr="000F5C98">
        <w:rPr>
          <w:rFonts w:asciiTheme="minorHAnsi" w:hAnsiTheme="minorHAnsi"/>
          <w:i/>
          <w:sz w:val="22"/>
          <w:szCs w:val="22"/>
        </w:rPr>
        <w:t>„Jednostki miary”</w:t>
      </w:r>
      <w:r w:rsidRPr="000F5C98">
        <w:rPr>
          <w:rFonts w:asciiTheme="minorHAnsi" w:hAnsiTheme="minorHAnsi"/>
          <w:sz w:val="22"/>
          <w:szCs w:val="22"/>
        </w:rPr>
        <w:t xml:space="preserve">, </w:t>
      </w:r>
      <w:r w:rsidRPr="000F5C98">
        <w:rPr>
          <w:rFonts w:asciiTheme="minorHAnsi" w:hAnsiTheme="minorHAnsi"/>
          <w:i/>
          <w:sz w:val="22"/>
          <w:szCs w:val="22"/>
        </w:rPr>
        <w:t>„Wartości bazowej”</w:t>
      </w:r>
      <w:r w:rsidRPr="000F5C98">
        <w:rPr>
          <w:rFonts w:asciiTheme="minorHAnsi" w:hAnsiTheme="minorHAnsi"/>
          <w:sz w:val="22"/>
          <w:szCs w:val="22"/>
        </w:rPr>
        <w:t xml:space="preserve">, </w:t>
      </w:r>
      <w:r w:rsidRPr="000F5C98">
        <w:rPr>
          <w:rFonts w:asciiTheme="minorHAnsi" w:hAnsiTheme="minorHAnsi"/>
          <w:i/>
          <w:sz w:val="22"/>
          <w:szCs w:val="22"/>
        </w:rPr>
        <w:t>„Wartości docelowej wskaźnika”</w:t>
      </w:r>
      <w:r w:rsidRPr="000F5C98">
        <w:rPr>
          <w:rFonts w:asciiTheme="minorHAnsi" w:hAnsiTheme="minorHAnsi"/>
          <w:sz w:val="22"/>
          <w:szCs w:val="22"/>
        </w:rPr>
        <w:t xml:space="preserve">, a także </w:t>
      </w:r>
      <w:r>
        <w:rPr>
          <w:rFonts w:asciiTheme="minorHAnsi" w:hAnsiTheme="minorHAnsi"/>
          <w:i/>
          <w:sz w:val="22"/>
          <w:szCs w:val="22"/>
        </w:rPr>
        <w:t>„Źródła informacji o </w:t>
      </w:r>
      <w:r w:rsidRPr="000F5C98">
        <w:rPr>
          <w:rFonts w:asciiTheme="minorHAnsi" w:hAnsiTheme="minorHAnsi"/>
          <w:i/>
          <w:sz w:val="22"/>
          <w:szCs w:val="22"/>
        </w:rPr>
        <w:t>wskaźniku”</w:t>
      </w:r>
      <w:r w:rsidRPr="000F5C98">
        <w:rPr>
          <w:rFonts w:asciiTheme="minorHAnsi" w:hAnsiTheme="minorHAnsi"/>
          <w:sz w:val="22"/>
          <w:szCs w:val="22"/>
        </w:rPr>
        <w:t xml:space="preserve">. </w:t>
      </w:r>
    </w:p>
    <w:p w:rsidR="00A81480" w:rsidRPr="000F5C98" w:rsidRDefault="00A81480" w:rsidP="00A81480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E313C3">
        <w:rPr>
          <w:rFonts w:asciiTheme="minorHAnsi" w:hAnsiTheme="minorHAnsi"/>
          <w:sz w:val="22"/>
          <w:szCs w:val="22"/>
        </w:rPr>
        <w:t>Wartość docelowa dla wskaźnika rezultatu to wyrażony liczbowo stan danego wskaźnika uzyskany w efekcie realizacji projektu.</w:t>
      </w:r>
    </w:p>
    <w:p w:rsidR="00A81480" w:rsidRDefault="00A81480" w:rsidP="00A81480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/>
        </w:rPr>
      </w:pPr>
      <w:r w:rsidRPr="000F5C98">
        <w:rPr>
          <w:rFonts w:asciiTheme="minorHAnsi" w:hAnsiTheme="minorHAnsi"/>
        </w:rPr>
        <w:lastRenderedPageBreak/>
        <w:t>Jako źródło informacji o wskaźniku wskaza</w:t>
      </w:r>
      <w:r>
        <w:rPr>
          <w:rFonts w:asciiTheme="minorHAnsi" w:hAnsiTheme="minorHAnsi"/>
        </w:rPr>
        <w:t>ć należy odpowiedni dokument.</w:t>
      </w:r>
    </w:p>
    <w:p w:rsidR="00A81480" w:rsidRDefault="00A81480" w:rsidP="00A8148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Wszyscy wnioskodawcy są zobligowani do określenia poniższych wskaźników o charakterze rezultatu bezpośredniego – także horyzontalnych, jeśli są adekwatne do celu projektu</w:t>
      </w:r>
      <w:r w:rsidR="00AF1D78">
        <w:rPr>
          <w:rFonts w:asciiTheme="minorHAnsi" w:hAnsiTheme="minorHAnsi"/>
          <w:b/>
          <w:szCs w:val="22"/>
        </w:rPr>
        <w:t>.</w:t>
      </w:r>
    </w:p>
    <w:p w:rsidR="008C495E" w:rsidRPr="00911273" w:rsidRDefault="003D3BC5" w:rsidP="007650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  <w:r w:rsidRPr="00911273">
        <w:rPr>
          <w:rFonts w:asciiTheme="minorHAnsi" w:hAnsiTheme="minorHAnsi"/>
          <w:szCs w:val="22"/>
        </w:rPr>
        <w:t>W ramach Działania 4.</w:t>
      </w:r>
      <w:r w:rsidR="0083716C">
        <w:rPr>
          <w:rFonts w:asciiTheme="minorHAnsi" w:hAnsiTheme="minorHAnsi"/>
          <w:szCs w:val="22"/>
        </w:rPr>
        <w:t>5</w:t>
      </w:r>
      <w:r w:rsidRPr="00911273">
        <w:rPr>
          <w:rFonts w:asciiTheme="minorHAnsi" w:hAnsiTheme="minorHAnsi"/>
          <w:szCs w:val="22"/>
        </w:rPr>
        <w:t xml:space="preserve"> określono poniższe wskaźniki</w:t>
      </w:r>
      <w:r w:rsidRPr="00911273">
        <w:rPr>
          <w:rFonts w:asciiTheme="minorHAnsi" w:hAnsiTheme="minorHAnsi"/>
          <w:b/>
          <w:szCs w:val="22"/>
        </w:rPr>
        <w:t xml:space="preserve"> </w:t>
      </w:r>
      <w:r w:rsidRPr="003C55C7">
        <w:rPr>
          <w:rFonts w:asciiTheme="minorHAnsi" w:hAnsiTheme="minorHAnsi"/>
          <w:b/>
          <w:szCs w:val="22"/>
        </w:rPr>
        <w:t>rezultatu bezpośredniego</w:t>
      </w:r>
      <w:r w:rsidRPr="00911273">
        <w:rPr>
          <w:rFonts w:asciiTheme="minorHAnsi" w:hAnsiTheme="minorHAnsi"/>
          <w:szCs w:val="22"/>
        </w:rPr>
        <w:t>:</w:t>
      </w:r>
    </w:p>
    <w:tbl>
      <w:tblPr>
        <w:tblW w:w="5000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302"/>
        <w:gridCol w:w="3829"/>
        <w:gridCol w:w="1949"/>
      </w:tblGrid>
      <w:tr w:rsidR="005657D8" w:rsidRPr="00911273" w:rsidTr="007E2D2C">
        <w:trPr>
          <w:trHeight w:val="20"/>
          <w:jc w:val="center"/>
        </w:trPr>
        <w:tc>
          <w:tcPr>
            <w:tcW w:w="1189" w:type="pct"/>
            <w:shd w:val="clear" w:color="auto" w:fill="auto"/>
            <w:vAlign w:val="center"/>
          </w:tcPr>
          <w:p w:rsidR="005657D8" w:rsidRPr="00911273" w:rsidRDefault="005657D8" w:rsidP="007E2D2C">
            <w:pPr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911273">
              <w:rPr>
                <w:rFonts w:asciiTheme="minorHAnsi" w:hAnsiTheme="minorHAnsi"/>
                <w:b/>
                <w:szCs w:val="22"/>
              </w:rPr>
              <w:t xml:space="preserve">Nazwa wskaźnika </w:t>
            </w:r>
            <w:r w:rsidRPr="006A09F0">
              <w:rPr>
                <w:rFonts w:asciiTheme="minorHAnsi" w:hAnsiTheme="minorHAnsi"/>
                <w:b/>
                <w:szCs w:val="22"/>
              </w:rPr>
              <w:t>rezultatu bezpośredniego</w:t>
            </w:r>
          </w:p>
        </w:tc>
        <w:tc>
          <w:tcPr>
            <w:tcW w:w="701" w:type="pct"/>
            <w:vAlign w:val="center"/>
          </w:tcPr>
          <w:p w:rsidR="005657D8" w:rsidRPr="00911273" w:rsidRDefault="005657D8" w:rsidP="007E2D2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911273">
              <w:rPr>
                <w:rFonts w:asciiTheme="minorHAnsi" w:hAnsiTheme="minorHAnsi"/>
                <w:b/>
                <w:bCs/>
                <w:szCs w:val="22"/>
              </w:rPr>
              <w:t>Jednostka miary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5657D8" w:rsidRPr="00911273" w:rsidRDefault="005657D8" w:rsidP="007E2D2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911273">
              <w:rPr>
                <w:rFonts w:asciiTheme="minorHAnsi" w:hAnsiTheme="minorHAnsi"/>
                <w:b/>
                <w:bCs/>
                <w:szCs w:val="22"/>
              </w:rPr>
              <w:t>Definicja wskaźnika</w:t>
            </w:r>
          </w:p>
        </w:tc>
        <w:tc>
          <w:tcPr>
            <w:tcW w:w="1049" w:type="pct"/>
            <w:vAlign w:val="center"/>
          </w:tcPr>
          <w:p w:rsidR="005657D8" w:rsidRPr="00911273" w:rsidRDefault="007E025A" w:rsidP="007E2D2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Rodzaj dokumentu, w </w:t>
            </w:r>
            <w:r w:rsidR="005657D8">
              <w:rPr>
                <w:rFonts w:asciiTheme="minorHAnsi" w:hAnsiTheme="minorHAnsi"/>
                <w:b/>
                <w:bCs/>
                <w:szCs w:val="22"/>
              </w:rPr>
              <w:t>którym określono wskaźnik</w:t>
            </w:r>
          </w:p>
        </w:tc>
      </w:tr>
      <w:tr w:rsidR="00D56E5D" w:rsidRPr="00911273" w:rsidTr="007E2D2C">
        <w:trPr>
          <w:trHeight w:val="20"/>
          <w:jc w:val="center"/>
        </w:trPr>
        <w:tc>
          <w:tcPr>
            <w:tcW w:w="1189" w:type="pct"/>
            <w:shd w:val="clear" w:color="auto" w:fill="auto"/>
          </w:tcPr>
          <w:p w:rsidR="00D56E5D" w:rsidRPr="00EB34D2" w:rsidRDefault="00D56E5D" w:rsidP="00FD702E">
            <w:pPr>
              <w:pStyle w:val="Default"/>
              <w:rPr>
                <w:rFonts w:asciiTheme="minorHAnsi" w:hAnsiTheme="minorHAnsi" w:cs="ArialNarrow"/>
                <w:sz w:val="22"/>
                <w:szCs w:val="22"/>
              </w:rPr>
            </w:pPr>
            <w:r w:rsidRPr="00EB34D2">
              <w:rPr>
                <w:rFonts w:asciiTheme="minorHAnsi" w:hAnsiTheme="minorHAnsi" w:cs="Calibri"/>
                <w:sz w:val="22"/>
                <w:szCs w:val="22"/>
              </w:rPr>
              <w:t xml:space="preserve">Liczba ludności odnoszącej korzyści ze środków ochrony przeciwpowodziowej (CI 20) </w:t>
            </w:r>
            <w:r w:rsidRPr="00EB34D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01" w:type="pct"/>
          </w:tcPr>
          <w:p w:rsidR="00D56E5D" w:rsidRPr="00EB34D2" w:rsidRDefault="007E2D2C" w:rsidP="007E2D2C">
            <w:pPr>
              <w:spacing w:before="0" w:line="240" w:lineRule="auto"/>
              <w:jc w:val="center"/>
              <w:rPr>
                <w:rFonts w:asciiTheme="minorHAnsi" w:hAnsiTheme="minorHAnsi" w:cs="ArialNarrow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osoby</w:t>
            </w:r>
          </w:p>
        </w:tc>
        <w:tc>
          <w:tcPr>
            <w:tcW w:w="2061" w:type="pct"/>
            <w:shd w:val="clear" w:color="auto" w:fill="auto"/>
          </w:tcPr>
          <w:p w:rsidR="00D56E5D" w:rsidRPr="007A172C" w:rsidRDefault="00D56E5D" w:rsidP="007E2D2C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/>
                <w:szCs w:val="22"/>
                <w:lang w:val="en-US"/>
              </w:rPr>
            </w:pPr>
            <w:r w:rsidRPr="00F223FC">
              <w:rPr>
                <w:rFonts w:asciiTheme="minorHAnsi" w:hAnsiTheme="minorHAnsi"/>
                <w:szCs w:val="22"/>
                <w:lang w:val="en-US"/>
              </w:rPr>
              <w:t xml:space="preserve">Number of people exposed to flood risk where vulnerability decreased as a direct </w:t>
            </w:r>
            <w:r w:rsidRPr="007A172C">
              <w:rPr>
                <w:rFonts w:asciiTheme="minorHAnsi" w:hAnsiTheme="minorHAnsi"/>
                <w:szCs w:val="22"/>
                <w:lang w:val="en-US"/>
              </w:rPr>
              <w:t>consequence of a supported project</w:t>
            </w:r>
          </w:p>
          <w:p w:rsidR="00F223FC" w:rsidRPr="00F223FC" w:rsidRDefault="00F223FC" w:rsidP="007E2D2C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F223FC">
              <w:rPr>
                <w:rFonts w:asciiTheme="minorHAnsi" w:hAnsiTheme="minorHAnsi"/>
                <w:szCs w:val="22"/>
              </w:rPr>
              <w:t>Tłumaczenie robocze: Liczba osób podlegających zagrożeniu powodziowemu, u których zagrożenie zmniejszyło się w wyniku bezpośredniej realizacji projektu.</w:t>
            </w:r>
          </w:p>
          <w:p w:rsidR="00D56E5D" w:rsidRPr="007A172C" w:rsidRDefault="00EB34D2" w:rsidP="007E2D2C">
            <w:pPr>
              <w:spacing w:before="0" w:line="240" w:lineRule="auto"/>
              <w:rPr>
                <w:rFonts w:asciiTheme="minorHAnsi" w:hAnsiTheme="minorHAnsi"/>
                <w:szCs w:val="22"/>
              </w:rPr>
            </w:pPr>
            <w:r w:rsidRPr="00F223FC">
              <w:rPr>
                <w:rFonts w:asciiTheme="minorHAnsi" w:hAnsiTheme="minorHAnsi"/>
                <w:szCs w:val="22"/>
              </w:rPr>
              <w:t>Punktem wyjścia dla oszacowania liczby osób korzystających z ochrony powinny być mapy zagrożenia powodziowego</w:t>
            </w:r>
            <w:r w:rsidRPr="00F223FC">
              <w:rPr>
                <w:rFonts w:asciiTheme="minorHAnsi" w:hAnsiTheme="minorHAnsi"/>
                <w:color w:val="333399"/>
                <w:szCs w:val="22"/>
              </w:rPr>
              <w:t>.</w:t>
            </w:r>
          </w:p>
        </w:tc>
        <w:tc>
          <w:tcPr>
            <w:tcW w:w="1049" w:type="pct"/>
          </w:tcPr>
          <w:p w:rsidR="00D56E5D" w:rsidRPr="00EB34D2" w:rsidRDefault="00EB34D2" w:rsidP="00FD702E">
            <w:pPr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RPO WD 2014-2020</w:t>
            </w:r>
          </w:p>
        </w:tc>
      </w:tr>
      <w:tr w:rsidR="00A25539" w:rsidRPr="00911273" w:rsidTr="007E2D2C">
        <w:trPr>
          <w:trHeight w:val="20"/>
          <w:jc w:val="center"/>
        </w:trPr>
        <w:tc>
          <w:tcPr>
            <w:tcW w:w="1189" w:type="pct"/>
            <w:shd w:val="clear" w:color="auto" w:fill="auto"/>
          </w:tcPr>
          <w:p w:rsidR="00A25539" w:rsidRPr="00EB34D2" w:rsidRDefault="00D56E5D" w:rsidP="00FD702E">
            <w:pPr>
              <w:pStyle w:val="Default"/>
              <w:rPr>
                <w:rFonts w:asciiTheme="minorHAnsi" w:hAnsiTheme="minorHAnsi" w:cs="ArialNarrow"/>
                <w:sz w:val="22"/>
                <w:szCs w:val="22"/>
              </w:rPr>
            </w:pPr>
            <w:r w:rsidRPr="00EB34D2">
              <w:rPr>
                <w:rFonts w:asciiTheme="minorHAnsi" w:hAnsiTheme="minorHAnsi" w:cs="ArialNarrow"/>
                <w:sz w:val="22"/>
                <w:szCs w:val="22"/>
              </w:rPr>
              <w:t xml:space="preserve">Objętość retencjonowanej wody </w:t>
            </w:r>
          </w:p>
        </w:tc>
        <w:tc>
          <w:tcPr>
            <w:tcW w:w="701" w:type="pct"/>
          </w:tcPr>
          <w:p w:rsidR="00A25539" w:rsidRPr="00EB34D2" w:rsidRDefault="007E2D2C" w:rsidP="007E2D2C">
            <w:pPr>
              <w:spacing w:before="0" w:line="240" w:lineRule="auto"/>
              <w:jc w:val="center"/>
              <w:rPr>
                <w:rFonts w:asciiTheme="minorHAnsi" w:hAnsiTheme="minorHAnsi" w:cs="ArialNarrow"/>
                <w:szCs w:val="22"/>
              </w:rPr>
            </w:pPr>
            <w:r>
              <w:rPr>
                <w:rFonts w:asciiTheme="minorHAnsi" w:hAnsiTheme="minorHAnsi" w:cs="ArialNarrow"/>
                <w:szCs w:val="22"/>
              </w:rPr>
              <w:t>m</w:t>
            </w:r>
            <w:r w:rsidRPr="007E2D2C">
              <w:rPr>
                <w:rFonts w:asciiTheme="minorHAnsi" w:hAnsiTheme="minorHAnsi" w:cs="ArialNarrow"/>
                <w:szCs w:val="22"/>
                <w:vertAlign w:val="superscript"/>
              </w:rPr>
              <w:t>3</w:t>
            </w:r>
          </w:p>
        </w:tc>
        <w:tc>
          <w:tcPr>
            <w:tcW w:w="2061" w:type="pct"/>
            <w:shd w:val="clear" w:color="auto" w:fill="auto"/>
          </w:tcPr>
          <w:p w:rsidR="00D56E5D" w:rsidRPr="00EB34D2" w:rsidRDefault="00D56E5D" w:rsidP="007E2D2C">
            <w:pPr>
              <w:spacing w:before="0" w:line="240" w:lineRule="auto"/>
              <w:rPr>
                <w:rFonts w:asciiTheme="minorHAnsi" w:hAnsiTheme="minorHAnsi" w:cs="Helv"/>
                <w:szCs w:val="22"/>
              </w:rPr>
            </w:pPr>
            <w:r w:rsidRPr="00EB34D2">
              <w:rPr>
                <w:rFonts w:asciiTheme="minorHAnsi" w:hAnsiTheme="minorHAnsi"/>
                <w:szCs w:val="22"/>
              </w:rPr>
              <w:t xml:space="preserve">Uzyskana pojemność retencjonowania wody w ciągu roku w obiektach małej retencji. Obiekty małej retencji </w:t>
            </w:r>
            <w:r w:rsidRPr="00EB34D2">
              <w:rPr>
                <w:rFonts w:asciiTheme="minorHAnsi" w:hAnsiTheme="minorHAnsi" w:cs="Helv"/>
                <w:szCs w:val="22"/>
              </w:rPr>
              <w:t xml:space="preserve">to   budowle i urządzenia służące zatrzymaniu jak największej ilości wody w jej powierzchniowym </w:t>
            </w:r>
            <w:r w:rsidR="00570D1E">
              <w:rPr>
                <w:rFonts w:asciiTheme="minorHAnsi" w:hAnsiTheme="minorHAnsi" w:cs="Helv"/>
                <w:szCs w:val="22"/>
              </w:rPr>
              <w:br/>
            </w:r>
            <w:r w:rsidRPr="00EB34D2">
              <w:rPr>
                <w:rFonts w:asciiTheme="minorHAnsi" w:hAnsiTheme="minorHAnsi" w:cs="Helv"/>
                <w:szCs w:val="22"/>
              </w:rPr>
              <w:t>i przypowierzchniowym obiegu. Są to:</w:t>
            </w:r>
          </w:p>
          <w:p w:rsidR="00D56E5D" w:rsidRPr="00EB34D2" w:rsidRDefault="00D56E5D" w:rsidP="007E2D2C">
            <w:pPr>
              <w:numPr>
                <w:ilvl w:val="0"/>
                <w:numId w:val="9"/>
              </w:numPr>
              <w:spacing w:before="0" w:line="240" w:lineRule="auto"/>
              <w:contextualSpacing/>
              <w:rPr>
                <w:rFonts w:asciiTheme="minorHAnsi" w:hAnsiTheme="minorHAnsi" w:cs="Helv"/>
                <w:szCs w:val="22"/>
              </w:rPr>
            </w:pPr>
            <w:r w:rsidRPr="00EB34D2">
              <w:rPr>
                <w:rFonts w:asciiTheme="minorHAnsi" w:hAnsiTheme="minorHAnsi" w:cs="Helv"/>
                <w:szCs w:val="22"/>
              </w:rPr>
              <w:t>sztuczne zbiorniki wodne o pojemności do 5 mln metrów3;</w:t>
            </w:r>
          </w:p>
          <w:p w:rsidR="00D56E5D" w:rsidRPr="00EB34D2" w:rsidRDefault="00D56E5D" w:rsidP="007E2D2C">
            <w:pPr>
              <w:numPr>
                <w:ilvl w:val="0"/>
                <w:numId w:val="9"/>
              </w:numPr>
              <w:spacing w:before="0" w:line="240" w:lineRule="auto"/>
              <w:contextualSpacing/>
              <w:rPr>
                <w:rFonts w:asciiTheme="minorHAnsi" w:hAnsiTheme="minorHAnsi" w:cs="Helv"/>
                <w:szCs w:val="22"/>
              </w:rPr>
            </w:pPr>
            <w:r w:rsidRPr="00EB34D2">
              <w:rPr>
                <w:rFonts w:asciiTheme="minorHAnsi" w:hAnsiTheme="minorHAnsi" w:cs="Helv"/>
                <w:szCs w:val="22"/>
              </w:rPr>
              <w:t>samodzielne budowle piętrzące i ujęcia wody;</w:t>
            </w:r>
          </w:p>
          <w:p w:rsidR="00D56E5D" w:rsidRPr="00EB34D2" w:rsidRDefault="00D56E5D" w:rsidP="007E2D2C">
            <w:pPr>
              <w:numPr>
                <w:ilvl w:val="0"/>
                <w:numId w:val="9"/>
              </w:numPr>
              <w:spacing w:before="0" w:line="240" w:lineRule="auto"/>
              <w:contextualSpacing/>
              <w:rPr>
                <w:rFonts w:asciiTheme="minorHAnsi" w:hAnsiTheme="minorHAnsi" w:cs="Helv"/>
                <w:szCs w:val="22"/>
              </w:rPr>
            </w:pPr>
            <w:r w:rsidRPr="00EB34D2">
              <w:rPr>
                <w:rFonts w:asciiTheme="minorHAnsi" w:hAnsiTheme="minorHAnsi" w:cs="Helv"/>
                <w:szCs w:val="22"/>
              </w:rPr>
              <w:t>stawy rybne;</w:t>
            </w:r>
          </w:p>
          <w:p w:rsidR="00A25539" w:rsidRPr="00EB34D2" w:rsidRDefault="00D56E5D" w:rsidP="007E2D2C">
            <w:pPr>
              <w:numPr>
                <w:ilvl w:val="0"/>
                <w:numId w:val="9"/>
              </w:numPr>
              <w:spacing w:before="0" w:line="240" w:lineRule="auto"/>
              <w:contextualSpacing/>
              <w:rPr>
                <w:rFonts w:asciiTheme="minorHAnsi" w:hAnsiTheme="minorHAnsi" w:cs="Helv"/>
                <w:szCs w:val="22"/>
              </w:rPr>
            </w:pPr>
            <w:r w:rsidRPr="00EB34D2">
              <w:rPr>
                <w:rFonts w:asciiTheme="minorHAnsi" w:hAnsiTheme="minorHAnsi" w:cs="Helv"/>
                <w:szCs w:val="22"/>
              </w:rPr>
              <w:t>inne budowle piętrzące lub transportujące wodę.</w:t>
            </w:r>
          </w:p>
        </w:tc>
        <w:tc>
          <w:tcPr>
            <w:tcW w:w="1049" w:type="pct"/>
          </w:tcPr>
          <w:p w:rsidR="00A25539" w:rsidRPr="00EB34D2" w:rsidRDefault="00EB34D2" w:rsidP="00FD702E">
            <w:pPr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SZOOP</w:t>
            </w:r>
          </w:p>
        </w:tc>
      </w:tr>
      <w:tr w:rsidR="00704612" w:rsidRPr="00911273" w:rsidTr="007E2D2C">
        <w:trPr>
          <w:trHeight w:val="20"/>
          <w:jc w:val="center"/>
        </w:trPr>
        <w:tc>
          <w:tcPr>
            <w:tcW w:w="1189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04612" w:rsidRPr="006A0FA8" w:rsidRDefault="00704612" w:rsidP="00FD702E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6A0FA8">
              <w:rPr>
                <w:rFonts w:asciiTheme="minorHAnsi" w:hAnsiTheme="minorHAnsi" w:cs="ArialNarrow"/>
                <w:szCs w:val="22"/>
              </w:rPr>
              <w:t>Wzrost zatrudnienia we wspieranych podmiotach (innych niż przedsiębiorstwa)</w:t>
            </w:r>
          </w:p>
          <w:p w:rsidR="00704612" w:rsidRPr="006A0FA8" w:rsidRDefault="00704612" w:rsidP="00FD702E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6A0FA8">
              <w:rPr>
                <w:rFonts w:asciiTheme="minorHAnsi" w:hAnsiTheme="minorHAnsi" w:cs="ArialNarrow"/>
                <w:szCs w:val="22"/>
              </w:rPr>
              <w:t>O/K/M</w:t>
            </w:r>
          </w:p>
        </w:tc>
        <w:tc>
          <w:tcPr>
            <w:tcW w:w="7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04612" w:rsidRPr="006A0FA8" w:rsidRDefault="00704612" w:rsidP="007E2D2C">
            <w:pPr>
              <w:spacing w:before="0" w:line="240" w:lineRule="auto"/>
              <w:jc w:val="center"/>
              <w:rPr>
                <w:rFonts w:asciiTheme="minorHAnsi" w:hAnsiTheme="minorHAnsi" w:cs="ArialNarrow"/>
                <w:szCs w:val="22"/>
              </w:rPr>
            </w:pPr>
            <w:r w:rsidRPr="006A0FA8">
              <w:rPr>
                <w:rFonts w:asciiTheme="minorHAnsi" w:hAnsiTheme="minorHAnsi" w:cs="ArialNarrow"/>
                <w:szCs w:val="22"/>
              </w:rPr>
              <w:t>EPC</w:t>
            </w:r>
          </w:p>
        </w:tc>
        <w:tc>
          <w:tcPr>
            <w:tcW w:w="20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704612" w:rsidRPr="006A0FA8" w:rsidRDefault="00704612" w:rsidP="00FD702E">
            <w:pPr>
              <w:spacing w:before="0" w:line="240" w:lineRule="auto"/>
              <w:jc w:val="both"/>
              <w:rPr>
                <w:rFonts w:asciiTheme="minorHAnsi" w:hAnsiTheme="minorHAnsi"/>
                <w:i/>
                <w:szCs w:val="22"/>
              </w:rPr>
            </w:pPr>
            <w:r w:rsidRPr="006A0FA8">
              <w:rPr>
                <w:rFonts w:asciiTheme="minorHAnsi" w:hAnsiTheme="minorHAnsi"/>
                <w:i/>
                <w:szCs w:val="22"/>
              </w:rPr>
              <w:t>Nowe miejsca pracy brutto we wspartych  </w:t>
            </w:r>
            <w:r>
              <w:rPr>
                <w:rFonts w:asciiTheme="minorHAnsi" w:hAnsiTheme="minorHAnsi"/>
                <w:i/>
                <w:szCs w:val="22"/>
              </w:rPr>
              <w:t>podmiotach</w:t>
            </w:r>
            <w:r w:rsidRPr="006A0FA8">
              <w:rPr>
                <w:rFonts w:asciiTheme="minorHAnsi" w:hAnsiTheme="minorHAnsi"/>
                <w:i/>
                <w:szCs w:val="22"/>
              </w:rPr>
              <w:t xml:space="preserve"> wyrażone w ekwiwalencie pełnego czasu pracy (EPC). </w:t>
            </w:r>
          </w:p>
          <w:p w:rsidR="00704612" w:rsidRPr="006A0FA8" w:rsidRDefault="00704612" w:rsidP="00FD702E">
            <w:pPr>
              <w:spacing w:before="0" w:line="240" w:lineRule="auto"/>
              <w:jc w:val="both"/>
              <w:rPr>
                <w:rFonts w:asciiTheme="minorHAnsi" w:hAnsiTheme="minorHAnsi"/>
                <w:i/>
                <w:szCs w:val="22"/>
              </w:rPr>
            </w:pPr>
            <w:r w:rsidRPr="006A0FA8">
              <w:rPr>
                <w:rFonts w:asciiTheme="minorHAnsi" w:hAnsiTheme="minorHAnsi"/>
                <w:i/>
                <w:szCs w:val="22"/>
              </w:rPr>
              <w:t xml:space="preserve">Wskaźnik ukazuje zmianę "przed-po" </w:t>
            </w:r>
            <w:r w:rsidRPr="006A0FA8">
              <w:rPr>
                <w:rFonts w:asciiTheme="minorHAnsi" w:hAnsiTheme="minorHAnsi"/>
                <w:i/>
                <w:szCs w:val="22"/>
              </w:rPr>
              <w:br/>
              <w:t xml:space="preserve">i obejmuje część wzrostu zatrudnienia </w:t>
            </w:r>
            <w:r w:rsidRPr="006A0FA8">
              <w:rPr>
                <w:rFonts w:asciiTheme="minorHAnsi" w:hAnsiTheme="minorHAnsi"/>
                <w:i/>
                <w:szCs w:val="22"/>
              </w:rPr>
              <w:br/>
              <w:t xml:space="preserve">w </w:t>
            </w:r>
            <w:r>
              <w:rPr>
                <w:rFonts w:asciiTheme="minorHAnsi" w:hAnsiTheme="minorHAnsi"/>
                <w:i/>
                <w:szCs w:val="22"/>
              </w:rPr>
              <w:t>podmiocie</w:t>
            </w:r>
            <w:r w:rsidRPr="006A0FA8">
              <w:rPr>
                <w:rFonts w:asciiTheme="minorHAnsi" w:hAnsiTheme="minorHAnsi"/>
                <w:i/>
                <w:szCs w:val="22"/>
              </w:rPr>
              <w:t xml:space="preserve"> będącego bezpośrednim skutkiem zakończenia realizacji projektu (nie są wliczani pracownicy zatrudnieni do realizacji projektu). </w:t>
            </w:r>
          </w:p>
          <w:p w:rsidR="00704612" w:rsidRPr="006A0FA8" w:rsidRDefault="00704612" w:rsidP="00FD702E">
            <w:pPr>
              <w:spacing w:before="0" w:after="240" w:line="240" w:lineRule="auto"/>
              <w:jc w:val="both"/>
              <w:rPr>
                <w:rFonts w:asciiTheme="minorHAnsi" w:hAnsiTheme="minorHAnsi"/>
                <w:i/>
                <w:szCs w:val="22"/>
              </w:rPr>
            </w:pPr>
            <w:r w:rsidRPr="006A0FA8">
              <w:rPr>
                <w:rFonts w:asciiTheme="minorHAnsi" w:hAnsiTheme="minorHAnsi"/>
                <w:i/>
                <w:szCs w:val="22"/>
              </w:rPr>
              <w:t xml:space="preserve">Uwzględnia się obsadzone miejsca pracy (wakaty nie są liczone), które zwiększają łączną liczbę miejsc pracy w </w:t>
            </w:r>
            <w:r>
              <w:rPr>
                <w:rFonts w:asciiTheme="minorHAnsi" w:hAnsiTheme="minorHAnsi"/>
                <w:i/>
                <w:szCs w:val="22"/>
              </w:rPr>
              <w:t>podmiocie</w:t>
            </w:r>
            <w:r w:rsidRPr="006A0FA8">
              <w:rPr>
                <w:rFonts w:asciiTheme="minorHAnsi" w:hAnsiTheme="minorHAnsi"/>
                <w:i/>
                <w:szCs w:val="22"/>
              </w:rPr>
              <w:t xml:space="preserve">. Brak wzrostu w całkowitym zatrudnieniu </w:t>
            </w:r>
            <w:r w:rsidRPr="006A0FA8">
              <w:rPr>
                <w:rFonts w:asciiTheme="minorHAnsi" w:hAnsiTheme="minorHAnsi"/>
                <w:i/>
                <w:szCs w:val="22"/>
              </w:rPr>
              <w:br/>
            </w:r>
            <w:r w:rsidRPr="006A0FA8">
              <w:rPr>
                <w:rFonts w:asciiTheme="minorHAnsi" w:hAnsiTheme="minorHAnsi"/>
                <w:i/>
                <w:szCs w:val="22"/>
              </w:rPr>
              <w:lastRenderedPageBreak/>
              <w:t xml:space="preserve">w </w:t>
            </w:r>
            <w:r>
              <w:rPr>
                <w:rFonts w:asciiTheme="minorHAnsi" w:hAnsiTheme="minorHAnsi"/>
                <w:i/>
                <w:szCs w:val="22"/>
              </w:rPr>
              <w:t>podmiocie</w:t>
            </w:r>
            <w:r w:rsidRPr="006A0FA8">
              <w:rPr>
                <w:rFonts w:asciiTheme="minorHAnsi" w:hAnsiTheme="minorHAnsi"/>
                <w:i/>
                <w:szCs w:val="22"/>
              </w:rPr>
              <w:t xml:space="preserve"> oznacza, że wartość wskaźnika jest równa zero, co traktuje się jako wyrównanie miejsc pracy, a nie wzrost. Nie wlicza się miejsc pracy, np. utrzymanych dzięki realizacji projektu.</w:t>
            </w:r>
          </w:p>
          <w:p w:rsidR="00704612" w:rsidRPr="006A0FA8" w:rsidRDefault="00704612" w:rsidP="00FD702E">
            <w:pPr>
              <w:spacing w:before="0" w:after="240" w:line="240" w:lineRule="auto"/>
              <w:jc w:val="both"/>
              <w:rPr>
                <w:rFonts w:asciiTheme="minorHAnsi" w:hAnsiTheme="minorHAnsi"/>
                <w:i/>
                <w:szCs w:val="22"/>
              </w:rPr>
            </w:pPr>
            <w:r w:rsidRPr="006A0FA8">
              <w:rPr>
                <w:rFonts w:asciiTheme="minorHAnsi" w:hAnsiTheme="minorHAnsi"/>
                <w:i/>
                <w:szCs w:val="22"/>
              </w:rPr>
              <w:t>Brutto: Nie uwzględniamy miejsca pracy otrzymanego w wyniku zmian wewnątrz p</w:t>
            </w:r>
            <w:r>
              <w:rPr>
                <w:rFonts w:asciiTheme="minorHAnsi" w:hAnsiTheme="minorHAnsi"/>
                <w:i/>
                <w:szCs w:val="22"/>
              </w:rPr>
              <w:t>odmiocie</w:t>
            </w:r>
            <w:r w:rsidRPr="006A0FA8">
              <w:rPr>
                <w:rFonts w:asciiTheme="minorHAnsi" w:hAnsiTheme="minorHAnsi"/>
                <w:i/>
                <w:szCs w:val="22"/>
              </w:rPr>
              <w:t>, dopóki nie przyczyni się to do całkowitego wzrostu liczby miejsc pracy</w:t>
            </w:r>
            <w:r>
              <w:rPr>
                <w:rFonts w:asciiTheme="minorHAnsi" w:hAnsiTheme="minorHAnsi"/>
                <w:i/>
                <w:szCs w:val="22"/>
              </w:rPr>
              <w:t>.</w:t>
            </w:r>
            <w:r w:rsidRPr="006A0FA8">
              <w:rPr>
                <w:rFonts w:asciiTheme="minorHAnsi" w:hAnsiTheme="minorHAnsi"/>
                <w:i/>
                <w:szCs w:val="22"/>
              </w:rPr>
              <w:t>. Wskaźnik powinien być zastosowany, jeżeli wzrost zatrudnienia może być wiarygodnie przypisany do wsparcia w ramach projektu.</w:t>
            </w:r>
          </w:p>
          <w:p w:rsidR="00704612" w:rsidRPr="006A0FA8" w:rsidRDefault="00704612" w:rsidP="00FD702E">
            <w:pPr>
              <w:spacing w:before="0" w:line="240" w:lineRule="auto"/>
              <w:jc w:val="both"/>
              <w:rPr>
                <w:rFonts w:asciiTheme="minorHAnsi" w:hAnsiTheme="minorHAnsi"/>
                <w:i/>
                <w:szCs w:val="22"/>
              </w:rPr>
            </w:pPr>
            <w:r w:rsidRPr="006A0FA8">
              <w:rPr>
                <w:rFonts w:asciiTheme="minorHAnsi" w:hAnsiTheme="minorHAnsi"/>
                <w:i/>
                <w:szCs w:val="22"/>
              </w:rPr>
              <w:t xml:space="preserve">Ekwiwalent pełnego czasu pracy: miejsca pracy mogą być pełnoetatowe, na część etatu lub sezonowe, przy czym etaty częściowe podlegają sumowaniu lecz nie są zaokrąglane do pełnych jednostek. Zatrudnienie sezonowe i na część etatu przelicza się na EPC </w:t>
            </w:r>
            <w:r w:rsidRPr="006A0FA8">
              <w:rPr>
                <w:rFonts w:asciiTheme="minorHAnsi" w:hAnsiTheme="minorHAnsi"/>
                <w:i/>
                <w:szCs w:val="22"/>
              </w:rPr>
              <w:br/>
              <w:t xml:space="preserve">z wykorzystaniem standardów ILO (Międzynarodowa Organizacja Pracy)/ statystycznych/innych. </w:t>
            </w:r>
          </w:p>
          <w:p w:rsidR="00704612" w:rsidRPr="006A0FA8" w:rsidRDefault="00704612" w:rsidP="00FD702E">
            <w:pPr>
              <w:spacing w:before="0" w:line="240" w:lineRule="auto"/>
              <w:jc w:val="both"/>
              <w:rPr>
                <w:rFonts w:asciiTheme="minorHAnsi" w:hAnsiTheme="minorHAnsi"/>
                <w:color w:val="333399"/>
                <w:szCs w:val="22"/>
              </w:rPr>
            </w:pPr>
          </w:p>
        </w:tc>
        <w:tc>
          <w:tcPr>
            <w:tcW w:w="1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:rsidR="00704612" w:rsidRPr="006A0FA8" w:rsidRDefault="00704612" w:rsidP="00FD702E">
            <w:pPr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lastRenderedPageBreak/>
              <w:t>horyzontalny</w:t>
            </w:r>
          </w:p>
        </w:tc>
      </w:tr>
      <w:tr w:rsidR="000D0008" w:rsidRPr="00911273" w:rsidTr="007E2D2C">
        <w:trPr>
          <w:cantSplit/>
          <w:trHeight w:val="20"/>
          <w:jc w:val="center"/>
        </w:trPr>
        <w:tc>
          <w:tcPr>
            <w:tcW w:w="1189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D0008" w:rsidRPr="006A0FA8" w:rsidRDefault="000D0008" w:rsidP="00FD702E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6A0FA8">
              <w:rPr>
                <w:rFonts w:asciiTheme="minorHAnsi" w:hAnsiTheme="minorHAnsi" w:cs="ArialNarrow"/>
                <w:szCs w:val="22"/>
              </w:rPr>
              <w:lastRenderedPageBreak/>
              <w:t>Liczba utrzymanych miejsc pracy</w:t>
            </w:r>
          </w:p>
        </w:tc>
        <w:tc>
          <w:tcPr>
            <w:tcW w:w="7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0008" w:rsidRPr="006A0FA8" w:rsidRDefault="000D0008" w:rsidP="007E2D2C">
            <w:pPr>
              <w:spacing w:before="0" w:line="240" w:lineRule="auto"/>
              <w:jc w:val="center"/>
              <w:rPr>
                <w:rFonts w:asciiTheme="minorHAnsi" w:hAnsiTheme="minorHAnsi" w:cs="ArialNarrow"/>
                <w:szCs w:val="22"/>
              </w:rPr>
            </w:pPr>
            <w:r w:rsidRPr="006A0FA8">
              <w:rPr>
                <w:rFonts w:asciiTheme="minorHAnsi" w:hAnsiTheme="minorHAnsi" w:cs="ArialNarrow"/>
                <w:szCs w:val="22"/>
              </w:rPr>
              <w:t>EPC</w:t>
            </w:r>
          </w:p>
        </w:tc>
        <w:tc>
          <w:tcPr>
            <w:tcW w:w="20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D0008" w:rsidRPr="006A0FA8" w:rsidRDefault="000D0008" w:rsidP="00FD702E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6A0FA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Miejsca pracy utworzone w wyniku realizacji projektu, lecz nie powodują wzrostu zatrudnienia w organizacji</w:t>
            </w:r>
          </w:p>
          <w:p w:rsidR="000D0008" w:rsidRPr="006A0FA8" w:rsidRDefault="000D0008" w:rsidP="00FD702E">
            <w:pPr>
              <w:spacing w:before="0" w:line="240" w:lineRule="auto"/>
              <w:jc w:val="both"/>
              <w:rPr>
                <w:rFonts w:ascii="Arial Narrow" w:hAnsi="Arial Narrow"/>
                <w:color w:val="333399"/>
                <w:szCs w:val="22"/>
              </w:rPr>
            </w:pPr>
          </w:p>
        </w:tc>
        <w:tc>
          <w:tcPr>
            <w:tcW w:w="1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:rsidR="000D0008" w:rsidRPr="006A0FA8" w:rsidRDefault="000D0008" w:rsidP="00FD702E">
            <w:pPr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horyzontalny</w:t>
            </w:r>
          </w:p>
        </w:tc>
      </w:tr>
      <w:tr w:rsidR="000D0008" w:rsidRPr="00911273" w:rsidTr="007E2D2C">
        <w:trPr>
          <w:cantSplit/>
          <w:trHeight w:val="20"/>
          <w:jc w:val="center"/>
        </w:trPr>
        <w:tc>
          <w:tcPr>
            <w:tcW w:w="1189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D0008" w:rsidRPr="006A0FA8" w:rsidRDefault="000D0008" w:rsidP="00FD702E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6A0FA8">
              <w:rPr>
                <w:rFonts w:asciiTheme="minorHAnsi" w:hAnsiTheme="minorHAnsi" w:cs="ArialNarrow"/>
                <w:szCs w:val="22"/>
              </w:rPr>
              <w:t xml:space="preserve">Liczba nowo utworzonych miejsc pracy - pozostałe formy </w:t>
            </w:r>
          </w:p>
        </w:tc>
        <w:tc>
          <w:tcPr>
            <w:tcW w:w="7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:rsidR="000D0008" w:rsidRPr="006A0FA8" w:rsidRDefault="000D0008" w:rsidP="007E2D2C">
            <w:pPr>
              <w:spacing w:before="0" w:line="240" w:lineRule="auto"/>
              <w:jc w:val="center"/>
              <w:rPr>
                <w:rFonts w:asciiTheme="minorHAnsi" w:hAnsiTheme="minorHAnsi" w:cs="ArialNarrow"/>
                <w:szCs w:val="22"/>
              </w:rPr>
            </w:pPr>
            <w:r w:rsidRPr="006A0FA8">
              <w:rPr>
                <w:rFonts w:asciiTheme="minorHAnsi" w:hAnsiTheme="minorHAnsi" w:cs="ArialNarrow"/>
                <w:szCs w:val="22"/>
              </w:rPr>
              <w:t>EPC</w:t>
            </w:r>
          </w:p>
        </w:tc>
        <w:tc>
          <w:tcPr>
            <w:tcW w:w="20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0D0008" w:rsidRPr="006A0FA8" w:rsidRDefault="000D0008" w:rsidP="00FD702E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Verdana"/>
                <w:szCs w:val="22"/>
                <w:lang w:eastAsia="en-US"/>
              </w:rPr>
            </w:pPr>
            <w:r w:rsidRPr="006A0FA8">
              <w:rPr>
                <w:rFonts w:asciiTheme="minorHAnsi" w:eastAsiaTheme="minorHAnsi" w:hAnsiTheme="minorHAnsi" w:cstheme="minorBidi"/>
                <w:iCs/>
                <w:szCs w:val="22"/>
                <w:lang w:eastAsia="en-US"/>
              </w:rPr>
              <w:t>Pozostałe formy</w:t>
            </w:r>
            <w:r w:rsidRPr="006A0FA8">
              <w:rPr>
                <w:rFonts w:asciiTheme="minorHAnsi" w:eastAsiaTheme="minorHAnsi" w:hAnsiTheme="minorHAnsi" w:cs="Verdana"/>
                <w:szCs w:val="22"/>
                <w:lang w:eastAsia="en-US"/>
              </w:rPr>
              <w:t xml:space="preserve">, np. umowy cywilnoprawne, miejsca pracy do obsługi projektu, nietrwałe miejsca pracy </w:t>
            </w:r>
          </w:p>
          <w:p w:rsidR="000D0008" w:rsidRPr="006A0FA8" w:rsidRDefault="000D0008" w:rsidP="00FD702E">
            <w:pPr>
              <w:spacing w:before="0" w:line="240" w:lineRule="auto"/>
              <w:jc w:val="both"/>
              <w:rPr>
                <w:rFonts w:ascii="Arial Narrow" w:hAnsi="Arial Narrow"/>
                <w:color w:val="333399"/>
                <w:szCs w:val="22"/>
              </w:rPr>
            </w:pPr>
          </w:p>
        </w:tc>
        <w:tc>
          <w:tcPr>
            <w:tcW w:w="1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D0008" w:rsidRPr="006A0FA8" w:rsidRDefault="000D0008" w:rsidP="00FD702E">
            <w:pPr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A0FA8">
              <w:rPr>
                <w:rFonts w:asciiTheme="minorHAnsi" w:hAnsiTheme="minorHAnsi"/>
                <w:szCs w:val="22"/>
              </w:rPr>
              <w:t>horyzontalny</w:t>
            </w:r>
          </w:p>
        </w:tc>
      </w:tr>
    </w:tbl>
    <w:p w:rsidR="008B73B1" w:rsidRDefault="008B73B1" w:rsidP="00DF6D9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C912B2" w:rsidRPr="00C912B2" w:rsidRDefault="00C912B2" w:rsidP="00C912B2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C912B2">
        <w:rPr>
          <w:rFonts w:asciiTheme="minorHAnsi" w:hAnsiTheme="minorHAnsi"/>
          <w:sz w:val="22"/>
          <w:szCs w:val="22"/>
        </w:rPr>
        <w:t>Zgodnie z załącznikiem nr 2 „Lista Wskaźników do wykonania celów pośrednich oraz końcowych”  Aneksu Nr 5 (z dnia 7 sierpnia 201</w:t>
      </w:r>
      <w:r w:rsidR="00246325">
        <w:rPr>
          <w:rFonts w:asciiTheme="minorHAnsi" w:hAnsiTheme="minorHAnsi"/>
          <w:sz w:val="22"/>
          <w:szCs w:val="22"/>
        </w:rPr>
        <w:t>8</w:t>
      </w:r>
      <w:bookmarkStart w:id="3" w:name="_GoBack"/>
      <w:bookmarkEnd w:id="3"/>
      <w:r w:rsidRPr="00C912B2">
        <w:rPr>
          <w:rFonts w:asciiTheme="minorHAnsi" w:hAnsiTheme="minorHAnsi"/>
          <w:sz w:val="22"/>
          <w:szCs w:val="22"/>
        </w:rPr>
        <w:t xml:space="preserve"> r.) do Porozumienia nr DEF-Z/986/15 z dnia 9 czerwca 2015 r. zawartego pomiędzy Województwem Dolnośląskim – Zarządem Województwa Dolnośląskiego, pełniącym funkcję IZ a Gminą Wrocław pełniącą funkcję Instytucji Pośredniczącej, wskaźniki produktu weryfikowane na etapie oceny zgodności ze Strategią ZIT </w:t>
      </w:r>
      <w:proofErr w:type="spellStart"/>
      <w:r w:rsidRPr="00C912B2">
        <w:rPr>
          <w:rFonts w:asciiTheme="minorHAnsi" w:hAnsiTheme="minorHAnsi"/>
          <w:sz w:val="22"/>
          <w:szCs w:val="22"/>
        </w:rPr>
        <w:t>WrOF</w:t>
      </w:r>
      <w:proofErr w:type="spellEnd"/>
      <w:r w:rsidRPr="00C912B2">
        <w:rPr>
          <w:rFonts w:asciiTheme="minorHAnsi" w:hAnsiTheme="minorHAnsi"/>
          <w:sz w:val="22"/>
          <w:szCs w:val="22"/>
        </w:rPr>
        <w:t xml:space="preserve"> są tożsame z wyżej wskazanymi tj.:</w:t>
      </w:r>
    </w:p>
    <w:p w:rsidR="00C912B2" w:rsidRDefault="00C912B2" w:rsidP="00C912B2">
      <w:pPr>
        <w:pStyle w:val="Default"/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C912B2">
        <w:rPr>
          <w:rFonts w:asciiTheme="minorHAnsi" w:hAnsiTheme="minorHAnsi" w:cs="Calibri"/>
          <w:sz w:val="22"/>
          <w:szCs w:val="22"/>
        </w:rPr>
        <w:t xml:space="preserve">Liczba ludności odnoszącej korzyści ze środków ochrony przeciwpowodziowej (CI 20) </w:t>
      </w:r>
      <w:r w:rsidRPr="00C912B2">
        <w:rPr>
          <w:rFonts w:asciiTheme="minorHAnsi" w:hAnsiTheme="minorHAnsi"/>
          <w:sz w:val="22"/>
          <w:szCs w:val="22"/>
        </w:rPr>
        <w:t xml:space="preserve">  </w:t>
      </w:r>
    </w:p>
    <w:p w:rsidR="00C912B2" w:rsidRPr="00C912B2" w:rsidRDefault="00C912B2" w:rsidP="00C912B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Theme="minorHAnsi" w:hAnsiTheme="minorHAnsi" w:cs="ArialNarrow"/>
          <w:szCs w:val="22"/>
        </w:rPr>
      </w:pPr>
      <w:r w:rsidRPr="00C912B2">
        <w:rPr>
          <w:rFonts w:asciiTheme="minorHAnsi" w:hAnsiTheme="minorHAnsi" w:cs="Calibri"/>
          <w:szCs w:val="22"/>
        </w:rPr>
        <w:t xml:space="preserve">Pojemność obiektów małej retencji </w:t>
      </w:r>
    </w:p>
    <w:p w:rsidR="00C912B2" w:rsidRDefault="00C912B2" w:rsidP="00DF6D9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DF6D97" w:rsidRPr="00217AF8" w:rsidRDefault="00DF6D97" w:rsidP="00DF6D9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217AF8">
        <w:rPr>
          <w:rFonts w:asciiTheme="minorHAnsi" w:eastAsiaTheme="minorHAnsi" w:hAnsiTheme="minorHAnsi" w:cs="Arial"/>
          <w:szCs w:val="22"/>
          <w:lang w:eastAsia="en-US"/>
        </w:rPr>
        <w:t xml:space="preserve">W ramach wniosku o dofinansowanie Wnioskodawca ma obowiązek uwzględnić </w:t>
      </w:r>
      <w:r w:rsidRPr="00217AF8">
        <w:rPr>
          <w:rFonts w:asciiTheme="minorHAnsi" w:eastAsiaTheme="minorHAnsi" w:hAnsiTheme="minorHAnsi" w:cs="Arial"/>
          <w:b/>
          <w:szCs w:val="22"/>
          <w:lang w:eastAsia="en-US"/>
        </w:rPr>
        <w:t>wszystkie adekwatne</w:t>
      </w:r>
      <w:r w:rsidRPr="00217AF8">
        <w:rPr>
          <w:rFonts w:asciiTheme="minorHAnsi" w:eastAsiaTheme="minorHAnsi" w:hAnsiTheme="minorHAnsi" w:cs="Arial"/>
          <w:szCs w:val="22"/>
          <w:lang w:eastAsia="en-US"/>
        </w:rPr>
        <w:t xml:space="preserve"> wskaźniki produktu oraz rezultatu bezpośredniego z listy przedstawionej  w powyższych tabelach, odpowiadające celowi projektu. </w:t>
      </w:r>
      <w:r w:rsidRPr="00217AF8">
        <w:rPr>
          <w:rFonts w:asciiTheme="minorHAnsi" w:hAnsiTheme="minorHAnsi"/>
          <w:szCs w:val="22"/>
        </w:rPr>
        <w:t>Dodatkowo w ramach wniosku o dofinansowanie Wnioskodawca może określić inne, dodatkowe wskaźniki specyficzne dla danego projektu, o ile będzie to niezbędne dla prawidłowej realizacji projektu (tzw. wskaźniki projektowe).</w:t>
      </w:r>
    </w:p>
    <w:p w:rsidR="00DF6D97" w:rsidRPr="00217AF8" w:rsidRDefault="00DF6D97" w:rsidP="00DF6D97">
      <w:pPr>
        <w:pStyle w:val="Defaul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7AF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We wniosku o dofinansowanie należy określić, w jaki sposób i na jakiej podstawie mierzone będą wskaźniki realizacji celu projektu poprzez ustalenie źródła weryfikacji/pozyskania danych do pomiaru wskaźnika oraz częstotliwości pomiaru. Dlatego przy określaniu wskaźników należy wziąć pod uwagę dostępność i wiarygodność danych niezbędnych do pomiaru danego wskaźnika. </w:t>
      </w:r>
    </w:p>
    <w:p w:rsidR="00DF6D97" w:rsidRPr="00217AF8" w:rsidRDefault="00DF6D97" w:rsidP="00DF6D97">
      <w:pPr>
        <w:spacing w:line="240" w:lineRule="auto"/>
        <w:jc w:val="both"/>
        <w:rPr>
          <w:rFonts w:asciiTheme="minorHAnsi" w:hAnsiTheme="minorHAnsi" w:cs="Arial"/>
          <w:b/>
          <w:szCs w:val="22"/>
          <w:u w:val="single"/>
        </w:rPr>
      </w:pPr>
      <w:r w:rsidRPr="00217AF8">
        <w:rPr>
          <w:rFonts w:asciiTheme="minorHAnsi" w:hAnsiTheme="minorHAnsi" w:cs="Arial"/>
          <w:b/>
          <w:szCs w:val="22"/>
          <w:u w:val="single"/>
        </w:rPr>
        <w:t>Wartość bazowa (tzn. wartość w momencie rozpoczęcia realizacji projektu) w przypadku każdego wskaźnika powinna być wykazana na poziomie „0”.</w:t>
      </w:r>
    </w:p>
    <w:p w:rsidR="00DF6D97" w:rsidRPr="00217AF8" w:rsidRDefault="00DF6D97" w:rsidP="00DF6D97">
      <w:pPr>
        <w:spacing w:line="240" w:lineRule="auto"/>
        <w:jc w:val="both"/>
        <w:rPr>
          <w:rFonts w:asciiTheme="minorHAnsi" w:hAnsiTheme="minorHAnsi" w:cs="Arial"/>
          <w:b/>
          <w:szCs w:val="22"/>
          <w:u w:val="single"/>
        </w:rPr>
      </w:pPr>
      <w:r w:rsidRPr="00217AF8">
        <w:rPr>
          <w:rFonts w:asciiTheme="minorHAnsi" w:hAnsiTheme="minorHAnsi" w:cs="Arial"/>
          <w:b/>
          <w:szCs w:val="22"/>
          <w:u w:val="single"/>
        </w:rPr>
        <w:t xml:space="preserve">O ile w umowie o dofinansowanie projektu nie wskazano inaczej, efekt wsparcia na poziomie projektu występuje: </w:t>
      </w:r>
    </w:p>
    <w:p w:rsidR="00DF6D97" w:rsidRPr="00217AF8" w:rsidRDefault="00DF6D97" w:rsidP="00DF6D97">
      <w:pPr>
        <w:spacing w:line="240" w:lineRule="auto"/>
        <w:jc w:val="both"/>
        <w:rPr>
          <w:rFonts w:asciiTheme="minorHAnsi" w:hAnsiTheme="minorHAnsi" w:cs="Arial"/>
          <w:b/>
          <w:szCs w:val="22"/>
          <w:u w:val="single"/>
        </w:rPr>
      </w:pPr>
      <w:r w:rsidRPr="00217AF8">
        <w:rPr>
          <w:rFonts w:asciiTheme="minorHAnsi" w:hAnsiTheme="minorHAnsi" w:cs="Arial"/>
          <w:b/>
          <w:szCs w:val="22"/>
          <w:u w:val="single"/>
        </w:rPr>
        <w:t xml:space="preserve">a) w przypadku wskaźników produktu – w okresie od podpisania umowy o dofinansowanie, przy czym osiągnięte wartości powinny zostać wykazane najpóźniej we wniosku o płatność końcową, </w:t>
      </w:r>
    </w:p>
    <w:p w:rsidR="00DF6D97" w:rsidRPr="00217AF8" w:rsidRDefault="00DF6D97" w:rsidP="00DF6D97">
      <w:pPr>
        <w:spacing w:line="240" w:lineRule="auto"/>
        <w:jc w:val="both"/>
        <w:rPr>
          <w:rFonts w:asciiTheme="minorHAnsi" w:hAnsiTheme="minorHAnsi" w:cs="Arial"/>
          <w:b/>
          <w:szCs w:val="22"/>
          <w:u w:val="single"/>
        </w:rPr>
      </w:pPr>
      <w:r w:rsidRPr="00217AF8">
        <w:rPr>
          <w:rFonts w:asciiTheme="minorHAnsi" w:hAnsiTheme="minorHAnsi" w:cs="Arial"/>
          <w:b/>
          <w:szCs w:val="22"/>
          <w:u w:val="single"/>
        </w:rPr>
        <w:t xml:space="preserve">b) w przypadku wskaźników rezultatu określonych na poziomie projektu: </w:t>
      </w:r>
    </w:p>
    <w:p w:rsidR="00DF6D97" w:rsidRPr="00217AF8" w:rsidRDefault="00DF6D97" w:rsidP="00DF6D97">
      <w:pPr>
        <w:pStyle w:val="Akapitzlist"/>
        <w:numPr>
          <w:ilvl w:val="0"/>
          <w:numId w:val="6"/>
        </w:numPr>
        <w:spacing w:before="0" w:after="200" w:line="240" w:lineRule="auto"/>
        <w:ind w:left="1080"/>
        <w:contextualSpacing/>
        <w:jc w:val="both"/>
        <w:rPr>
          <w:rFonts w:asciiTheme="minorHAnsi" w:hAnsiTheme="minorHAnsi" w:cs="Arial"/>
          <w:b/>
          <w:szCs w:val="22"/>
          <w:u w:val="single"/>
        </w:rPr>
      </w:pPr>
      <w:r w:rsidRPr="00217AF8">
        <w:rPr>
          <w:rFonts w:asciiTheme="minorHAnsi" w:hAnsiTheme="minorHAnsi" w:cs="Arial"/>
          <w:b/>
          <w:szCs w:val="22"/>
          <w:u w:val="single"/>
        </w:rPr>
        <w:t>co do zasady – w okresie 12 miesięcy od zakończenia okresu realizacji projektu określonego w umowie o dofinansowaniu projektu lub, o ile wynika to ze specyfiki projektu, od uruchomienia przedsięwzięcia, przy czym osiągnięte wartości wykazywane są w korekcie do wniosku o płatność końcową.</w:t>
      </w:r>
    </w:p>
    <w:p w:rsidR="0032765F" w:rsidRPr="00911273" w:rsidRDefault="0032765F" w:rsidP="007650AC">
      <w:pPr>
        <w:spacing w:line="240" w:lineRule="auto"/>
        <w:rPr>
          <w:szCs w:val="22"/>
        </w:rPr>
      </w:pPr>
    </w:p>
    <w:sectPr w:rsidR="0032765F" w:rsidRPr="00911273" w:rsidSect="00830641">
      <w:headerReference w:type="default" r:id="rId9"/>
      <w:footerReference w:type="default" r:id="rId10"/>
      <w:pgSz w:w="11906" w:h="16838"/>
      <w:pgMar w:top="1417" w:right="1417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DA" w:rsidRDefault="00247EDA" w:rsidP="008C495E">
      <w:pPr>
        <w:spacing w:before="0" w:line="240" w:lineRule="auto"/>
      </w:pPr>
      <w:r>
        <w:separator/>
      </w:r>
    </w:p>
  </w:endnote>
  <w:endnote w:type="continuationSeparator" w:id="0">
    <w:p w:rsidR="00247EDA" w:rsidRDefault="00247EDA" w:rsidP="008C49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00"/>
    <w:family w:val="swiss"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49031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30641" w:rsidRPr="00830641" w:rsidRDefault="00830641">
        <w:pPr>
          <w:pStyle w:val="Stopka"/>
          <w:jc w:val="center"/>
          <w:rPr>
            <w:rFonts w:asciiTheme="minorHAnsi" w:hAnsiTheme="minorHAnsi"/>
          </w:rPr>
        </w:pPr>
        <w:r w:rsidRPr="00830641">
          <w:rPr>
            <w:rFonts w:asciiTheme="minorHAnsi" w:hAnsiTheme="minorHAnsi"/>
          </w:rPr>
          <w:fldChar w:fldCharType="begin"/>
        </w:r>
        <w:r w:rsidRPr="00830641">
          <w:rPr>
            <w:rFonts w:asciiTheme="minorHAnsi" w:hAnsiTheme="minorHAnsi"/>
          </w:rPr>
          <w:instrText>PAGE   \* MERGEFORMAT</w:instrText>
        </w:r>
        <w:r w:rsidRPr="00830641">
          <w:rPr>
            <w:rFonts w:asciiTheme="minorHAnsi" w:hAnsiTheme="minorHAnsi"/>
          </w:rPr>
          <w:fldChar w:fldCharType="separate"/>
        </w:r>
        <w:r w:rsidR="006C0A2C">
          <w:rPr>
            <w:rFonts w:asciiTheme="minorHAnsi" w:hAnsiTheme="minorHAnsi"/>
            <w:noProof/>
          </w:rPr>
          <w:t>6</w:t>
        </w:r>
        <w:r w:rsidRPr="00830641">
          <w:rPr>
            <w:rFonts w:asciiTheme="minorHAnsi" w:hAnsiTheme="minorHAnsi"/>
          </w:rPr>
          <w:fldChar w:fldCharType="end"/>
        </w:r>
      </w:p>
    </w:sdtContent>
  </w:sdt>
  <w:p w:rsidR="00830641" w:rsidRDefault="00830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DA" w:rsidRDefault="00247EDA" w:rsidP="008C495E">
      <w:pPr>
        <w:spacing w:before="0" w:line="240" w:lineRule="auto"/>
      </w:pPr>
      <w:r>
        <w:separator/>
      </w:r>
    </w:p>
  </w:footnote>
  <w:footnote w:type="continuationSeparator" w:id="0">
    <w:p w:rsidR="00247EDA" w:rsidRDefault="00247EDA" w:rsidP="008C495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8F" w:rsidRPr="00C0278F" w:rsidRDefault="00C0278F" w:rsidP="00A33762">
    <w:pPr>
      <w:pStyle w:val="Nagwek"/>
      <w:jc w:val="right"/>
      <w:rPr>
        <w:rFonts w:asciiTheme="minorHAnsi" w:hAnsiTheme="minorHAnsi"/>
        <w:sz w:val="20"/>
      </w:rPr>
    </w:pPr>
    <w:r>
      <w:tab/>
    </w:r>
    <w:r w:rsidRPr="00C0278F">
      <w:rPr>
        <w:rFonts w:asciiTheme="minorHAnsi" w:hAnsiTheme="minorHAnsi"/>
        <w:sz w:val="20"/>
      </w:rPr>
      <w:t xml:space="preserve">Załącznik  nr </w:t>
    </w:r>
    <w:r w:rsidR="00B65B2E">
      <w:rPr>
        <w:rFonts w:asciiTheme="minorHAnsi" w:hAnsiTheme="minorHAnsi"/>
        <w:sz w:val="20"/>
      </w:rPr>
      <w:t>2</w:t>
    </w:r>
    <w:r w:rsidRPr="00C0278F">
      <w:rPr>
        <w:rFonts w:asciiTheme="minorHAnsi" w:hAnsiTheme="minorHAnsi"/>
        <w:sz w:val="20"/>
      </w:rPr>
      <w:t xml:space="preserve"> do Regulaminu konkursu </w:t>
    </w:r>
  </w:p>
  <w:p w:rsidR="00C0278F" w:rsidRDefault="00C0278F" w:rsidP="00A33762">
    <w:pPr>
      <w:spacing w:before="0"/>
      <w:jc w:val="right"/>
    </w:pPr>
    <w:r w:rsidRPr="00C0278F">
      <w:rPr>
        <w:rFonts w:asciiTheme="minorHAnsi" w:hAnsiTheme="minorHAnsi"/>
        <w:sz w:val="20"/>
      </w:rPr>
      <w:t xml:space="preserve">Nr naboru </w:t>
    </w:r>
    <w:r w:rsidR="00A33762" w:rsidRPr="00A33762">
      <w:rPr>
        <w:rFonts w:asciiTheme="minorHAnsi" w:hAnsiTheme="minorHAnsi"/>
        <w:sz w:val="20"/>
      </w:rPr>
      <w:t>RPDS.04.05.02-IZ.00-02-317/18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192"/>
    <w:multiLevelType w:val="multilevel"/>
    <w:tmpl w:val="237818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CC7735"/>
    <w:multiLevelType w:val="hybridMultilevel"/>
    <w:tmpl w:val="1B862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56F3C"/>
    <w:multiLevelType w:val="hybridMultilevel"/>
    <w:tmpl w:val="202E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419B7"/>
    <w:multiLevelType w:val="hybridMultilevel"/>
    <w:tmpl w:val="35F6A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B5CBB"/>
    <w:multiLevelType w:val="hybridMultilevel"/>
    <w:tmpl w:val="6DB89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10331B"/>
    <w:multiLevelType w:val="hybridMultilevel"/>
    <w:tmpl w:val="7CF431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EB0D58"/>
    <w:multiLevelType w:val="hybridMultilevel"/>
    <w:tmpl w:val="27FEA4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4E6257"/>
    <w:multiLevelType w:val="hybridMultilevel"/>
    <w:tmpl w:val="3E6A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5E"/>
    <w:rsid w:val="00094C3F"/>
    <w:rsid w:val="000B7AC3"/>
    <w:rsid w:val="000D0008"/>
    <w:rsid w:val="000F5C98"/>
    <w:rsid w:val="00141571"/>
    <w:rsid w:val="0015486C"/>
    <w:rsid w:val="00181054"/>
    <w:rsid w:val="0018137B"/>
    <w:rsid w:val="00191605"/>
    <w:rsid w:val="001C4F9E"/>
    <w:rsid w:val="001D1816"/>
    <w:rsid w:val="00246325"/>
    <w:rsid w:val="00247EDA"/>
    <w:rsid w:val="00253FAA"/>
    <w:rsid w:val="00273701"/>
    <w:rsid w:val="002972E4"/>
    <w:rsid w:val="002D5507"/>
    <w:rsid w:val="002E6E1E"/>
    <w:rsid w:val="002F3FD3"/>
    <w:rsid w:val="002F6273"/>
    <w:rsid w:val="00322399"/>
    <w:rsid w:val="0032765F"/>
    <w:rsid w:val="00340A6B"/>
    <w:rsid w:val="003424BF"/>
    <w:rsid w:val="00370466"/>
    <w:rsid w:val="003B7C59"/>
    <w:rsid w:val="003C5549"/>
    <w:rsid w:val="003C55C7"/>
    <w:rsid w:val="003D2C3D"/>
    <w:rsid w:val="003D3BC5"/>
    <w:rsid w:val="0041446A"/>
    <w:rsid w:val="00421C29"/>
    <w:rsid w:val="00433A72"/>
    <w:rsid w:val="0046263E"/>
    <w:rsid w:val="00471B0C"/>
    <w:rsid w:val="00476947"/>
    <w:rsid w:val="004B303A"/>
    <w:rsid w:val="004C1A62"/>
    <w:rsid w:val="00516B06"/>
    <w:rsid w:val="00522930"/>
    <w:rsid w:val="00522C13"/>
    <w:rsid w:val="00535E8F"/>
    <w:rsid w:val="00554023"/>
    <w:rsid w:val="00555321"/>
    <w:rsid w:val="005657D8"/>
    <w:rsid w:val="00570D1E"/>
    <w:rsid w:val="005F044E"/>
    <w:rsid w:val="0060140B"/>
    <w:rsid w:val="00620A45"/>
    <w:rsid w:val="00635DB0"/>
    <w:rsid w:val="0063731A"/>
    <w:rsid w:val="006A09F0"/>
    <w:rsid w:val="006C0A2C"/>
    <w:rsid w:val="006C652C"/>
    <w:rsid w:val="00701E65"/>
    <w:rsid w:val="00704612"/>
    <w:rsid w:val="00704B1F"/>
    <w:rsid w:val="00723BBC"/>
    <w:rsid w:val="007300ED"/>
    <w:rsid w:val="00741B27"/>
    <w:rsid w:val="007650AC"/>
    <w:rsid w:val="00785000"/>
    <w:rsid w:val="00787387"/>
    <w:rsid w:val="007A172C"/>
    <w:rsid w:val="007D1CF1"/>
    <w:rsid w:val="007D7DE7"/>
    <w:rsid w:val="007E025A"/>
    <w:rsid w:val="007E2D2C"/>
    <w:rsid w:val="007E6D53"/>
    <w:rsid w:val="00822185"/>
    <w:rsid w:val="00830641"/>
    <w:rsid w:val="0083716C"/>
    <w:rsid w:val="008A09D1"/>
    <w:rsid w:val="008A195C"/>
    <w:rsid w:val="008B21E1"/>
    <w:rsid w:val="008B73B1"/>
    <w:rsid w:val="008C495E"/>
    <w:rsid w:val="008E3F0D"/>
    <w:rsid w:val="009024D3"/>
    <w:rsid w:val="00911273"/>
    <w:rsid w:val="009456DB"/>
    <w:rsid w:val="00965BB1"/>
    <w:rsid w:val="009D3C56"/>
    <w:rsid w:val="009E65D0"/>
    <w:rsid w:val="00A25539"/>
    <w:rsid w:val="00A33762"/>
    <w:rsid w:val="00A81480"/>
    <w:rsid w:val="00A816DE"/>
    <w:rsid w:val="00A87308"/>
    <w:rsid w:val="00AD2437"/>
    <w:rsid w:val="00AF1D78"/>
    <w:rsid w:val="00B204DD"/>
    <w:rsid w:val="00B235B0"/>
    <w:rsid w:val="00B65B2E"/>
    <w:rsid w:val="00B80838"/>
    <w:rsid w:val="00B840A9"/>
    <w:rsid w:val="00BA2582"/>
    <w:rsid w:val="00BB367B"/>
    <w:rsid w:val="00BC03CE"/>
    <w:rsid w:val="00BD1CC9"/>
    <w:rsid w:val="00C0278F"/>
    <w:rsid w:val="00C10532"/>
    <w:rsid w:val="00C40E8D"/>
    <w:rsid w:val="00C90F5E"/>
    <w:rsid w:val="00C912B2"/>
    <w:rsid w:val="00CC7758"/>
    <w:rsid w:val="00CF69D1"/>
    <w:rsid w:val="00D03CAB"/>
    <w:rsid w:val="00D11CB4"/>
    <w:rsid w:val="00D11E26"/>
    <w:rsid w:val="00D5098A"/>
    <w:rsid w:val="00D56A03"/>
    <w:rsid w:val="00D56E5D"/>
    <w:rsid w:val="00D93881"/>
    <w:rsid w:val="00DF6D97"/>
    <w:rsid w:val="00E32B6F"/>
    <w:rsid w:val="00E61834"/>
    <w:rsid w:val="00E72468"/>
    <w:rsid w:val="00E83262"/>
    <w:rsid w:val="00E90CA0"/>
    <w:rsid w:val="00E9718E"/>
    <w:rsid w:val="00EB34D2"/>
    <w:rsid w:val="00F02218"/>
    <w:rsid w:val="00F11106"/>
    <w:rsid w:val="00F223FC"/>
    <w:rsid w:val="00FA51D7"/>
    <w:rsid w:val="00FC6B1D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584F-104E-4EDF-8D7E-B71510B9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2098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Małgorzata Domaradzka</cp:lastModifiedBy>
  <cp:revision>23</cp:revision>
  <cp:lastPrinted>2018-09-19T10:59:00Z</cp:lastPrinted>
  <dcterms:created xsi:type="dcterms:W3CDTF">2017-03-03T07:55:00Z</dcterms:created>
  <dcterms:modified xsi:type="dcterms:W3CDTF">2018-09-19T11:12:00Z</dcterms:modified>
</cp:coreProperties>
</file>