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4EA3" w:rsidRPr="0054117A" w:rsidRDefault="00114EA3" w:rsidP="00114EA3">
      <w:pPr>
        <w:tabs>
          <w:tab w:val="center" w:pos="4536"/>
          <w:tab w:val="right" w:pos="9072"/>
        </w:tabs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>Załączn</w:t>
      </w:r>
      <w:r>
        <w:rPr>
          <w:rFonts w:asciiTheme="minorHAnsi" w:eastAsia="Times New Roman" w:hAnsiTheme="minorHAnsi" w:cs="Times New Roman"/>
          <w:sz w:val="18"/>
          <w:szCs w:val="18"/>
        </w:rPr>
        <w:t>ik nr 3</w:t>
      </w: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 do Regulaminu konkursu</w:t>
      </w:r>
    </w:p>
    <w:p w:rsidR="00114EA3" w:rsidRDefault="00114EA3" w:rsidP="00114EA3">
      <w:pPr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54117A">
        <w:rPr>
          <w:rFonts w:asciiTheme="minorHAnsi" w:eastAsia="Times New Roman" w:hAnsiTheme="minorHAnsi" w:cs="Times New Roman"/>
          <w:sz w:val="18"/>
          <w:szCs w:val="18"/>
        </w:rPr>
        <w:t xml:space="preserve">Nr naboru </w:t>
      </w:r>
      <w:r w:rsidR="00801292">
        <w:rPr>
          <w:rFonts w:asciiTheme="minorHAnsi" w:eastAsia="Times New Roman" w:hAnsiTheme="minorHAnsi" w:cs="Times New Roman"/>
          <w:sz w:val="18"/>
          <w:szCs w:val="18"/>
        </w:rPr>
        <w:t>RPDS.07.02.02-IZ.00-02-</w:t>
      </w:r>
      <w:r w:rsidR="009F209E">
        <w:rPr>
          <w:rFonts w:asciiTheme="minorHAnsi" w:eastAsia="Times New Roman" w:hAnsiTheme="minorHAnsi" w:cs="Times New Roman"/>
          <w:sz w:val="18"/>
          <w:szCs w:val="18"/>
        </w:rPr>
        <w:t>312</w:t>
      </w:r>
      <w:r w:rsidRPr="00ED1F8E">
        <w:rPr>
          <w:rFonts w:asciiTheme="minorHAnsi" w:eastAsia="Times New Roman" w:hAnsiTheme="minorHAnsi" w:cs="Times New Roman"/>
          <w:sz w:val="18"/>
          <w:szCs w:val="18"/>
        </w:rPr>
        <w:t>/18</w:t>
      </w:r>
    </w:p>
    <w:p w:rsidR="00801292" w:rsidRPr="0054117A" w:rsidRDefault="00801292" w:rsidP="00114EA3">
      <w:pPr>
        <w:jc w:val="right"/>
        <w:rPr>
          <w:rFonts w:asciiTheme="minorHAnsi" w:eastAsia="Times New Roman" w:hAnsiTheme="minorHAnsi" w:cs="Times New Roman"/>
          <w:sz w:val="18"/>
          <w:szCs w:val="18"/>
        </w:rPr>
      </w:pPr>
      <w:r>
        <w:rPr>
          <w:rFonts w:asciiTheme="minorHAnsi" w:eastAsia="Times New Roman" w:hAnsiTheme="minorHAnsi" w:cs="Times New Roman"/>
          <w:sz w:val="18"/>
          <w:szCs w:val="18"/>
        </w:rPr>
        <w:t>Nr naboru RPDS.07.02.03</w:t>
      </w:r>
      <w:r w:rsidRPr="00801292">
        <w:rPr>
          <w:rFonts w:asciiTheme="minorHAnsi" w:eastAsia="Times New Roman" w:hAnsiTheme="minorHAnsi" w:cs="Times New Roman"/>
          <w:sz w:val="18"/>
          <w:szCs w:val="18"/>
        </w:rPr>
        <w:t>-IZ.00-02-</w:t>
      </w:r>
      <w:r w:rsidR="009F209E">
        <w:rPr>
          <w:rFonts w:asciiTheme="minorHAnsi" w:eastAsia="Times New Roman" w:hAnsiTheme="minorHAnsi" w:cs="Times New Roman"/>
          <w:sz w:val="18"/>
          <w:szCs w:val="18"/>
        </w:rPr>
        <w:t>313</w:t>
      </w:r>
      <w:r w:rsidRPr="00801292">
        <w:rPr>
          <w:rFonts w:asciiTheme="minorHAnsi" w:eastAsia="Times New Roman" w:hAnsiTheme="minorHAnsi" w:cs="Times New Roman"/>
          <w:sz w:val="18"/>
          <w:szCs w:val="18"/>
        </w:rPr>
        <w:t>/18</w:t>
      </w:r>
    </w:p>
    <w:p w:rsidR="00DF13D5" w:rsidRPr="00F60AEB" w:rsidRDefault="00F303E4">
      <w:pPr>
        <w:spacing w:line="254" w:lineRule="auto"/>
        <w:ind w:right="100"/>
        <w:jc w:val="center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DC0846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1249C4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:rsidR="001249C4" w:rsidRPr="00530EE0" w:rsidRDefault="00114EA3" w:rsidP="00A172FC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  <w:r w:rsidR="00E46C57">
              <w:rPr>
                <w:rFonts w:asciiTheme="minorHAnsi" w:eastAsia="Calibri Light" w:hAnsiTheme="minorHAnsi"/>
                <w:sz w:val="22"/>
              </w:rPr>
              <w:t>-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14EA3" w:rsidP="0064602B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sz w:val="22"/>
              </w:rPr>
            </w:pPr>
            <w:r>
              <w:rPr>
                <w:rFonts w:asciiTheme="minorHAnsi" w:eastAsia="Calibri Light" w:hAnsiTheme="minorHAnsi"/>
                <w:sz w:val="22"/>
              </w:rPr>
              <w:t>(wypełnione automatycznie dla każdego regulaminu konkursu)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23E72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6D0AF0">
              <w:rPr>
                <w:rFonts w:asciiTheme="minorHAnsi" w:eastAsia="Calibri Light" w:hAnsiTheme="minorHAnsi"/>
              </w:rPr>
              <w:t>naborze</w:t>
            </w:r>
            <w:r w:rsidR="006D0AF0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papierowej i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:rsidR="00C23E72" w:rsidRPr="00530EE0" w:rsidRDefault="008D3903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eastAsia="Calibri Light"/>
              </w:rPr>
              <w:t xml:space="preserve">Suma kontrolna </w:t>
            </w:r>
            <w:r w:rsidR="00832BC5" w:rsidRPr="00530EE0">
              <w:rPr>
                <w:rFonts w:eastAsia="Calibri Light"/>
              </w:rPr>
              <w:t>papierowej wersji wniosku musi być identyczna z sumą kontroln</w:t>
            </w:r>
            <w:r w:rsidR="00832BC5">
              <w:rPr>
                <w:rFonts w:eastAsia="Calibri Light"/>
              </w:rPr>
              <w:t xml:space="preserve">ą </w:t>
            </w:r>
            <w:r w:rsidRPr="00530EE0">
              <w:rPr>
                <w:rFonts w:eastAsia="Calibri Light"/>
              </w:rPr>
              <w:t>wersji elektronicznej wniosku (w systemie).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 wskazanych w Regulaminie konkursu?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8E060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posiada </w:t>
            </w:r>
            <w:r w:rsidR="008E060A">
              <w:rPr>
                <w:rFonts w:asciiTheme="minorHAnsi" w:eastAsia="Calibri Light" w:hAnsiTheme="minorHAnsi"/>
              </w:rPr>
              <w:t xml:space="preserve">w wersji papierowej </w:t>
            </w:r>
            <w:r w:rsidRPr="00530EE0">
              <w:rPr>
                <w:rFonts w:asciiTheme="minorHAnsi" w:eastAsia="Calibri Light" w:hAnsiTheme="minorHAnsi"/>
              </w:rPr>
              <w:t xml:space="preserve">komplet </w:t>
            </w:r>
            <w:r w:rsidR="00CA7BA3">
              <w:rPr>
                <w:rFonts w:asciiTheme="minorHAnsi" w:eastAsia="Calibri Light" w:hAnsiTheme="minorHAnsi"/>
              </w:rPr>
              <w:t xml:space="preserve">dokumentacji </w:t>
            </w:r>
            <w:r w:rsidR="008E060A">
              <w:rPr>
                <w:rFonts w:asciiTheme="minorHAnsi" w:eastAsia="Calibri Light" w:hAnsiTheme="minorHAnsi"/>
              </w:rPr>
              <w:t>wskazanej w wersji elektronicznej  i/lub wynikających z wezwania IOK, do uzupełnienia przez wnioskodawcę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wniosek wraz z załącznikami w </w:t>
            </w:r>
            <w:r w:rsidRPr="00530EE0">
              <w:rPr>
                <w:rFonts w:asciiTheme="minorHAnsi" w:eastAsia="Calibri Light" w:hAnsiTheme="minorHAnsi"/>
              </w:rPr>
              <w:t>wersj</w:t>
            </w:r>
            <w:r w:rsidR="00530EE0" w:rsidRPr="00530EE0">
              <w:rPr>
                <w:rFonts w:asciiTheme="minorHAnsi" w:eastAsia="Calibri Light" w:hAnsiTheme="minorHAnsi"/>
              </w:rPr>
              <w:t>i</w:t>
            </w:r>
            <w:r w:rsidRPr="00530EE0">
              <w:rPr>
                <w:rFonts w:asciiTheme="minorHAnsi" w:eastAsia="Calibri Light" w:hAnsiTheme="minorHAnsi"/>
              </w:rPr>
              <w:t xml:space="preserve"> papierow</w:t>
            </w:r>
            <w:r w:rsidR="00530EE0" w:rsidRPr="00530EE0">
              <w:rPr>
                <w:rFonts w:asciiTheme="minorHAnsi" w:eastAsia="Calibri Light" w:hAnsiTheme="minorHAnsi"/>
              </w:rPr>
              <w:t>ej</w:t>
            </w:r>
            <w:r w:rsidRPr="00530EE0">
              <w:rPr>
                <w:rFonts w:asciiTheme="minorHAnsi" w:eastAsia="Calibri Light" w:hAnsiTheme="minorHAnsi"/>
              </w:rPr>
              <w:t xml:space="preserve"> zawiera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9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 w:rsidR="00251685">
              <w:rPr>
                <w:rFonts w:asciiTheme="minorHAnsi" w:eastAsia="Calibri Light" w:hAnsiTheme="minorHAnsi"/>
              </w:rPr>
              <w:t xml:space="preserve">wraz z załącznikami </w:t>
            </w:r>
            <w:r w:rsidRPr="00530EE0">
              <w:rPr>
                <w:rFonts w:asciiTheme="minorHAnsi" w:eastAsia="Calibri Light" w:hAnsiTheme="minorHAnsi"/>
              </w:rPr>
              <w:t>jest podpisany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wnioskodawcy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:rsidTr="00251685">
        <w:tc>
          <w:tcPr>
            <w:tcW w:w="714" w:type="dxa"/>
            <w:vAlign w:val="center"/>
          </w:tcPr>
          <w:p w:rsidR="00251685" w:rsidRPr="00530EE0" w:rsidRDefault="000E3C3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10</w:t>
            </w:r>
          </w:p>
        </w:tc>
        <w:tc>
          <w:tcPr>
            <w:tcW w:w="4678" w:type="dxa"/>
            <w:vAlign w:val="center"/>
          </w:tcPr>
          <w:p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bookmarkStart w:id="0" w:name="_GoBack"/>
      <w:bookmarkEnd w:id="0"/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9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4A" w:rsidRDefault="00FB6F4A" w:rsidP="006D1F58">
      <w:r>
        <w:separator/>
      </w:r>
    </w:p>
  </w:endnote>
  <w:endnote w:type="continuationSeparator" w:id="0">
    <w:p w:rsidR="00FB6F4A" w:rsidRDefault="00FB6F4A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4A" w:rsidRDefault="00FB6F4A" w:rsidP="006D1F58">
      <w:r>
        <w:separator/>
      </w:r>
    </w:p>
  </w:footnote>
  <w:footnote w:type="continuationSeparator" w:id="0">
    <w:p w:rsidR="00FB6F4A" w:rsidRDefault="00FB6F4A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jest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07206A2A" wp14:editId="0195811D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2"/>
    <w:rsid w:val="000B6B92"/>
    <w:rsid w:val="000E3C3D"/>
    <w:rsid w:val="00114EA3"/>
    <w:rsid w:val="001249C4"/>
    <w:rsid w:val="001352CD"/>
    <w:rsid w:val="00172C04"/>
    <w:rsid w:val="001D33C6"/>
    <w:rsid w:val="001E4ACF"/>
    <w:rsid w:val="001E6038"/>
    <w:rsid w:val="001F2788"/>
    <w:rsid w:val="00251685"/>
    <w:rsid w:val="002931B1"/>
    <w:rsid w:val="002C604D"/>
    <w:rsid w:val="002D41F3"/>
    <w:rsid w:val="00337D88"/>
    <w:rsid w:val="0035243E"/>
    <w:rsid w:val="00442343"/>
    <w:rsid w:val="0046648C"/>
    <w:rsid w:val="004B0A0E"/>
    <w:rsid w:val="004E44AD"/>
    <w:rsid w:val="005050E0"/>
    <w:rsid w:val="00530EE0"/>
    <w:rsid w:val="00533C1C"/>
    <w:rsid w:val="00575983"/>
    <w:rsid w:val="0060194A"/>
    <w:rsid w:val="0062402F"/>
    <w:rsid w:val="0064602B"/>
    <w:rsid w:val="00683FE4"/>
    <w:rsid w:val="006D0AF0"/>
    <w:rsid w:val="006D1F58"/>
    <w:rsid w:val="00734151"/>
    <w:rsid w:val="00786C47"/>
    <w:rsid w:val="00801292"/>
    <w:rsid w:val="00832BC5"/>
    <w:rsid w:val="008653E4"/>
    <w:rsid w:val="00896978"/>
    <w:rsid w:val="008B38B8"/>
    <w:rsid w:val="008D3903"/>
    <w:rsid w:val="008E060A"/>
    <w:rsid w:val="009256DE"/>
    <w:rsid w:val="009420BB"/>
    <w:rsid w:val="00945179"/>
    <w:rsid w:val="009F209E"/>
    <w:rsid w:val="00A172FC"/>
    <w:rsid w:val="00A3645B"/>
    <w:rsid w:val="00A46DA2"/>
    <w:rsid w:val="00AC30DD"/>
    <w:rsid w:val="00AD1490"/>
    <w:rsid w:val="00AF6F54"/>
    <w:rsid w:val="00B616CA"/>
    <w:rsid w:val="00BF00A9"/>
    <w:rsid w:val="00C23E72"/>
    <w:rsid w:val="00C8407A"/>
    <w:rsid w:val="00CA7BA3"/>
    <w:rsid w:val="00D50953"/>
    <w:rsid w:val="00DC0846"/>
    <w:rsid w:val="00DE7491"/>
    <w:rsid w:val="00DF13D5"/>
    <w:rsid w:val="00E46C57"/>
    <w:rsid w:val="00E517AF"/>
    <w:rsid w:val="00E858E5"/>
    <w:rsid w:val="00EE5A82"/>
    <w:rsid w:val="00F303E4"/>
    <w:rsid w:val="00F60AEB"/>
    <w:rsid w:val="00F65F90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349E-55C6-49E2-96B5-3C4F2B70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494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Małgorzata Domaradzka</cp:lastModifiedBy>
  <cp:revision>5</cp:revision>
  <cp:lastPrinted>2018-07-16T08:38:00Z</cp:lastPrinted>
  <dcterms:created xsi:type="dcterms:W3CDTF">2018-06-11T09:34:00Z</dcterms:created>
  <dcterms:modified xsi:type="dcterms:W3CDTF">2018-07-16T09:04:00Z</dcterms:modified>
</cp:coreProperties>
</file>