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39D9AC93"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401430" w:rsidRPr="003A7AE2">
        <w:rPr>
          <w:rFonts w:asciiTheme="minorHAnsi" w:hAnsiTheme="minorHAnsi" w:cs="Calibri"/>
          <w:b/>
          <w:szCs w:val="22"/>
        </w:rPr>
        <w:t>5.</w:t>
      </w:r>
      <w:r w:rsidR="00D9145D">
        <w:rPr>
          <w:rFonts w:asciiTheme="minorHAnsi" w:hAnsiTheme="minorHAnsi" w:cs="Calibri"/>
          <w:b/>
          <w:szCs w:val="22"/>
        </w:rPr>
        <w:t>2</w:t>
      </w:r>
      <w:r w:rsidR="000E5C5E" w:rsidRPr="003A7AE2">
        <w:rPr>
          <w:rFonts w:asciiTheme="minorHAnsi" w:hAnsiTheme="minorHAnsi" w:cs="Calibri"/>
          <w:b/>
          <w:szCs w:val="22"/>
        </w:rPr>
        <w:t xml:space="preserve"> </w:t>
      </w:r>
      <w:r w:rsidR="00D9145D">
        <w:rPr>
          <w:rFonts w:asciiTheme="minorHAnsi" w:hAnsiTheme="minorHAnsi" w:cs="Calibri"/>
          <w:b/>
          <w:color w:val="000000"/>
          <w:szCs w:val="22"/>
        </w:rPr>
        <w:t>System transportu kolejowego</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2E0F943E" w14:textId="77777777" w:rsidR="00000BE9" w:rsidRPr="00000BE9" w:rsidRDefault="00000BE9" w:rsidP="00000BE9">
      <w:pPr>
        <w:autoSpaceDE w:val="0"/>
        <w:autoSpaceDN w:val="0"/>
        <w:adjustRightInd w:val="0"/>
        <w:spacing w:before="0" w:after="120" w:line="240" w:lineRule="auto"/>
        <w:jc w:val="both"/>
        <w:rPr>
          <w:rFonts w:asciiTheme="minorHAnsi" w:hAnsiTheme="minorHAnsi"/>
          <w:szCs w:val="22"/>
        </w:rPr>
      </w:pPr>
      <w:r w:rsidRPr="00000BE9">
        <w:rPr>
          <w:rFonts w:asciiTheme="minorHAnsi" w:hAnsiTheme="minorHAnsi"/>
          <w:szCs w:val="22"/>
        </w:rPr>
        <w:t xml:space="preserve">W ramach Działania 5.2 określono poniższe wskaźniki </w:t>
      </w:r>
      <w:r w:rsidRPr="00000BE9">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000BE9" w14:paraId="71068CCB" w14:textId="77777777" w:rsidTr="00000BE9">
        <w:trPr>
          <w:cantSplit/>
          <w:trHeight w:val="20"/>
          <w:jc w:val="center"/>
        </w:trPr>
        <w:tc>
          <w:tcPr>
            <w:tcW w:w="1127" w:type="pct"/>
            <w:shd w:val="clear" w:color="auto" w:fill="auto"/>
          </w:tcPr>
          <w:p w14:paraId="26B6CED0"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sz w:val="18"/>
                <w:szCs w:val="18"/>
              </w:rPr>
              <w:t>Nazwa wskaźnika produktu</w:t>
            </w:r>
          </w:p>
        </w:tc>
        <w:tc>
          <w:tcPr>
            <w:tcW w:w="433" w:type="pct"/>
          </w:tcPr>
          <w:p w14:paraId="4E28D58E"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Jednostka miary</w:t>
            </w:r>
          </w:p>
        </w:tc>
        <w:tc>
          <w:tcPr>
            <w:tcW w:w="2619" w:type="pct"/>
            <w:shd w:val="clear" w:color="auto" w:fill="auto"/>
          </w:tcPr>
          <w:p w14:paraId="0F959A2E"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bCs/>
                <w:sz w:val="18"/>
                <w:szCs w:val="18"/>
              </w:rPr>
              <w:t>Definicja wskaźnika</w:t>
            </w:r>
          </w:p>
        </w:tc>
        <w:tc>
          <w:tcPr>
            <w:tcW w:w="821" w:type="pct"/>
          </w:tcPr>
          <w:p w14:paraId="79489845"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Rodzaj dokumentu, w którym określono wskaźnik</w:t>
            </w:r>
          </w:p>
        </w:tc>
      </w:tr>
      <w:tr w:rsidR="00000BE9" w:rsidRPr="00000BE9" w14:paraId="7CFC118B" w14:textId="77777777" w:rsidTr="00000BE9">
        <w:trPr>
          <w:cantSplit/>
          <w:trHeight w:val="20"/>
          <w:jc w:val="center"/>
        </w:trPr>
        <w:tc>
          <w:tcPr>
            <w:tcW w:w="1127" w:type="pct"/>
            <w:shd w:val="clear" w:color="auto" w:fill="auto"/>
            <w:vAlign w:val="center"/>
          </w:tcPr>
          <w:p w14:paraId="2354402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Całkowita długość przebudowanych lub zmodernizowanych linii kolejowych</w:t>
            </w:r>
          </w:p>
        </w:tc>
        <w:tc>
          <w:tcPr>
            <w:tcW w:w="433" w:type="pct"/>
            <w:vAlign w:val="center"/>
          </w:tcPr>
          <w:p w14:paraId="722E147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km</w:t>
            </w:r>
          </w:p>
        </w:tc>
        <w:tc>
          <w:tcPr>
            <w:tcW w:w="2619" w:type="pct"/>
            <w:shd w:val="clear" w:color="auto" w:fill="auto"/>
          </w:tcPr>
          <w:p w14:paraId="6CD44CE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Tłumaczenie robocze:</w:t>
            </w:r>
          </w:p>
          <w:p w14:paraId="2797504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72F062BA"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Wybrane podejście polega na wykluczeniu instalacji systemów sygnalizacyjnych, które zniekształcałyby wartości wskaźnika. Systemy sygnalizacji powinny być traktowane w oddzielnym (specyficznym dla programu) wskaźniku.</w:t>
            </w:r>
          </w:p>
          <w:p w14:paraId="0B0861B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5B99BC4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Metoda pomiaru:</w:t>
            </w:r>
          </w:p>
          <w:p w14:paraId="33D8502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Łączna długość wszystkich przebudowanych lub zmodernizowanych odcinków linii kolejowych. </w:t>
            </w:r>
          </w:p>
          <w:p w14:paraId="0C888F2A"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zrehabilitowanych linii kolejowych.</w:t>
            </w:r>
          </w:p>
          <w:p w14:paraId="6DE8F64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1D3DE31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Definicja:</w:t>
            </w:r>
          </w:p>
          <w:p w14:paraId="6A3D60E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Length of railroads of which quality of capacity have been improved. This can include electrification, developing single track railroad into double track, increasing the possible speed on the track, or any combination of these, but excludes installation of signalling systems (incl. ensuring ERTMS (European Rail Traffic Management System) compatibility).</w:t>
            </w:r>
          </w:p>
          <w:p w14:paraId="4FBAD08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The approach chosen here is to exclude signalling systems as they distort the values. Signalling systems should be treated in a separate (programme-specific) indicator.</w:t>
            </w:r>
          </w:p>
        </w:tc>
        <w:tc>
          <w:tcPr>
            <w:tcW w:w="821" w:type="pct"/>
          </w:tcPr>
          <w:p w14:paraId="4CDE089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SZOOP</w:t>
            </w:r>
          </w:p>
        </w:tc>
      </w:tr>
      <w:tr w:rsidR="00374C1E" w:rsidRPr="00000BE9" w14:paraId="4BCC45F9" w14:textId="77777777" w:rsidTr="00000BE9">
        <w:trPr>
          <w:cantSplit/>
          <w:trHeight w:val="20"/>
          <w:jc w:val="center"/>
        </w:trPr>
        <w:tc>
          <w:tcPr>
            <w:tcW w:w="1127" w:type="pct"/>
            <w:shd w:val="clear" w:color="auto" w:fill="auto"/>
            <w:vAlign w:val="center"/>
          </w:tcPr>
          <w:p w14:paraId="3FE302F2" w14:textId="215CEB2C"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lastRenderedPageBreak/>
              <w:t>Całkowita długość nowych linii kolejowych</w:t>
            </w:r>
          </w:p>
        </w:tc>
        <w:tc>
          <w:tcPr>
            <w:tcW w:w="433" w:type="pct"/>
            <w:vAlign w:val="center"/>
          </w:tcPr>
          <w:p w14:paraId="02F4C7B9" w14:textId="04B6C417"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t>km</w:t>
            </w:r>
          </w:p>
        </w:tc>
        <w:tc>
          <w:tcPr>
            <w:tcW w:w="2619" w:type="pct"/>
            <w:shd w:val="clear" w:color="auto" w:fill="auto"/>
          </w:tcPr>
          <w:p w14:paraId="728D564F" w14:textId="77777777" w:rsidR="00374C1E"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t>Definicja wskaźnika:</w:t>
            </w:r>
          </w:p>
          <w:p w14:paraId="3334F821" w14:textId="77777777" w:rsidR="00374C1E" w:rsidRDefault="00374C1E" w:rsidP="00374C1E">
            <w:pPr>
              <w:autoSpaceDE w:val="0"/>
              <w:autoSpaceDN w:val="0"/>
              <w:adjustRightInd w:val="0"/>
              <w:spacing w:before="0" w:after="120" w:line="240" w:lineRule="auto"/>
              <w:jc w:val="both"/>
              <w:rPr>
                <w:rFonts w:asciiTheme="minorHAnsi" w:hAnsiTheme="minorHAnsi"/>
                <w:sz w:val="18"/>
                <w:szCs w:val="18"/>
              </w:rPr>
            </w:pPr>
            <w:r w:rsidRPr="00E96F44">
              <w:rPr>
                <w:rFonts w:asciiTheme="minorHAnsi" w:hAnsiTheme="minorHAnsi"/>
                <w:sz w:val="18"/>
                <w:szCs w:val="18"/>
              </w:rPr>
              <w:t>Length of railroads constructed by the project where no railroad existed before.</w:t>
            </w:r>
          </w:p>
          <w:p w14:paraId="121FE554" w14:textId="77777777" w:rsidR="00374C1E" w:rsidRPr="00374C1E" w:rsidRDefault="00374C1E" w:rsidP="00374C1E">
            <w:pPr>
              <w:autoSpaceDE w:val="0"/>
              <w:autoSpaceDN w:val="0"/>
              <w:adjustRightInd w:val="0"/>
              <w:spacing w:before="0" w:after="120" w:line="240" w:lineRule="auto"/>
              <w:jc w:val="both"/>
              <w:rPr>
                <w:rFonts w:asciiTheme="minorHAnsi" w:hAnsiTheme="minorHAnsi"/>
                <w:sz w:val="18"/>
                <w:szCs w:val="18"/>
              </w:rPr>
            </w:pPr>
            <w:r w:rsidRPr="00374C1E">
              <w:rPr>
                <w:rFonts w:asciiTheme="minorHAnsi" w:hAnsiTheme="minorHAnsi"/>
                <w:sz w:val="18"/>
                <w:szCs w:val="18"/>
              </w:rPr>
              <w:t>Tłumaczenie robocze:</w:t>
            </w:r>
          </w:p>
          <w:p w14:paraId="6CAD8B19" w14:textId="77777777" w:rsidR="00374C1E" w:rsidRDefault="00374C1E" w:rsidP="00374C1E">
            <w:pPr>
              <w:autoSpaceDE w:val="0"/>
              <w:autoSpaceDN w:val="0"/>
              <w:adjustRightInd w:val="0"/>
              <w:spacing w:before="0" w:after="120" w:line="240" w:lineRule="auto"/>
              <w:jc w:val="both"/>
              <w:rPr>
                <w:rFonts w:asciiTheme="minorHAnsi" w:hAnsiTheme="minorHAnsi"/>
                <w:sz w:val="18"/>
                <w:szCs w:val="18"/>
              </w:rPr>
            </w:pPr>
            <w:r w:rsidRPr="00374C1E">
              <w:rPr>
                <w:rFonts w:asciiTheme="minorHAnsi" w:hAnsiTheme="minorHAnsi"/>
                <w:sz w:val="18"/>
                <w:szCs w:val="18"/>
              </w:rPr>
              <w:t>Łączna długość nowo wybudowanych linii kolejowych.</w:t>
            </w:r>
          </w:p>
          <w:p w14:paraId="58BE3824" w14:textId="77777777" w:rsidR="00374C1E"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t>Metoda pomiaru:</w:t>
            </w:r>
          </w:p>
          <w:p w14:paraId="039EB477" w14:textId="147C92E0"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sidRPr="00241543">
              <w:rPr>
                <w:rFonts w:asciiTheme="minorHAnsi" w:hAnsiTheme="minorHAnsi"/>
                <w:sz w:val="18"/>
                <w:szCs w:val="18"/>
              </w:rPr>
              <w:t xml:space="preserve">Łączna długość nowo wybudowanych linii kolejowych. Przez nowo wybudowaną linię kolejową należy rozumieć linię zbudowaną od podstaw w miejscu, gdzie wcześniej nie istniała linia kolejowa lub infrastruktura niegdyś istniejącej linii kolejowej nie została zachowana. Wartość wskaźnika jest sumą wszystkich nowo wybudowanych odcinków linii kolejowych, bez względu na parametry (np. liczbę torów) ani przynależność do sieci TEN-T. W wartości wskaźnika nie należy ujmować linii kolejowych, które uprzednio zostały wyłączone z eksploatacji, a w wyniku realizacji projektu przywrócono je do eksploatacji (należy je zaliczyć do wskaźnika „Łączna długość zrehabilitowanych linii kolejowych”). </w:t>
            </w:r>
          </w:p>
        </w:tc>
        <w:tc>
          <w:tcPr>
            <w:tcW w:w="821" w:type="pct"/>
          </w:tcPr>
          <w:p w14:paraId="7A7DEBCE" w14:textId="0A1B4E08"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SZOOP</w:t>
            </w:r>
          </w:p>
        </w:tc>
      </w:tr>
      <w:tr w:rsidR="00374C1E" w:rsidRPr="00000BE9" w14:paraId="3A121499" w14:textId="77777777" w:rsidTr="00000BE9">
        <w:trPr>
          <w:cantSplit/>
          <w:trHeight w:val="20"/>
          <w:jc w:val="center"/>
        </w:trPr>
        <w:tc>
          <w:tcPr>
            <w:tcW w:w="1127" w:type="pct"/>
            <w:shd w:val="clear" w:color="auto" w:fill="auto"/>
            <w:vAlign w:val="center"/>
          </w:tcPr>
          <w:p w14:paraId="79F7EF1E" w14:textId="7CBDA861"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t>Liczba wspartych dworców</w:t>
            </w:r>
          </w:p>
        </w:tc>
        <w:tc>
          <w:tcPr>
            <w:tcW w:w="433" w:type="pct"/>
            <w:vAlign w:val="center"/>
          </w:tcPr>
          <w:p w14:paraId="379D4A3C" w14:textId="12F17B6A"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t>szt.</w:t>
            </w:r>
          </w:p>
        </w:tc>
        <w:tc>
          <w:tcPr>
            <w:tcW w:w="2619" w:type="pct"/>
            <w:shd w:val="clear" w:color="auto" w:fill="auto"/>
          </w:tcPr>
          <w:p w14:paraId="551853D2" w14:textId="77777777" w:rsidR="00374C1E" w:rsidRDefault="00374C1E" w:rsidP="00374C1E">
            <w:pPr>
              <w:autoSpaceDE w:val="0"/>
              <w:autoSpaceDN w:val="0"/>
              <w:adjustRightInd w:val="0"/>
              <w:spacing w:before="0" w:after="120" w:line="240" w:lineRule="auto"/>
              <w:jc w:val="both"/>
              <w:rPr>
                <w:rFonts w:asciiTheme="minorHAnsi" w:hAnsiTheme="minorHAnsi"/>
                <w:sz w:val="18"/>
                <w:szCs w:val="18"/>
              </w:rPr>
            </w:pPr>
            <w:r w:rsidRPr="005D384D">
              <w:rPr>
                <w:rFonts w:asciiTheme="minorHAnsi" w:hAnsiTheme="minorHAnsi"/>
                <w:sz w:val="18"/>
                <w:szCs w:val="18"/>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p w14:paraId="21546F9D" w14:textId="77777777" w:rsidR="00374C1E" w:rsidRDefault="00374C1E" w:rsidP="00374C1E">
            <w:pPr>
              <w:autoSpaceDE w:val="0"/>
              <w:autoSpaceDN w:val="0"/>
              <w:adjustRightInd w:val="0"/>
              <w:spacing w:before="0" w:after="120" w:line="240" w:lineRule="auto"/>
              <w:jc w:val="both"/>
              <w:rPr>
                <w:rFonts w:asciiTheme="minorHAnsi" w:hAnsiTheme="minorHAnsi"/>
                <w:sz w:val="18"/>
                <w:szCs w:val="18"/>
              </w:rPr>
            </w:pPr>
            <w:r>
              <w:rPr>
                <w:rFonts w:asciiTheme="minorHAnsi" w:hAnsiTheme="minorHAnsi"/>
                <w:sz w:val="18"/>
                <w:szCs w:val="18"/>
              </w:rPr>
              <w:t>Metoda pomiaru:</w:t>
            </w:r>
          </w:p>
          <w:p w14:paraId="2835AED9" w14:textId="3F4AA916"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sidRPr="00395DCA">
              <w:rPr>
                <w:rFonts w:asciiTheme="minorHAnsi" w:hAnsiTheme="minorHAnsi"/>
                <w:sz w:val="18"/>
                <w:szCs w:val="18"/>
              </w:rPr>
              <w:t>W przypadku objęcia interwencją kilku obiektów budowlanych składających się na dworzec, należy zliczyć jako jeden zespół budynków.</w:t>
            </w:r>
          </w:p>
        </w:tc>
        <w:tc>
          <w:tcPr>
            <w:tcW w:w="821" w:type="pct"/>
          </w:tcPr>
          <w:p w14:paraId="2E818683" w14:textId="2E457CAC" w:rsidR="00374C1E" w:rsidRPr="00000BE9" w:rsidRDefault="00374C1E" w:rsidP="00374C1E">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lang w:val="en-US"/>
              </w:rPr>
              <w:t>SZOOP</w:t>
            </w:r>
          </w:p>
        </w:tc>
      </w:tr>
      <w:tr w:rsidR="00000BE9" w:rsidRPr="00000BE9" w14:paraId="68478BFF" w14:textId="77777777" w:rsidTr="00000BE9">
        <w:trPr>
          <w:cantSplit/>
          <w:trHeight w:val="20"/>
          <w:jc w:val="center"/>
        </w:trPr>
        <w:tc>
          <w:tcPr>
            <w:tcW w:w="1127" w:type="pct"/>
            <w:shd w:val="clear" w:color="auto" w:fill="auto"/>
            <w:vAlign w:val="center"/>
          </w:tcPr>
          <w:p w14:paraId="6D3A046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wspartych osobowych przystanków kolejowych</w:t>
            </w:r>
          </w:p>
        </w:tc>
        <w:tc>
          <w:tcPr>
            <w:tcW w:w="433" w:type="pct"/>
            <w:vAlign w:val="center"/>
          </w:tcPr>
          <w:p w14:paraId="65C77D1E"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3117CD6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Definicja IZ RPO WD:</w:t>
            </w:r>
          </w:p>
          <w:p w14:paraId="7930AD27"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5B6FBA3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SZOOP</w:t>
            </w:r>
          </w:p>
        </w:tc>
      </w:tr>
      <w:tr w:rsidR="00000BE9" w:rsidRPr="00000BE9" w14:paraId="1F3C2CB3" w14:textId="77777777" w:rsidTr="00000BE9">
        <w:trPr>
          <w:trHeight w:val="20"/>
          <w:jc w:val="center"/>
        </w:trPr>
        <w:tc>
          <w:tcPr>
            <w:tcW w:w="1127" w:type="pct"/>
            <w:shd w:val="clear" w:color="auto" w:fill="auto"/>
            <w:vAlign w:val="center"/>
          </w:tcPr>
          <w:p w14:paraId="1BD2A26F"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obiektów dostosowanych do potrzeb osób z niepełnosprawnościami</w:t>
            </w:r>
          </w:p>
        </w:tc>
        <w:tc>
          <w:tcPr>
            <w:tcW w:w="433" w:type="pct"/>
            <w:vAlign w:val="center"/>
          </w:tcPr>
          <w:p w14:paraId="7AAE4C4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0BB0EC01"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odnosi się do liczby obiektów, które zaopatrzono w specjalne podjazdy, windy, urządzenia głośnomówiące, bądź inne udogodnienia (tj. usunięcie barier w dostępie, </w:t>
            </w:r>
            <w:r w:rsidRPr="00000BE9">
              <w:rPr>
                <w:rFonts w:asciiTheme="minorHAnsi" w:hAnsiTheme="minorHAnsi"/>
                <w:sz w:val="18"/>
                <w:szCs w:val="18"/>
              </w:rPr>
              <w:br/>
              <w:t>w szczególności barier architektonicznych) ułatwiające dostęp do tych obiektów i poruszanie się po nich osobom niepełnosprawnym ruchowo czy sensorycznie.</w:t>
            </w:r>
          </w:p>
          <w:p w14:paraId="1D5A9C6F"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Jako obiekty budowlane należy rozumieć konstrukcje połączone z gruntem w sposób trwały, wykonane z materiałów budowlanych i elementów składowych, będące wynikiem prac budowlanych (wg. def. PKOB).</w:t>
            </w:r>
          </w:p>
          <w:p w14:paraId="38301F6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Należy podać liczbę obiektów, a nie sprzętów, urządzeń itp., w które obiekty zaopatrzono.</w:t>
            </w:r>
          </w:p>
          <w:p w14:paraId="2931541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Jeśli instytucja, zakład itp. składa się z kilku obiektów, należy zliczyć wszystkie, które dostosowano do potrzeb osób niepełnosprawnych.</w:t>
            </w:r>
          </w:p>
        </w:tc>
        <w:tc>
          <w:tcPr>
            <w:tcW w:w="821" w:type="pct"/>
          </w:tcPr>
          <w:p w14:paraId="6472B2A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27A3ACEC" w14:textId="77777777" w:rsidTr="00000BE9">
        <w:trPr>
          <w:cantSplit/>
          <w:trHeight w:val="20"/>
          <w:jc w:val="center"/>
        </w:trPr>
        <w:tc>
          <w:tcPr>
            <w:tcW w:w="1127" w:type="pct"/>
            <w:shd w:val="clear" w:color="auto" w:fill="auto"/>
          </w:tcPr>
          <w:p w14:paraId="628B90D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podmiotów wykorzystujących technologie informacyjno-komunikacyjne (TIK)</w:t>
            </w:r>
          </w:p>
        </w:tc>
        <w:tc>
          <w:tcPr>
            <w:tcW w:w="433" w:type="pct"/>
          </w:tcPr>
          <w:p w14:paraId="1F3F67D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5E7F424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505C707E"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12FBF45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490D22F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119BFA4B" w14:textId="77777777" w:rsidTr="00000BE9">
        <w:trPr>
          <w:trHeight w:val="20"/>
          <w:jc w:val="center"/>
        </w:trPr>
        <w:tc>
          <w:tcPr>
            <w:tcW w:w="1127" w:type="pct"/>
            <w:shd w:val="clear" w:color="auto" w:fill="auto"/>
          </w:tcPr>
          <w:p w14:paraId="4D2D9E9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osób objętych szkoleniami / doradztwem w zakresie kompetencji cyfrowych O/K/M</w:t>
            </w:r>
          </w:p>
        </w:tc>
        <w:tc>
          <w:tcPr>
            <w:tcW w:w="433" w:type="pct"/>
          </w:tcPr>
          <w:p w14:paraId="6A2A044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os.</w:t>
            </w:r>
          </w:p>
        </w:tc>
        <w:tc>
          <w:tcPr>
            <w:tcW w:w="2619" w:type="pct"/>
            <w:shd w:val="clear" w:color="auto" w:fill="auto"/>
          </w:tcPr>
          <w:p w14:paraId="68F340E7"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RPO dotyczących e-usług publicznych, ale również przy okazji wdrażania inteligentnych systemów transportowych.</w:t>
            </w:r>
          </w:p>
        </w:tc>
        <w:tc>
          <w:tcPr>
            <w:tcW w:w="821" w:type="pct"/>
          </w:tcPr>
          <w:p w14:paraId="49D87F6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4C0B04C8" w14:textId="77777777" w:rsidTr="00000BE9">
        <w:trPr>
          <w:cantSplit/>
          <w:trHeight w:val="20"/>
          <w:jc w:val="center"/>
        </w:trPr>
        <w:tc>
          <w:tcPr>
            <w:tcW w:w="1127" w:type="pct"/>
            <w:shd w:val="clear" w:color="auto" w:fill="auto"/>
          </w:tcPr>
          <w:p w14:paraId="27DDD65B"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projektów, w których sfinansowano koszty racjonalnych usprawnień dla osób z niepełnosprawnościami</w:t>
            </w:r>
          </w:p>
        </w:tc>
        <w:tc>
          <w:tcPr>
            <w:tcW w:w="433" w:type="pct"/>
          </w:tcPr>
          <w:p w14:paraId="0475230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szt. </w:t>
            </w:r>
          </w:p>
        </w:tc>
        <w:tc>
          <w:tcPr>
            <w:tcW w:w="2619" w:type="pct"/>
            <w:shd w:val="clear" w:color="auto" w:fill="auto"/>
          </w:tcPr>
          <w:p w14:paraId="1CCC647C"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Racjonalne usprawnienie oznacza konieczne </w:t>
            </w:r>
            <w:r w:rsidRPr="00000BE9">
              <w:rPr>
                <w:rFonts w:asciiTheme="minorHAnsi" w:hAnsiTheme="minorHAnsi"/>
                <w:sz w:val="18"/>
                <w:szCs w:val="18"/>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Definicja na podstawie </w:t>
            </w:r>
            <w:r w:rsidRPr="00000BE9">
              <w:rPr>
                <w:rFonts w:asciiTheme="minorHAnsi" w:hAnsiTheme="minorHAnsi"/>
                <w:i/>
                <w:iCs/>
                <w:sz w:val="18"/>
                <w:szCs w:val="18"/>
              </w:rPr>
              <w:t xml:space="preserve">Wytycznych w zakresie realizacji zasady równości szans </w:t>
            </w:r>
            <w:r w:rsidRPr="00000BE9">
              <w:rPr>
                <w:rFonts w:asciiTheme="minorHAnsi" w:hAnsiTheme="minorHAnsi"/>
                <w:i/>
                <w:iCs/>
                <w:sz w:val="18"/>
                <w:szCs w:val="18"/>
              </w:rPr>
              <w:br/>
              <w:t xml:space="preserve">i niedyskryminacji, w tym dostępności dla osób </w:t>
            </w:r>
            <w:r w:rsidRPr="00000BE9">
              <w:rPr>
                <w:rFonts w:asciiTheme="minorHAnsi" w:hAnsiTheme="minorHAnsi"/>
                <w:i/>
                <w:iCs/>
                <w:sz w:val="18"/>
                <w:szCs w:val="18"/>
              </w:rPr>
              <w:br/>
              <w:t>z niepełnosprawnościami oraz równości szans kobiet i mężczyzn w ramach funduszy unijnych na lata 2014-2020</w:t>
            </w:r>
            <w:r w:rsidRPr="00000BE9">
              <w:rPr>
                <w:rFonts w:asciiTheme="minorHAnsi" w:hAnsiTheme="minorHAnsi"/>
                <w:sz w:val="18"/>
                <w:szCs w:val="18"/>
              </w:rPr>
              <w:t>.</w:t>
            </w:r>
          </w:p>
        </w:tc>
        <w:tc>
          <w:tcPr>
            <w:tcW w:w="821" w:type="pct"/>
          </w:tcPr>
          <w:p w14:paraId="0C0F8FC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bl>
    <w:p w14:paraId="7B778909" w14:textId="77777777" w:rsidR="00000BE9" w:rsidRPr="003A7AE2" w:rsidRDefault="00000BE9"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783A5F0A" w14:textId="24AD6CC6" w:rsidR="006069D8" w:rsidRDefault="00000BE9" w:rsidP="006069D8">
      <w:pPr>
        <w:autoSpaceDE w:val="0"/>
        <w:autoSpaceDN w:val="0"/>
        <w:adjustRightInd w:val="0"/>
        <w:spacing w:before="120" w:after="120" w:line="240" w:lineRule="auto"/>
        <w:jc w:val="both"/>
        <w:rPr>
          <w:rFonts w:asciiTheme="minorHAnsi" w:hAnsiTheme="minorHAnsi"/>
          <w:szCs w:val="22"/>
        </w:rPr>
      </w:pPr>
      <w:r w:rsidRPr="00000BE9">
        <w:rPr>
          <w:rFonts w:asciiTheme="minorHAnsi" w:hAnsiTheme="minorHAnsi"/>
          <w:szCs w:val="22"/>
        </w:rPr>
        <w:t>W ramach Działania 5.2 nie planuje się wskaźników o charakterze rezultatu bezpośredniego dotyczących bezpośrednio przedmiotu projektu. Mogą jednak znaleźć zastosowanie poniższe wskaźniki horyzontalne:</w:t>
      </w:r>
    </w:p>
    <w:p w14:paraId="43EFBE0B" w14:textId="60964A3A" w:rsidR="00890482" w:rsidRDefault="00890482" w:rsidP="006069D8">
      <w:pPr>
        <w:autoSpaceDE w:val="0"/>
        <w:autoSpaceDN w:val="0"/>
        <w:adjustRightInd w:val="0"/>
        <w:spacing w:before="120" w:after="120" w:line="240" w:lineRule="auto"/>
        <w:jc w:val="both"/>
        <w:rPr>
          <w:rFonts w:asciiTheme="minorHAnsi" w:hAnsiTheme="minorHAnsi"/>
          <w:szCs w:val="22"/>
        </w:rPr>
      </w:pPr>
    </w:p>
    <w:p w14:paraId="00AA7B60" w14:textId="45BA1C47" w:rsidR="00890482" w:rsidRDefault="00890482" w:rsidP="006069D8">
      <w:pPr>
        <w:autoSpaceDE w:val="0"/>
        <w:autoSpaceDN w:val="0"/>
        <w:adjustRightInd w:val="0"/>
        <w:spacing w:before="120" w:after="120" w:line="240" w:lineRule="auto"/>
        <w:jc w:val="both"/>
        <w:rPr>
          <w:rFonts w:asciiTheme="minorHAnsi" w:hAnsiTheme="minorHAnsi"/>
          <w:szCs w:val="22"/>
        </w:rPr>
      </w:pPr>
    </w:p>
    <w:p w14:paraId="0FDBB9F8" w14:textId="374B700F" w:rsidR="00890482" w:rsidRDefault="00890482" w:rsidP="006069D8">
      <w:pPr>
        <w:autoSpaceDE w:val="0"/>
        <w:autoSpaceDN w:val="0"/>
        <w:adjustRightInd w:val="0"/>
        <w:spacing w:before="120" w:after="120" w:line="240" w:lineRule="auto"/>
        <w:jc w:val="both"/>
        <w:rPr>
          <w:rFonts w:asciiTheme="minorHAnsi" w:hAnsiTheme="minorHAnsi"/>
          <w:szCs w:val="22"/>
        </w:rPr>
      </w:pPr>
    </w:p>
    <w:p w14:paraId="6416C192" w14:textId="02176825" w:rsidR="00890482" w:rsidRDefault="00890482" w:rsidP="006069D8">
      <w:pPr>
        <w:autoSpaceDE w:val="0"/>
        <w:autoSpaceDN w:val="0"/>
        <w:adjustRightInd w:val="0"/>
        <w:spacing w:before="120" w:after="120" w:line="240" w:lineRule="auto"/>
        <w:jc w:val="both"/>
        <w:rPr>
          <w:rFonts w:asciiTheme="minorHAnsi" w:hAnsiTheme="minorHAnsi"/>
          <w:szCs w:val="22"/>
        </w:rPr>
      </w:pPr>
    </w:p>
    <w:p w14:paraId="57030B56" w14:textId="77777777" w:rsidR="00890482"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890482" w14:paraId="3FE098FD" w14:textId="77777777" w:rsidTr="00CE32DE">
        <w:trPr>
          <w:trHeight w:val="20"/>
          <w:jc w:val="center"/>
        </w:trPr>
        <w:tc>
          <w:tcPr>
            <w:tcW w:w="1189" w:type="pct"/>
            <w:shd w:val="clear" w:color="auto" w:fill="auto"/>
            <w:vAlign w:val="center"/>
          </w:tcPr>
          <w:p w14:paraId="725D0BAD" w14:textId="77777777" w:rsidR="006069D8" w:rsidRPr="00890482" w:rsidRDefault="006069D8" w:rsidP="00CE32DE">
            <w:pPr>
              <w:spacing w:before="0" w:line="240" w:lineRule="auto"/>
              <w:jc w:val="center"/>
              <w:rPr>
                <w:rFonts w:asciiTheme="minorHAnsi" w:hAnsiTheme="minorHAnsi"/>
                <w:b/>
                <w:sz w:val="20"/>
              </w:rPr>
            </w:pPr>
            <w:r w:rsidRPr="00890482">
              <w:rPr>
                <w:rFonts w:asciiTheme="minorHAnsi" w:hAnsiTheme="minorHAnsi"/>
                <w:b/>
                <w:sz w:val="20"/>
              </w:rPr>
              <w:t>Nazwa wskaźnika rezultatu bezpośredniego</w:t>
            </w:r>
          </w:p>
        </w:tc>
        <w:tc>
          <w:tcPr>
            <w:tcW w:w="701" w:type="pct"/>
          </w:tcPr>
          <w:p w14:paraId="7695CE3A"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Jednostka miary</w:t>
            </w:r>
          </w:p>
        </w:tc>
        <w:tc>
          <w:tcPr>
            <w:tcW w:w="2061" w:type="pct"/>
            <w:shd w:val="clear" w:color="auto" w:fill="auto"/>
            <w:vAlign w:val="center"/>
          </w:tcPr>
          <w:p w14:paraId="6C1573F0" w14:textId="77777777" w:rsidR="006069D8" w:rsidRPr="00890482" w:rsidRDefault="006069D8" w:rsidP="00CE32DE">
            <w:pPr>
              <w:suppressAutoHyphens/>
              <w:spacing w:before="0" w:line="240" w:lineRule="auto"/>
              <w:jc w:val="center"/>
              <w:rPr>
                <w:rFonts w:asciiTheme="minorHAnsi" w:hAnsiTheme="minorHAnsi"/>
                <w:b/>
                <w:sz w:val="20"/>
              </w:rPr>
            </w:pPr>
            <w:r w:rsidRPr="00890482">
              <w:rPr>
                <w:rFonts w:asciiTheme="minorHAnsi" w:hAnsiTheme="minorHAnsi"/>
                <w:b/>
                <w:bCs/>
                <w:sz w:val="20"/>
              </w:rPr>
              <w:t>Definicja wskaźnika</w:t>
            </w:r>
          </w:p>
        </w:tc>
        <w:tc>
          <w:tcPr>
            <w:tcW w:w="1049" w:type="pct"/>
          </w:tcPr>
          <w:p w14:paraId="0E0DBB8C"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Rodzaj dokumentu, w którym określono wskaźnik</w:t>
            </w:r>
          </w:p>
        </w:tc>
      </w:tr>
      <w:tr w:rsidR="00374C1E" w:rsidRPr="00890482" w14:paraId="716CC642"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2EFCE30F" w14:textId="38B01997" w:rsidR="00374C1E" w:rsidRPr="00890482" w:rsidRDefault="00374C1E" w:rsidP="00374C1E">
            <w:pPr>
              <w:pStyle w:val="Default"/>
              <w:rPr>
                <w:rFonts w:asciiTheme="minorHAnsi" w:hAnsiTheme="minorHAnsi" w:cs="ArialNarrow"/>
              </w:rPr>
            </w:pPr>
            <w:r w:rsidRPr="008933D7">
              <w:rPr>
                <w:rFonts w:asciiTheme="minorHAnsi" w:hAnsiTheme="minorHAnsi" w:cs="ArialNarrow"/>
                <w:sz w:val="18"/>
                <w:szCs w:val="18"/>
              </w:rPr>
              <w:lastRenderedPageBreak/>
              <w:t>Wzrost zatrudnienia we wspieranych przedsiębiorstwach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F7038" w14:textId="56D275EB" w:rsidR="00374C1E" w:rsidRPr="00890482" w:rsidRDefault="00374C1E" w:rsidP="00374C1E">
            <w:pPr>
              <w:spacing w:before="0" w:line="240" w:lineRule="auto"/>
              <w:rPr>
                <w:rFonts w:asciiTheme="minorHAnsi" w:hAnsiTheme="minorHAnsi" w:cs="ArialNarrow"/>
                <w:sz w:val="20"/>
              </w:rPr>
            </w:pPr>
            <w:r w:rsidRPr="008933D7">
              <w:rPr>
                <w:rFonts w:asciiTheme="minorHAnsi" w:hAnsiTheme="minorHAnsi" w:cs="ArialNarrow"/>
                <w:sz w:val="18"/>
                <w:szCs w:val="18"/>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29DD2" w14:textId="77777777" w:rsidR="00374C1E" w:rsidRPr="008933D7" w:rsidRDefault="00374C1E" w:rsidP="00374C1E">
            <w:pPr>
              <w:spacing w:before="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Gross new working positions in supported enterprises in full time equivalents (FTE). </w:t>
            </w:r>
          </w:p>
          <w:p w14:paraId="766D7F3E" w14:textId="77777777" w:rsidR="00374C1E" w:rsidRPr="008933D7" w:rsidRDefault="00374C1E" w:rsidP="00374C1E">
            <w:pPr>
              <w:spacing w:line="240" w:lineRule="auto"/>
              <w:jc w:val="both"/>
              <w:rPr>
                <w:rFonts w:asciiTheme="minorHAnsi" w:hAnsiTheme="minorHAnsi"/>
                <w:sz w:val="18"/>
                <w:szCs w:val="18"/>
                <w:lang w:val="en-US"/>
              </w:rPr>
            </w:pPr>
            <w:r w:rsidRPr="008933D7">
              <w:rPr>
                <w:rFonts w:asciiTheme="minorHAnsi" w:hAnsiTheme="minorHAnsi"/>
                <w:sz w:val="18"/>
                <w:szCs w:val="18"/>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61B75453" w14:textId="77777777" w:rsidR="00374C1E" w:rsidRPr="008933D7" w:rsidRDefault="00374C1E" w:rsidP="00374C1E">
            <w:pPr>
              <w:spacing w:before="12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14:paraId="512AD615" w14:textId="77777777" w:rsidR="00374C1E" w:rsidRPr="008933D7" w:rsidRDefault="00374C1E" w:rsidP="00374C1E">
            <w:pPr>
              <w:spacing w:before="120" w:line="240" w:lineRule="auto"/>
              <w:jc w:val="both"/>
              <w:rPr>
                <w:rFonts w:asciiTheme="minorHAnsi" w:hAnsiTheme="minorHAnsi"/>
                <w:sz w:val="18"/>
                <w:szCs w:val="18"/>
                <w:lang w:val="en-US"/>
              </w:rPr>
            </w:pPr>
            <w:r w:rsidRPr="008933D7">
              <w:rPr>
                <w:rFonts w:asciiTheme="minorHAnsi" w:hAnsiTheme="minorHAnsi"/>
                <w:sz w:val="18"/>
                <w:szCs w:val="18"/>
                <w:lang w:val="en-US"/>
              </w:rPr>
              <w:t xml:space="preserve">Full-time equivalent: Jobs can be full time, parttime or seasonal. Seasonal and part time jobs are to be converted to FTE using ILO/statistical/other standards. </w:t>
            </w:r>
          </w:p>
          <w:p w14:paraId="7363CCFA"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Tłumaczenie robocze: Nowe miejsca pracy brutto we wspartych  przedsiębiorstwach wyrażone w ekwiwalencie pełnego czasu pracy (EPC). </w:t>
            </w:r>
          </w:p>
          <w:p w14:paraId="56BB7B7E"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Wskaźnik ukazuje zmianę "przed-po" </w:t>
            </w:r>
            <w:r w:rsidRPr="008933D7">
              <w:rPr>
                <w:rFonts w:asciiTheme="minorHAnsi" w:hAnsiTheme="minorHAnsi"/>
                <w:sz w:val="18"/>
                <w:szCs w:val="18"/>
              </w:rPr>
              <w:br/>
              <w:t xml:space="preserve">i obejmuje część wzrostu zatrudnienia </w:t>
            </w:r>
            <w:r w:rsidRPr="008933D7">
              <w:rPr>
                <w:rFonts w:asciiTheme="minorHAnsi" w:hAnsiTheme="minorHAnsi"/>
                <w:sz w:val="18"/>
                <w:szCs w:val="18"/>
              </w:rPr>
              <w:br/>
              <w:t xml:space="preserve">w przedsiębiorstwie będącego bezpośrednim skutkiem zakończenia realizacji projektu (nie są wliczani pracownicy zatrudnieni do realizacji projektu). </w:t>
            </w:r>
          </w:p>
          <w:p w14:paraId="717D8788" w14:textId="77777777" w:rsidR="00374C1E" w:rsidRPr="008933D7" w:rsidRDefault="00374C1E" w:rsidP="00374C1E">
            <w:pPr>
              <w:spacing w:after="240" w:line="240" w:lineRule="auto"/>
              <w:jc w:val="both"/>
              <w:rPr>
                <w:rFonts w:asciiTheme="minorHAnsi" w:hAnsiTheme="minorHAnsi"/>
                <w:sz w:val="18"/>
                <w:szCs w:val="18"/>
              </w:rPr>
            </w:pPr>
            <w:r w:rsidRPr="008933D7">
              <w:rPr>
                <w:rFonts w:asciiTheme="minorHAnsi" w:hAnsiTheme="minorHAnsi"/>
                <w:sz w:val="18"/>
                <w:szCs w:val="18"/>
              </w:rPr>
              <w:t xml:space="preserve">Uwzględnia się obsadzone miejsca pracy (wakaty nie są liczone), które zwiększają łączną liczbę miejsc pracy </w:t>
            </w:r>
            <w:r w:rsidRPr="008933D7">
              <w:rPr>
                <w:rFonts w:asciiTheme="minorHAnsi" w:hAnsiTheme="minorHAnsi"/>
                <w:sz w:val="18"/>
                <w:szCs w:val="18"/>
              </w:rPr>
              <w:br/>
              <w:t xml:space="preserve">w przedsiębiorstwie. Brak wzrostu </w:t>
            </w:r>
            <w:r w:rsidRPr="008933D7">
              <w:rPr>
                <w:rFonts w:asciiTheme="minorHAnsi" w:hAnsiTheme="minorHAnsi"/>
                <w:sz w:val="18"/>
                <w:szCs w:val="18"/>
              </w:rPr>
              <w:br/>
              <w:t xml:space="preserve">w całkowitym zatrudnieniu </w:t>
            </w:r>
            <w:r w:rsidRPr="008933D7">
              <w:rPr>
                <w:rFonts w:asciiTheme="minorHAnsi" w:hAnsiTheme="minorHAnsi"/>
                <w:sz w:val="18"/>
                <w:szCs w:val="18"/>
              </w:rPr>
              <w:br/>
              <w:t>w przedsiębiorstwie oznacza, że wartość wskaźnika jest równa zero, co traktuje się jako wyrównanie miejsc pracy, a nie wzrost. Nie wlicza się miejsc pracy, np. utrzymanych dzięki realizacji projektu.</w:t>
            </w:r>
          </w:p>
          <w:p w14:paraId="77C568C9" w14:textId="77777777" w:rsidR="00374C1E" w:rsidRPr="008933D7" w:rsidRDefault="00374C1E" w:rsidP="00374C1E">
            <w:pPr>
              <w:spacing w:after="240" w:line="240" w:lineRule="auto"/>
              <w:jc w:val="both"/>
              <w:rPr>
                <w:rFonts w:asciiTheme="minorHAnsi" w:hAnsiTheme="minorHAnsi"/>
                <w:sz w:val="18"/>
                <w:szCs w:val="18"/>
              </w:rPr>
            </w:pPr>
            <w:r w:rsidRPr="008933D7">
              <w:rPr>
                <w:rFonts w:asciiTheme="minorHAnsi" w:hAnsiTheme="minorHAnsi"/>
                <w:sz w:val="18"/>
                <w:szCs w:val="18"/>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933D7">
              <w:rPr>
                <w:rFonts w:asciiTheme="minorHAnsi" w:hAnsiTheme="minorHAnsi"/>
                <w:sz w:val="18"/>
                <w:szCs w:val="18"/>
              </w:rPr>
              <w:br/>
              <w:t>w ramach projektu.</w:t>
            </w:r>
          </w:p>
          <w:p w14:paraId="6B51D4F0" w14:textId="77777777" w:rsidR="00374C1E" w:rsidRPr="008933D7" w:rsidRDefault="00374C1E" w:rsidP="00374C1E">
            <w:pPr>
              <w:spacing w:line="240" w:lineRule="auto"/>
              <w:jc w:val="both"/>
              <w:rPr>
                <w:rFonts w:asciiTheme="minorHAnsi" w:hAnsiTheme="minorHAnsi"/>
                <w:sz w:val="18"/>
                <w:szCs w:val="18"/>
              </w:rPr>
            </w:pPr>
            <w:r w:rsidRPr="008933D7">
              <w:rPr>
                <w:rFonts w:asciiTheme="minorHAnsi" w:hAnsiTheme="minorHAnsi"/>
                <w:sz w:val="18"/>
                <w:szCs w:val="18"/>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933D7">
              <w:rPr>
                <w:rFonts w:asciiTheme="minorHAnsi" w:hAnsiTheme="minorHAnsi"/>
                <w:sz w:val="18"/>
                <w:szCs w:val="18"/>
              </w:rPr>
              <w:br/>
              <w:t xml:space="preserve">z wykorzystaniem standardów ILO (Międzynarodowa Organizacja Pracy)/ statystycznych/innych. </w:t>
            </w:r>
          </w:p>
          <w:p w14:paraId="1DA0EFE9" w14:textId="3D62E703" w:rsidR="00374C1E" w:rsidRPr="00890482" w:rsidRDefault="00374C1E" w:rsidP="00374C1E">
            <w:pPr>
              <w:spacing w:line="240" w:lineRule="auto"/>
              <w:jc w:val="both"/>
              <w:rPr>
                <w:rFonts w:asciiTheme="minorHAnsi" w:hAnsiTheme="minorHAnsi"/>
                <w:sz w:val="20"/>
              </w:rPr>
            </w:pPr>
            <w:r w:rsidRPr="008933D7">
              <w:rPr>
                <w:rFonts w:asciiTheme="minorHAnsi" w:hAnsiTheme="minorHAnsi"/>
                <w:sz w:val="18"/>
                <w:szCs w:val="18"/>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2206FC6" w14:textId="16452041" w:rsidR="00374C1E" w:rsidRPr="00890482" w:rsidRDefault="00374C1E" w:rsidP="00374C1E">
            <w:pPr>
              <w:spacing w:line="240" w:lineRule="auto"/>
              <w:jc w:val="both"/>
              <w:rPr>
                <w:rFonts w:asciiTheme="minorHAnsi" w:hAnsiTheme="minorHAnsi"/>
                <w:sz w:val="20"/>
              </w:rPr>
            </w:pPr>
            <w:r w:rsidRPr="008933D7">
              <w:rPr>
                <w:rFonts w:asciiTheme="minorHAnsi" w:hAnsiTheme="minorHAnsi"/>
                <w:sz w:val="18"/>
                <w:szCs w:val="18"/>
              </w:rPr>
              <w:t>horyzontalny</w:t>
            </w:r>
          </w:p>
        </w:tc>
      </w:tr>
      <w:tr w:rsidR="003A7AE2" w:rsidRPr="00890482"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890482" w:rsidRDefault="00890482" w:rsidP="00890482">
            <w:pPr>
              <w:pStyle w:val="Default"/>
              <w:rPr>
                <w:rFonts w:asciiTheme="minorHAnsi" w:hAnsiTheme="minorHAnsi" w:cs="ArialNarrow"/>
              </w:rPr>
            </w:pPr>
            <w:r w:rsidRPr="00890482">
              <w:rPr>
                <w:rFonts w:asciiTheme="minorHAnsi" w:hAnsiTheme="minorHAnsi" w:cs="ArialNarrow"/>
              </w:rPr>
              <w:lastRenderedPageBreak/>
              <w:t>Wzrost zatrudnienia we wspieranych podmiotach (innych niż przedsiębiorstwa)</w:t>
            </w:r>
          </w:p>
          <w:p w14:paraId="0507D480" w14:textId="5D6A488B" w:rsidR="006069D8" w:rsidRPr="00890482" w:rsidRDefault="00890482" w:rsidP="00890482">
            <w:pPr>
              <w:pStyle w:val="Default"/>
              <w:rPr>
                <w:rFonts w:asciiTheme="minorHAnsi" w:hAnsiTheme="minorHAnsi" w:cs="ArialNarrow"/>
              </w:rPr>
            </w:pPr>
            <w:r w:rsidRPr="00890482">
              <w:rPr>
                <w:rFonts w:asciiTheme="minorHAnsi" w:hAnsiTheme="minorHAnsi" w:cs="ArialNarrow"/>
              </w:rPr>
              <w:t>Ogółem/Kobiety/Mężczyźni</w:t>
            </w:r>
            <w:bookmarkStart w:id="3" w:name="_GoBack"/>
            <w:bookmarkEnd w:id="3"/>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890482" w:rsidRDefault="00890482"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Nowe miejsca pracy brutto we wspartych  podmiotach (innych niż przedsiębiorstwa) wyrażone w ekwiwalencie pełnego czasu pracy (EPC). </w:t>
            </w:r>
          </w:p>
          <w:p w14:paraId="2CF64678" w14:textId="3DD2DCC1"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890482" w:rsidRDefault="00890482" w:rsidP="003A178D">
            <w:pPr>
              <w:spacing w:line="240" w:lineRule="auto"/>
              <w:jc w:val="both"/>
              <w:rPr>
                <w:rFonts w:asciiTheme="minorHAnsi" w:hAnsiTheme="minorHAnsi"/>
                <w:sz w:val="20"/>
              </w:rPr>
            </w:pPr>
            <w:r w:rsidRPr="00890482">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890482" w:rsidRDefault="00890482"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890482" w:rsidRDefault="006069D8" w:rsidP="00CE32DE">
            <w:pPr>
              <w:pStyle w:val="Default"/>
              <w:rPr>
                <w:rFonts w:asciiTheme="minorHAnsi" w:hAnsiTheme="minorHAnsi" w:cs="ArialNarrow"/>
              </w:rPr>
            </w:pPr>
            <w:r w:rsidRPr="00890482">
              <w:rPr>
                <w:rFonts w:asciiTheme="minorHAnsi" w:hAnsiTheme="minorHAnsi" w:cs="ArialNarrow"/>
              </w:rPr>
              <w:t>Liczba utrzymanych miejsc pracy</w:t>
            </w:r>
            <w:r w:rsidR="00890482" w:rsidRPr="00890482">
              <w:t xml:space="preserve">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890482">
              <w:rPr>
                <w:rFonts w:asciiTheme="minorHAnsi" w:eastAsiaTheme="minorHAnsi" w:hAnsiTheme="minorHAnsi" w:cstheme="minorBidi"/>
                <w:sz w:val="20"/>
                <w:lang w:eastAsia="en-US"/>
              </w:rPr>
              <w:t>Miejsca pracy utworzone w wyniku realizacji projektu, lecz nie powodują wzrostu zatrudnienia w organizacji</w:t>
            </w:r>
          </w:p>
          <w:p w14:paraId="13EC8DD8"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890482" w:rsidRDefault="006069D8" w:rsidP="00CE32DE">
            <w:pPr>
              <w:pStyle w:val="Default"/>
              <w:rPr>
                <w:rFonts w:asciiTheme="minorHAnsi" w:hAnsiTheme="minorHAnsi" w:cs="ArialNarrow"/>
              </w:rPr>
            </w:pPr>
            <w:r w:rsidRPr="00890482">
              <w:rPr>
                <w:rFonts w:asciiTheme="minorHAnsi" w:hAnsiTheme="minorHAnsi" w:cs="ArialNarrow"/>
              </w:rPr>
              <w:t xml:space="preserve">Liczba nowo utworzonych miejsc pracy - pozostałe formy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890482">
              <w:rPr>
                <w:rFonts w:asciiTheme="minorHAnsi" w:eastAsiaTheme="minorHAnsi" w:hAnsiTheme="minorHAnsi" w:cstheme="minorBidi"/>
                <w:iCs/>
                <w:sz w:val="20"/>
                <w:lang w:eastAsia="en-US"/>
              </w:rPr>
              <w:t>Pozostałe formy</w:t>
            </w:r>
            <w:r w:rsidRPr="00890482">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 xml:space="preserve">Dodatkowo w ramach wniosku o dofinansowanie </w:t>
      </w:r>
      <w:r w:rsidRPr="003A7AE2">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3376D017" w:rsidR="006069D8" w:rsidRPr="00273447" w:rsidRDefault="006069D8" w:rsidP="0066034E">
      <w:pPr>
        <w:pStyle w:val="Akapitzlist"/>
        <w:numPr>
          <w:ilvl w:val="0"/>
          <w:numId w:val="6"/>
        </w:numPr>
        <w:spacing w:before="0" w:after="200" w:line="240" w:lineRule="auto"/>
        <w:ind w:left="1080"/>
        <w:contextualSpacing/>
        <w:jc w:val="both"/>
        <w:rPr>
          <w:rFonts w:asciiTheme="minorHAnsi" w:hAnsiTheme="minorHAnsi"/>
          <w:color w:val="FF0000"/>
          <w:szCs w:val="22"/>
        </w:rPr>
      </w:pPr>
      <w:r w:rsidRPr="00273447">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sectPr w:rsidR="006069D8" w:rsidRPr="00273447" w:rsidSect="00D9145D">
      <w:footerReference w:type="default" r:id="rId8"/>
      <w:headerReference w:type="first" r:id="rId9"/>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1906"/>
      <w:docPartObj>
        <w:docPartGallery w:val="Page Numbers (Bottom of Page)"/>
        <w:docPartUnique/>
      </w:docPartObj>
    </w:sdtPr>
    <w:sdtEndPr/>
    <w:sdtContent>
      <w:p w14:paraId="454D656A" w14:textId="3C2079BF" w:rsidR="00743204" w:rsidRDefault="00D173BC">
        <w:pPr>
          <w:pStyle w:val="Stopka"/>
          <w:jc w:val="right"/>
        </w:pPr>
        <w:r>
          <w:fldChar w:fldCharType="begin"/>
        </w:r>
        <w:r w:rsidR="00743204">
          <w:instrText>PAGE   \* MERGEFORMAT</w:instrText>
        </w:r>
        <w:r>
          <w:fldChar w:fldCharType="separate"/>
        </w:r>
        <w:r w:rsidR="00374C1E">
          <w:rPr>
            <w:noProof/>
          </w:rPr>
          <w:t>8</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36F8" w14:textId="77777777"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Pr>
        <w:rFonts w:asciiTheme="minorHAnsi" w:hAnsiTheme="minorHAnsi"/>
        <w:b/>
        <w:sz w:val="20"/>
        <w:szCs w:val="28"/>
      </w:rPr>
      <w:t>ów</w:t>
    </w:r>
    <w:r w:rsidRPr="00795339">
      <w:rPr>
        <w:rFonts w:asciiTheme="minorHAnsi" w:hAnsiTheme="minorHAnsi"/>
        <w:b/>
        <w:sz w:val="20"/>
        <w:szCs w:val="28"/>
      </w:rPr>
      <w:t xml:space="preserve"> nr</w:t>
    </w:r>
    <w:r>
      <w:rPr>
        <w:rFonts w:asciiTheme="minorHAnsi" w:hAnsiTheme="minorHAnsi"/>
        <w:b/>
        <w:sz w:val="20"/>
        <w:szCs w:val="28"/>
      </w:rPr>
      <w:t>:</w:t>
    </w:r>
  </w:p>
  <w:p w14:paraId="43FA7653" w14:textId="341B8B90"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RPDS.05.02.02-IZ.00-02-</w:t>
    </w:r>
    <w:r w:rsidR="00471B9A">
      <w:rPr>
        <w:rFonts w:asciiTheme="minorHAnsi" w:hAnsiTheme="minorHAnsi"/>
        <w:b/>
        <w:sz w:val="20"/>
        <w:szCs w:val="28"/>
      </w:rPr>
      <w:t>296/18</w:t>
    </w:r>
  </w:p>
  <w:p w14:paraId="3F7CBBEE" w14:textId="77777777" w:rsidR="00D9145D" w:rsidRDefault="00D91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60D5F"/>
    <w:rsid w:val="001711EA"/>
    <w:rsid w:val="0017324E"/>
    <w:rsid w:val="00173709"/>
    <w:rsid w:val="001933BD"/>
    <w:rsid w:val="0019343C"/>
    <w:rsid w:val="00195912"/>
    <w:rsid w:val="001962F1"/>
    <w:rsid w:val="001A3060"/>
    <w:rsid w:val="001C0B15"/>
    <w:rsid w:val="001F6BE0"/>
    <w:rsid w:val="00204DF9"/>
    <w:rsid w:val="0022505F"/>
    <w:rsid w:val="00243514"/>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D3BC5"/>
    <w:rsid w:val="003D522D"/>
    <w:rsid w:val="003D6A16"/>
    <w:rsid w:val="003F05D2"/>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4440"/>
    <w:rsid w:val="006069D8"/>
    <w:rsid w:val="00610669"/>
    <w:rsid w:val="00636AF7"/>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7F3B"/>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C320F"/>
    <w:rsid w:val="009C48DB"/>
    <w:rsid w:val="009C5E72"/>
    <w:rsid w:val="009D3C56"/>
    <w:rsid w:val="009D7559"/>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41BA"/>
    <w:rsid w:val="00AD5DFF"/>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848C5"/>
    <w:rsid w:val="00E90CA0"/>
    <w:rsid w:val="00E91B8F"/>
    <w:rsid w:val="00E944F3"/>
    <w:rsid w:val="00EB6FAC"/>
    <w:rsid w:val="00ED5DD7"/>
    <w:rsid w:val="00EF6053"/>
    <w:rsid w:val="00F0119D"/>
    <w:rsid w:val="00F11756"/>
    <w:rsid w:val="00F137F5"/>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37C1B"/>
  <w15:docId w15:val="{67EBF55C-A230-4FE2-9D68-D8DCF97E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536E-00F4-4326-878F-FE5A8EDB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2633</Words>
  <Characters>15799</Characters>
  <Application>Microsoft Office Word</Application>
  <DocSecurity>4</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2</cp:revision>
  <cp:lastPrinted>2015-11-05T11:07:00Z</cp:lastPrinted>
  <dcterms:created xsi:type="dcterms:W3CDTF">2018-02-27T11:28:00Z</dcterms:created>
  <dcterms:modified xsi:type="dcterms:W3CDTF">2018-02-27T11:28:00Z</dcterms:modified>
</cp:coreProperties>
</file>