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F457ED"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1. W ramach tego kryterium sprawdzane będzie czy:</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t>
            </w:r>
            <w:r w:rsidRPr="001F0DC1">
              <w:rPr>
                <w:rFonts w:eastAsiaTheme="minorHAnsi" w:cs="Arial"/>
                <w:kern w:val="1"/>
                <w:sz w:val="20"/>
                <w:szCs w:val="20"/>
                <w:lang w:eastAsia="en-US"/>
              </w:rPr>
              <w:br/>
              <w:t xml:space="preserve">- </w:t>
            </w:r>
            <w:r w:rsidR="00F457ED" w:rsidRPr="00F457ED">
              <w:rPr>
                <w:rFonts w:eastAsiaTheme="minorHAnsi" w:cs="Arial"/>
                <w:kern w:val="1"/>
                <w:sz w:val="20"/>
                <w:szCs w:val="20"/>
                <w:lang w:eastAsia="en-US"/>
              </w:rPr>
              <w:t>Podmiot składający wniosek o dofinansowanie jest podmiotem określonym w Wykazie projektów zidentyfikowanych przez IZ RPO WD w ramach trybu pozakonkursowego RPO WD 2014-2020.</w:t>
            </w:r>
            <w:r w:rsidRPr="001F0DC1">
              <w:rPr>
                <w:rFonts w:eastAsiaTheme="minorHAnsi" w:cs="Arial"/>
                <w:kern w:val="1"/>
                <w:sz w:val="20"/>
                <w:szCs w:val="20"/>
                <w:lang w:eastAsia="en-US"/>
              </w:rPr>
              <w:t>Obydwa warunki muszą być spełnione łącznie.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F457ED"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Niespełnienie kryterium po wezwaniu do 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w:t>
            </w:r>
            <w:r w:rsidRPr="001F0DC1">
              <w:rPr>
                <w:rFonts w:cs="Arial"/>
                <w:sz w:val="20"/>
                <w:szCs w:val="20"/>
              </w:rPr>
              <w:lastRenderedPageBreak/>
              <w:t xml:space="preserve">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F457ED" w:rsidRPr="00F457ED" w:rsidRDefault="00F457ED" w:rsidP="00F457ED">
            <w:pPr>
              <w:spacing w:line="240" w:lineRule="auto"/>
              <w:jc w:val="both"/>
              <w:rPr>
                <w:rFonts w:eastAsiaTheme="minorHAnsi" w:cs="Arial"/>
                <w:kern w:val="1"/>
                <w:sz w:val="20"/>
                <w:szCs w:val="20"/>
                <w:lang w:eastAsia="en-US"/>
              </w:rPr>
            </w:pPr>
            <w:r w:rsidRPr="00F457ED">
              <w:rPr>
                <w:rFonts w:eastAsiaTheme="minorHAnsi" w:cs="Arial"/>
                <w:kern w:val="1"/>
                <w:sz w:val="20"/>
                <w:szCs w:val="20"/>
                <w:lang w:eastAsia="en-US"/>
              </w:rPr>
              <w:t xml:space="preserve">W ramach tego kryterium weryfikowane jest czy wniosek </w:t>
            </w:r>
          </w:p>
          <w:p w:rsidR="001F0DC1" w:rsidRPr="001F0DC1" w:rsidRDefault="00F457ED" w:rsidP="00F457ED">
            <w:pPr>
              <w:spacing w:after="120" w:line="240" w:lineRule="auto"/>
              <w:jc w:val="both"/>
              <w:rPr>
                <w:rFonts w:eastAsiaTheme="minorHAnsi" w:cs="Arial"/>
                <w:kern w:val="1"/>
                <w:sz w:val="20"/>
                <w:szCs w:val="20"/>
                <w:lang w:eastAsia="en-US"/>
              </w:rPr>
            </w:pPr>
            <w:r w:rsidRPr="00F457ED">
              <w:rPr>
                <w:rFonts w:eastAsiaTheme="minorHAnsi" w:cs="Arial"/>
                <w:kern w:val="1"/>
                <w:sz w:val="20"/>
                <w:szCs w:val="20"/>
                <w:lang w:eastAsia="en-US"/>
              </w:rPr>
              <w:t>o dofinansowanie projektu zawiera wszystkie wskaźniki obligatoryjne (adekwatne) dla danego typu projektu zapisanych w SzOOP (w tym wskaźniki z ram wykonania, jeśli są takie które odpowiadają zakresowi projektu).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dla określonych 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jest, czy we wniosku o dofinansowanie nie przekroczono limitów dla określonych kategorii 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 xml:space="preserve">Kryterium weryfikowane na etapie oceny projektu oraz w czasie realizacji projektu zgodnie z zasadami ujętymi w SZOOP obowiązującym </w:t>
            </w:r>
            <w:r w:rsidRPr="001F0DC1">
              <w:rPr>
                <w:rFonts w:eastAsiaTheme="minorHAnsi" w:cs="Tahoma"/>
                <w:sz w:val="20"/>
                <w:szCs w:val="20"/>
                <w:lang w:eastAsia="en-US"/>
              </w:rPr>
              <w:lastRenderedPageBreak/>
              <w:t>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w:t>
            </w:r>
            <w:r w:rsidRPr="001F0DC1">
              <w:rPr>
                <w:rFonts w:eastAsiaTheme="minorHAnsi" w:cs="Arial"/>
                <w:sz w:val="20"/>
                <w:szCs w:val="20"/>
                <w:lang w:eastAsia="en-US"/>
              </w:rPr>
              <w:lastRenderedPageBreak/>
              <w:t xml:space="preserve">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F457ED">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1F0DC1" w:rsidRPr="001F0DC1" w:rsidRDefault="00F457ED" w:rsidP="00AA67F0">
            <w:pPr>
              <w:autoSpaceDE w:val="0"/>
              <w:autoSpaceDN w:val="0"/>
              <w:adjustRightInd w:val="0"/>
              <w:spacing w:line="240" w:lineRule="auto"/>
              <w:jc w:val="both"/>
              <w:rPr>
                <w:rFonts w:eastAsiaTheme="minorHAnsi" w:cs="Arial"/>
                <w:sz w:val="20"/>
                <w:szCs w:val="20"/>
                <w:lang w:eastAsia="en-US"/>
              </w:rPr>
            </w:pPr>
            <w:r w:rsidRPr="00F457ED">
              <w:rPr>
                <w:rFonts w:eastAsiaTheme="minorHAnsi" w:cs="Tahoma"/>
                <w:sz w:val="20"/>
                <w:szCs w:val="20"/>
                <w:lang w:eastAsia="en-US"/>
              </w:rPr>
              <w:t xml:space="preserve">W trakcie realizacji projektu w uzasadnionych sytuacjach za zgodą IZ możliwe jest zwiększenie wartości wydatków kwalifikowalnych i/lub wprowadzenie wydatków, które na etapie oceny kryterium były </w:t>
            </w:r>
            <w:r w:rsidRPr="00F457ED">
              <w:rPr>
                <w:rFonts w:eastAsiaTheme="minorHAnsi" w:cs="Tahoma"/>
                <w:sz w:val="20"/>
                <w:szCs w:val="20"/>
                <w:lang w:eastAsia="en-US"/>
              </w:rPr>
              <w:lastRenderedPageBreak/>
              <w:t>niekwalifikowalne.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w:t>
            </w:r>
            <w:r w:rsidRPr="001F0DC1">
              <w:rPr>
                <w:rFonts w:asciiTheme="minorHAnsi" w:hAnsiTheme="minorHAnsi" w:cs="Arial"/>
                <w:kern w:val="2"/>
                <w:sz w:val="20"/>
                <w:szCs w:val="20"/>
              </w:rPr>
              <w:lastRenderedPageBreak/>
              <w:t xml:space="preserve">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t>w perspektywie finansowej 2014–2020.</w:t>
            </w:r>
          </w:p>
          <w:p w:rsidR="001F0DC1" w:rsidRPr="00DC7D6C" w:rsidRDefault="001F0DC1" w:rsidP="00DC7D6C">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 xml:space="preserve">w okresie tym przy </w:t>
            </w:r>
            <w:r w:rsidRPr="001F0DC1">
              <w:rPr>
                <w:rFonts w:eastAsiaTheme="minorHAnsi" w:cs="Arial"/>
                <w:sz w:val="20"/>
                <w:szCs w:val="20"/>
                <w:u w:val="single"/>
                <w:lang w:eastAsia="en-US"/>
              </w:rPr>
              <w:lastRenderedPageBreak/>
              <w:t>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upewnia się, że jeżeli operacja rozpoczęła się przed dniem złożenia wniosku o dofinansowanie do instytucji zarządzającej, przestrzegano obowiązujących przepisów prawa 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lastRenderedPageBreak/>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kwota dofinansowania we wniosku o dofinansowanie nie jest wyższa niż kwota podana w wykazie projektów zidentyfikowanych przez IZ RPO WD w ramach trybu pozakonkursowego RPO WD 2014-2020</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DC7D6C" w:rsidP="00AA67F0">
            <w:pPr>
              <w:spacing w:after="120" w:line="240" w:lineRule="auto"/>
              <w:jc w:val="center"/>
              <w:rPr>
                <w:rFonts w:eastAsiaTheme="minorHAnsi" w:cs="Arial"/>
                <w:kern w:val="1"/>
                <w:sz w:val="20"/>
                <w:szCs w:val="20"/>
                <w:lang w:eastAsia="en-US"/>
              </w:rPr>
            </w:pPr>
            <w:r>
              <w:rPr>
                <w:rFonts w:eastAsia="Times New Roman" w:cs="Arial"/>
                <w:kern w:val="1"/>
                <w:sz w:val="20"/>
                <w:szCs w:val="20"/>
              </w:rPr>
              <w:t>15.</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ramach tego kryterium weryfikowane jest, czy wnioskowana w projekcie wartość dofinansowania (przeliczona po kursie wskazanym w zasadach ubiegania się o wsparcie w trybie pozakonkursowym) nie przekracza alokacji przeznaczonej na dany nabór.</w:t>
            </w:r>
          </w:p>
          <w:p w:rsidR="00DC7D6C" w:rsidRDefault="00DC7D6C" w:rsidP="00DC7D6C">
            <w:pPr>
              <w:snapToGrid w:val="0"/>
              <w:spacing w:after="0" w:line="240" w:lineRule="auto"/>
              <w:jc w:val="both"/>
              <w:rPr>
                <w:rFonts w:eastAsia="Times New Roman" w:cs="Arial"/>
                <w:kern w:val="1"/>
                <w:sz w:val="20"/>
                <w:szCs w:val="20"/>
              </w:rPr>
            </w:pPr>
            <w:r w:rsidRPr="00DC7D6C">
              <w:rPr>
                <w:rFonts w:eastAsia="Times New Roman" w:cs="Arial"/>
                <w:kern w:val="1"/>
                <w:sz w:val="20"/>
                <w:szCs w:val="20"/>
              </w:rPr>
              <w:t>Weryfikacja tego kryterium tylko na etapie oceny formalnej.</w:t>
            </w:r>
            <w:r>
              <w:rPr>
                <w:rFonts w:eastAsia="Times New Roman" w:cs="Arial"/>
                <w:kern w:val="1"/>
                <w:sz w:val="20"/>
                <w:szCs w:val="20"/>
              </w:rPr>
              <w:t xml:space="preserve"> </w:t>
            </w:r>
          </w:p>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trakcie realizacji projektu w uzasadnionych sytuacjach dopuszcza się za zgodą IZ zmiany mogące skutkować przekroczeniem pierwotnie określonej alokacji.</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lastRenderedPageBreak/>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6</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Ocena występowania pomocy publicznej/pomocy de minimis</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Wnioskodawca nieprawidłowo zakwalifikował projekt pod kątem występowania pomocy publicznej/ de minimis</w:t>
            </w:r>
          </w:p>
          <w:p w:rsid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przypadku projektów objętych pomocą publiczną, których w całości dotyczy obowiązek spełniania efektu zachęty w ramach tego kryterium będzie weryfikowane dodatkowo czy projekt nie rozpoczął się przed złożeniem wniosku o dofinansowanie</w:t>
            </w:r>
            <w:r w:rsidR="001A02C3">
              <w:rPr>
                <w:rFonts w:eastAsiaTheme="minorHAnsi" w:cs="Arial"/>
                <w:kern w:val="1"/>
                <w:sz w:val="20"/>
                <w:szCs w:val="20"/>
                <w:lang w:eastAsia="en-US"/>
              </w:rPr>
              <w:t>.</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 xml:space="preserve">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1A02C3" w:rsidRPr="001F0DC1"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Ponowna weryfikacja poziomu otrzymanej pomocy de minimis będzie występowała na etapie podpisywania umowy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t>
            </w:r>
            <w:r w:rsidRPr="001F0DC1">
              <w:rPr>
                <w:rFonts w:eastAsiaTheme="minorHAnsi" w:cs="Arial"/>
                <w:kern w:val="1"/>
                <w:sz w:val="20"/>
                <w:szCs w:val="20"/>
                <w:lang w:eastAsia="en-US"/>
              </w:rPr>
              <w:lastRenderedPageBreak/>
              <w:t xml:space="preserve">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7</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2"/>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tj: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spełniającego jedną z przesłanek wymienionych w art. 61 ust. 7 oraz art. 61 ust. 8 Rozporządzenia nr 1303/2013 oraz projektu, dla którego nie można obiektywnie określić </w:t>
            </w:r>
            <w:r w:rsidRPr="001F0DC1">
              <w:rPr>
                <w:rFonts w:eastAsiaTheme="minorHAnsi" w:cs="Tahoma"/>
                <w:sz w:val="20"/>
                <w:szCs w:val="20"/>
                <w:lang w:eastAsia="en-US"/>
              </w:rPr>
              <w:lastRenderedPageBreak/>
              <w:t>przychodu z wyprzedzeniem (art. 61 ust. 6), czy właściwie zaznaczono „Nie dotyczy”</w:t>
            </w:r>
            <w:r w:rsidRPr="001F0DC1">
              <w:rPr>
                <w:rFonts w:eastAsiaTheme="minorHAnsi" w:cs="Tahoma"/>
                <w:sz w:val="20"/>
                <w:szCs w:val="20"/>
                <w:vertAlign w:val="superscript"/>
                <w:lang w:eastAsia="en-US"/>
              </w:rPr>
              <w:footnoteReference w:id="3"/>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w:t>
            </w:r>
            <w:r w:rsidR="001A02C3">
              <w:rPr>
                <w:rFonts w:eastAsiaTheme="minorHAnsi" w:cs="Arial"/>
                <w:kern w:val="1"/>
                <w:sz w:val="20"/>
                <w:szCs w:val="20"/>
                <w:lang w:eastAsia="en-US"/>
              </w:rPr>
              <w:t>8</w:t>
            </w:r>
            <w:r w:rsidRPr="001F0DC1">
              <w:rPr>
                <w:rFonts w:eastAsiaTheme="minorHAnsi" w:cs="Arial"/>
                <w:kern w:val="1"/>
                <w:sz w:val="20"/>
                <w:szCs w:val="20"/>
                <w:lang w:eastAsia="en-US"/>
              </w:rPr>
              <w:t>.</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W ramach tego kryterium będzie weryfikowane czy projekt jest realizowany w granicach administracyjnych województwa dolnośląskiego.</w:t>
            </w:r>
          </w:p>
          <w:p w:rsidR="001A02C3" w:rsidRPr="001A02C3" w:rsidRDefault="001A02C3" w:rsidP="001A02C3">
            <w:pPr>
              <w:snapToGrid w:val="0"/>
              <w:spacing w:line="240" w:lineRule="auto"/>
              <w:jc w:val="both"/>
              <w:rPr>
                <w:rFonts w:eastAsiaTheme="minorHAnsi" w:cs="Arial"/>
                <w:kern w:val="1"/>
                <w:sz w:val="20"/>
                <w:szCs w:val="20"/>
                <w:lang w:eastAsia="en-US"/>
              </w:rPr>
            </w:pPr>
          </w:p>
          <w:p w:rsidR="001A02C3" w:rsidRPr="001A02C3" w:rsidRDefault="001A02C3" w:rsidP="001A02C3">
            <w:pPr>
              <w:snapToGrid w:val="0"/>
              <w:spacing w:line="240" w:lineRule="auto"/>
              <w:jc w:val="both"/>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w rozumieniu art. 2 ust. 18 Rozporządzenia Komisji (UE) NR 651/2014 z dnia 17 czerwca 2014 r. (Dz. U. UE L 187 z 26.06.2014 z późn.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4"/>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posiadane przez Wnioskodawcę zasoby finansowe zapewniają utrzymanie projektu w okresie trwałości i przyjętym horyzoncie czasowym (nieujemny skumulowany cash-flow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lastRenderedPageBreak/>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Badanie zgodności założeń i metodologii z Wytycznymi MIiR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lastRenderedPageBreak/>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lastRenderedPageBreak/>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 xml:space="preserve">W ramach kryterium będzie sprawdzane czy spodziewane rezultaty </w:t>
            </w:r>
            <w:r w:rsidR="001A02C3">
              <w:rPr>
                <w:rFonts w:cs="Arial"/>
                <w:sz w:val="20"/>
                <w:szCs w:val="20"/>
              </w:rPr>
              <w:t xml:space="preserve">będą </w:t>
            </w:r>
            <w:r w:rsidR="001A02C3" w:rsidRPr="001A02C3">
              <w:rPr>
                <w:rFonts w:cs="Arial"/>
                <w:sz w:val="20"/>
                <w:szCs w:val="20"/>
              </w:rPr>
              <w:t>uzyskiwane w sposób optymalny</w:t>
            </w:r>
            <w:r w:rsidRPr="00DF0FB6">
              <w:rPr>
                <w:rFonts w:cs="Arial"/>
                <w:sz w:val="20"/>
                <w:szCs w:val="20"/>
              </w:rPr>
              <w: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w:t>
            </w:r>
            <w:r w:rsidR="001A02C3">
              <w:rPr>
                <w:rFonts w:cs="Arial"/>
                <w:sz w:val="20"/>
                <w:szCs w:val="20"/>
              </w:rPr>
              <w:t xml:space="preserve"> </w:t>
            </w:r>
            <w:r w:rsidR="001A02C3">
              <w:rPr>
                <w:rFonts w:cs="Arial"/>
              </w:rPr>
              <w:t>lub przedstawiono inne opcje bez właściwego uzasadnienia, że realizacja projektu jest wariantem optymalnym</w:t>
            </w:r>
            <w:r w:rsidRPr="00DF0FB6">
              <w:rPr>
                <w:rFonts w:cs="Arial"/>
                <w:sz w:val="20"/>
                <w:szCs w:val="20"/>
              </w:rPr>
              <w:t xml:space="preserve">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w:t>
            </w:r>
            <w:r w:rsidR="007057DC">
              <w:rPr>
                <w:rFonts w:cs="Arial"/>
                <w:sz w:val="20"/>
                <w:szCs w:val="20"/>
              </w:rPr>
              <w:t xml:space="preserve"> (wraz z uzasadnieniem)</w:t>
            </w:r>
            <w:r w:rsidRPr="00DF0FB6">
              <w:rPr>
                <w:rFonts w:cs="Arial"/>
                <w:sz w:val="20"/>
                <w:szCs w:val="20"/>
              </w:rPr>
              <w:t xml:space="preserve">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t>
            </w:r>
            <w:r w:rsidRPr="00F70032">
              <w:rPr>
                <w:rFonts w:eastAsia="Times New Roman" w:cs="Arial"/>
                <w:sz w:val="20"/>
                <w:szCs w:val="20"/>
              </w:rPr>
              <w:lastRenderedPageBreak/>
              <w:t xml:space="preserve">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7057DC" w:rsidRPr="007057DC" w:rsidRDefault="007057DC" w:rsidP="007057DC">
            <w:pPr>
              <w:autoSpaceDE w:val="0"/>
              <w:autoSpaceDN w:val="0"/>
              <w:adjustRightInd w:val="0"/>
              <w:spacing w:after="0" w:line="240" w:lineRule="auto"/>
              <w:jc w:val="both"/>
              <w:rPr>
                <w:rFonts w:cs="Arial"/>
                <w:sz w:val="20"/>
                <w:szCs w:val="20"/>
              </w:rPr>
            </w:pPr>
          </w:p>
          <w:p w:rsidR="007057DC" w:rsidRPr="007057DC" w:rsidRDefault="007057DC" w:rsidP="007057DC">
            <w:pPr>
              <w:autoSpaceDE w:val="0"/>
              <w:autoSpaceDN w:val="0"/>
              <w:adjustRightInd w:val="0"/>
              <w:spacing w:after="0" w:line="240" w:lineRule="auto"/>
              <w:jc w:val="both"/>
              <w:rPr>
                <w:rFonts w:cs="Arial"/>
                <w:sz w:val="20"/>
                <w:szCs w:val="20"/>
              </w:rPr>
            </w:pPr>
            <w:r w:rsidRPr="007057DC">
              <w:rPr>
                <w:rFonts w:cs="Arial"/>
                <w:sz w:val="20"/>
                <w:szCs w:val="20"/>
              </w:rPr>
              <w:t>W ramach kryterium będzie sprawdzane czy projekt przyczynia się do osiągnięcia celu szczegółowego działania w ramach którego będzie realizowany (Działanie 5.1 Drogowa dostępność transportowa, Działanie 5.2 System transportu kolejowego).</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Zastosowanie przepisów dotyczących pomocy publicznej/ pomocy de minimis</w:t>
            </w:r>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W ramach tego kryterium będzie weryfikowane czy w przypadku wystąpienia pomocy publicznej/ pomocy de minimis zastosowano przepisy dotyczące pomocy publicznej/ pomocy de minimis.</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7</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Zasada ta ma prowadzić do podejmowania działań na rzecz osiągniecia </w:t>
            </w:r>
            <w:r w:rsidRPr="00F70032">
              <w:rPr>
                <w:rFonts w:cs="Arial"/>
                <w:sz w:val="20"/>
                <w:szCs w:val="20"/>
              </w:rPr>
              <w:lastRenderedPageBreak/>
              <w:t>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lastRenderedPageBreak/>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niepełnosprawnośc).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5"/>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9</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6"/>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 xml:space="preserve">Projekt wymaga uzyskania decyzji budowlanych i uzyskał </w:t>
            </w:r>
            <w:r w:rsidRPr="00F70032">
              <w:rPr>
                <w:rFonts w:cs="Arial"/>
                <w:sz w:val="20"/>
                <w:szCs w:val="20"/>
              </w:rPr>
              <w:lastRenderedPageBreak/>
              <w:t>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 xml:space="preserve">Punkty w ramach kryterium zostaną przyznane jeżeli </w:t>
            </w:r>
            <w:r w:rsidR="007057DC" w:rsidRPr="007057DC">
              <w:rPr>
                <w:rFonts w:cs="Tahoma"/>
                <w:sz w:val="20"/>
                <w:szCs w:val="20"/>
              </w:rPr>
              <w:t>Wnioskodawca dołączy do wniosku decyzję budowlaną, która była ostateczna na moment złożenia pierwszej wersji wniosku o dofinansowanie</w:t>
            </w:r>
            <w:r w:rsidR="007057DC">
              <w:rPr>
                <w:rFonts w:cs="Tahoma"/>
                <w:sz w:val="20"/>
                <w:szCs w:val="20"/>
              </w:rPr>
              <w: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r w:rsidR="00212216">
              <w:rPr>
                <w:rFonts w:cs="Arial"/>
                <w:sz w:val="20"/>
                <w:szCs w:val="20"/>
              </w:rPr>
              <w:t>0</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212216">
              <w:rPr>
                <w:rFonts w:cs="Arial"/>
                <w:sz w:val="20"/>
                <w:szCs w:val="20"/>
              </w:rPr>
              <w:t xml:space="preserve"> </w:t>
            </w:r>
            <w:r w:rsidR="00212216">
              <w:rPr>
                <w:rFonts w:cs="Arial"/>
              </w:rPr>
              <w:t xml:space="preserve">lub planują alternatywną formę wsparcia zewnętrznego </w:t>
            </w:r>
            <w:r w:rsidR="00212216" w:rsidRPr="001116F5">
              <w:rPr>
                <w:rFonts w:cs="Arial"/>
              </w:rPr>
              <w:t xml:space="preserve"> w powyższych kwestiach</w:t>
            </w:r>
            <w:r w:rsidRPr="00F70032">
              <w:rPr>
                <w:rFonts w:cs="Arial"/>
                <w:sz w:val="20"/>
                <w:szCs w:val="20"/>
              </w:rPr>
              <w:t>.</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(np: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r w:rsidR="003E177D">
              <w:rPr>
                <w:rFonts w:cs="Arial"/>
                <w:sz w:val="20"/>
                <w:szCs w:val="20"/>
              </w:rPr>
              <w:t>1</w:t>
            </w:r>
            <w:bookmarkStart w:id="15" w:name="_GoBack"/>
            <w:bookmarkEnd w:id="15"/>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lastRenderedPageBreak/>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212216" w:rsidP="00AA67F0">
            <w:pPr>
              <w:autoSpaceDE w:val="0"/>
              <w:autoSpaceDN w:val="0"/>
              <w:adjustRightInd w:val="0"/>
              <w:spacing w:after="0" w:line="240" w:lineRule="auto"/>
              <w:jc w:val="center"/>
              <w:rPr>
                <w:rFonts w:cs="Arial"/>
                <w:sz w:val="20"/>
                <w:szCs w:val="20"/>
              </w:rPr>
            </w:pPr>
            <w:r>
              <w:rPr>
                <w:rFonts w:cs="Arial"/>
                <w:sz w:val="20"/>
                <w:szCs w:val="20"/>
              </w:rPr>
              <w:t xml:space="preserve">8 </w:t>
            </w:r>
            <w:r w:rsidR="00400C46" w:rsidRPr="00F70032">
              <w:rPr>
                <w:rFonts w:cs="Arial"/>
                <w:sz w:val="20"/>
                <w:szCs w:val="20"/>
              </w:rPr>
              <w:t>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w:t>
      </w:r>
      <w:r w:rsidR="00494BD0">
        <w:rPr>
          <w:rFonts w:eastAsiaTheme="minorHAnsi" w:cs="Arial"/>
          <w:i/>
          <w:iCs/>
          <w:lang w:eastAsia="en-US"/>
        </w:rPr>
        <w:t>2</w:t>
      </w:r>
      <w:r w:rsidRPr="00E158E4">
        <w:rPr>
          <w:rFonts w:eastAsiaTheme="minorHAnsi" w:cs="Arial"/>
          <w:i/>
          <w:iCs/>
          <w:lang w:eastAsia="en-US"/>
        </w:rPr>
        <w:t xml:space="preserve"> </w:t>
      </w:r>
      <w:r w:rsidR="00494BD0" w:rsidRPr="00494BD0">
        <w:rPr>
          <w:rFonts w:eastAsiaTheme="minorHAnsi" w:cs="Arial"/>
          <w:i/>
          <w:iCs/>
          <w:lang w:eastAsia="en-US"/>
        </w:rPr>
        <w:t>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7" w:type="dxa"/>
            <w:vAlign w:val="center"/>
          </w:tcPr>
          <w:p w:rsidR="00494BD0" w:rsidRPr="00DF0C08" w:rsidRDefault="00494BD0" w:rsidP="00494BD0">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494BD0" w:rsidRPr="00DF0C08" w:rsidRDefault="00494BD0" w:rsidP="00494BD0">
            <w:pPr>
              <w:snapToGrid w:val="0"/>
              <w:spacing w:after="0" w:line="240" w:lineRule="auto"/>
              <w:jc w:val="both"/>
              <w:rPr>
                <w:rFonts w:eastAsia="Times New Roman" w:cs="Arial"/>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494BD0" w:rsidRPr="00DF0C08" w:rsidRDefault="00494BD0" w:rsidP="00494BD0">
            <w:pPr>
              <w:snapToGrid w:val="0"/>
              <w:spacing w:after="0" w:line="240" w:lineRule="auto"/>
              <w:jc w:val="both"/>
              <w:rPr>
                <w:rFonts w:eastAsia="Times New Roman" w:cs="Tahoma"/>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494BD0" w:rsidRPr="00DF0C08" w:rsidRDefault="00494BD0" w:rsidP="00494BD0">
            <w:pPr>
              <w:snapToGrid w:val="0"/>
              <w:spacing w:after="0" w:line="240" w:lineRule="auto"/>
              <w:jc w:val="both"/>
              <w:rPr>
                <w:rFonts w:eastAsia="Times New Roman" w:cs="Tahoma"/>
                <w:lang w:eastAsia="en-US"/>
              </w:rPr>
            </w:pP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94BD0" w:rsidRPr="0000100C" w:rsidRDefault="00494BD0" w:rsidP="00494BD0">
            <w:r w:rsidRPr="0000100C">
              <w:t>Inwestycyjny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F457ED">
        <w:trPr>
          <w:trHeight w:val="274"/>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w:t>
            </w:r>
            <w:r w:rsidRPr="00DF0C08">
              <w:rPr>
                <w:rFonts w:eastAsia="Times New Roman" w:cs="Arial"/>
                <w:lang w:eastAsia="en-US"/>
              </w:rPr>
              <w:lastRenderedPageBreak/>
              <w:t xml:space="preserve">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494BD0" w:rsidRPr="00DF0C08" w:rsidRDefault="00494BD0" w:rsidP="00494BD0">
            <w:pPr>
              <w:snapToGrid w:val="0"/>
              <w:spacing w:after="0" w:line="240" w:lineRule="auto"/>
              <w:contextualSpacing/>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Tak/Nie</w:t>
            </w:r>
          </w:p>
          <w:p w:rsidR="00494BD0" w:rsidRPr="00DF0C08" w:rsidRDefault="00494BD0" w:rsidP="00494BD0">
            <w:pPr>
              <w:snapToGrid w:val="0"/>
              <w:spacing w:after="0"/>
              <w:jc w:val="center"/>
              <w:rPr>
                <w:rFonts w:cs="Arial"/>
              </w:rPr>
            </w:pPr>
            <w:r w:rsidRPr="00DF0C08">
              <w:rPr>
                <w:rFonts w:cs="Arial"/>
              </w:rPr>
              <w:lastRenderedPageBreak/>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p>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85" w:type="dxa"/>
            <w:vAlign w:val="center"/>
          </w:tcPr>
          <w:p w:rsidR="00494BD0" w:rsidRPr="00DF0C08" w:rsidRDefault="00494BD0" w:rsidP="00494BD0">
            <w:pPr>
              <w:snapToGrid w:val="0"/>
              <w:spacing w:after="0"/>
              <w:jc w:val="center"/>
              <w:rPr>
                <w:rFonts w:eastAsiaTheme="minorHAnsi" w:cs="Arial"/>
                <w:b/>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0 - 5 pkt</w:t>
            </w:r>
          </w:p>
          <w:p w:rsidR="00494BD0" w:rsidRPr="00DF0C08" w:rsidRDefault="00494BD0" w:rsidP="00494BD0">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0-4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0-6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494BD0" w:rsidRPr="00DF0C08" w:rsidRDefault="00494BD0" w:rsidP="00494BD0">
            <w:pPr>
              <w:snapToGrid w:val="0"/>
              <w:spacing w:after="0" w:line="240" w:lineRule="auto"/>
              <w:contextualSpacing/>
              <w:jc w:val="both"/>
              <w:rPr>
                <w:rFonts w:eastAsia="Times New Roman" w:cs="Arial"/>
              </w:rPr>
            </w:pP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lastRenderedPageBreak/>
              <w:t>- minimalizacją emisji szkodliwych substancji oraz produkcji odpadów – maksymalnie 1 punkt;</w:t>
            </w:r>
          </w:p>
          <w:p w:rsidR="00494BD0" w:rsidRPr="00DF0C08" w:rsidRDefault="00494BD0" w:rsidP="00494BD0">
            <w:pPr>
              <w:snapToGrid w:val="0"/>
              <w:spacing w:after="0" w:line="240" w:lineRule="auto"/>
              <w:jc w:val="both"/>
              <w:rPr>
                <w:rFonts w:eastAsia="Times New Roman" w:cs="Tahoma"/>
              </w:rPr>
            </w:pPr>
          </w:p>
          <w:p w:rsidR="00494BD0" w:rsidRPr="00DF0C08" w:rsidRDefault="00494BD0" w:rsidP="00494BD0">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 xml:space="preserve">inwestycja ma wpływ na zwiększenie dostępności obszarów przemysłowych i innych centrów ekonomicznych oraz obszarów atrakcyjnych turystycznie, a także ma wpływ na poprawę mobilności osób w związku z </w:t>
            </w:r>
            <w:r w:rsidRPr="00DF0C08">
              <w:rPr>
                <w:rFonts w:eastAsia="Times New Roman" w:cs="Arial"/>
                <w:lang w:eastAsia="en-US"/>
              </w:rPr>
              <w:lastRenderedPageBreak/>
              <w:t>dostępem do rynku pracy, usług publicznych i turystyki:</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lastRenderedPageBreak/>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F457ED">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7" w:type="dxa"/>
            <w:vAlign w:val="center"/>
          </w:tcPr>
          <w:p w:rsidR="00494BD0" w:rsidRPr="00DF0C08" w:rsidRDefault="00494BD0" w:rsidP="00494BD0">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494BD0" w:rsidRPr="00DF0C08" w:rsidRDefault="00494BD0" w:rsidP="00494BD0">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0-1pkt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AA67F0">
      <w:pPr>
        <w:spacing w:line="240" w:lineRule="auto"/>
        <w:rPr>
          <w:rFonts w:eastAsiaTheme="minorHAnsi"/>
          <w:i/>
          <w:lang w:eastAsia="en-US"/>
        </w:rPr>
      </w:pPr>
    </w:p>
    <w:p w:rsidR="000C3BA4" w:rsidRPr="00E158E4" w:rsidRDefault="00E158E4" w:rsidP="00AA67F0">
      <w:pPr>
        <w:spacing w:after="0" w:line="240" w:lineRule="auto"/>
        <w:rPr>
          <w:rFonts w:eastAsia="Times New Roman" w:cs="Tahoma"/>
          <w:kern w:val="1"/>
          <w:sz w:val="28"/>
          <w:szCs w:val="28"/>
          <w:u w:val="single"/>
        </w:rPr>
      </w:pPr>
      <w:r w:rsidRPr="00E158E4">
        <w:rPr>
          <w:rFonts w:eastAsia="Times New Roman" w:cs="Tahoma"/>
          <w:kern w:val="1"/>
          <w:sz w:val="28"/>
          <w:szCs w:val="28"/>
          <w:u w:val="single"/>
        </w:rPr>
        <w:t>c</w:t>
      </w:r>
      <w:r>
        <w:rPr>
          <w:rFonts w:eastAsia="Times New Roman" w:cs="Tahoma"/>
          <w:kern w:val="1"/>
          <w:sz w:val="28"/>
          <w:szCs w:val="28"/>
          <w:u w:val="single"/>
        </w:rPr>
        <w:t>.</w:t>
      </w:r>
      <w:r w:rsidRPr="00E158E4">
        <w:rPr>
          <w:rFonts w:eastAsia="Times New Roman" w:cs="Tahoma"/>
          <w:kern w:val="1"/>
          <w:sz w:val="28"/>
          <w:szCs w:val="28"/>
          <w:u w:val="single"/>
        </w:rPr>
        <w:t xml:space="preserve"> </w:t>
      </w:r>
      <w:r w:rsidR="000C3BA4" w:rsidRPr="00E158E4">
        <w:rPr>
          <w:rFonts w:eastAsia="Times New Roman" w:cs="Tahoma"/>
          <w:kern w:val="1"/>
          <w:sz w:val="28"/>
          <w:szCs w:val="28"/>
          <w:u w:val="single"/>
        </w:rPr>
        <w:t xml:space="preserve">Kryteria oceny zgodności projektów ze Strategią – tryb pozakonkursowy </w:t>
      </w:r>
    </w:p>
    <w:p w:rsidR="000C3BA4" w:rsidRPr="00DF0C08" w:rsidRDefault="000C3BA4" w:rsidP="00AA67F0">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B</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c</w:t>
            </w: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d</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 xml:space="preserve">Definicja kryterium </w:t>
            </w:r>
          </w:p>
          <w:p w:rsidR="001B13C8" w:rsidRPr="009C313E" w:rsidRDefault="001B13C8" w:rsidP="00AA67F0">
            <w:pPr>
              <w:spacing w:after="0" w:line="240" w:lineRule="auto"/>
              <w:jc w:val="both"/>
              <w:rPr>
                <w:rFonts w:eastAsia="Times New Roman" w:cs="Tahoma"/>
                <w:b/>
                <w:kern w:val="1"/>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 xml:space="preserve">Opis znaczenia kryterium </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TAK/NIE</w:t>
            </w:r>
          </w:p>
          <w:p w:rsidR="001B13C8" w:rsidRPr="009C313E" w:rsidRDefault="001B13C8" w:rsidP="00AA67F0">
            <w:pPr>
              <w:spacing w:after="0" w:line="240" w:lineRule="auto"/>
              <w:jc w:val="center"/>
              <w:rPr>
                <w:rFonts w:eastAsia="Times New Roman" w:cs="Tahoma"/>
                <w:b/>
                <w:kern w:val="1"/>
                <w:sz w:val="20"/>
                <w:szCs w:val="20"/>
              </w:rPr>
            </w:pPr>
          </w:p>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Kryterium obligatoryjne (kluczowe) – niespełnienie oznacza odrzucenia wniosku</w:t>
            </w:r>
          </w:p>
        </w:tc>
      </w:tr>
    </w:tbl>
    <w:p w:rsidR="00EC2771" w:rsidRPr="00DF0C08" w:rsidRDefault="00EC2771" w:rsidP="00AA67F0">
      <w:pPr>
        <w:spacing w:after="0" w:line="240" w:lineRule="auto"/>
        <w:rPr>
          <w:rFonts w:eastAsia="Times New Roman" w:cs="Tahoma"/>
          <w:b/>
          <w:kern w:val="1"/>
          <w:u w:val="single"/>
        </w:rPr>
      </w:pPr>
    </w:p>
    <w:p w:rsidR="00EC2771" w:rsidRPr="00DF0C08" w:rsidRDefault="00EC2771" w:rsidP="00AA67F0">
      <w:pPr>
        <w:spacing w:after="0" w:line="240" w:lineRule="auto"/>
        <w:rPr>
          <w:rFonts w:eastAsia="Times New Roman" w:cs="Tahoma"/>
          <w:b/>
          <w:kern w:val="1"/>
          <w:u w:val="single"/>
        </w:rPr>
      </w:pPr>
    </w:p>
    <w:p w:rsidR="003532CE" w:rsidRDefault="003532CE" w:rsidP="00AA67F0">
      <w:pPr>
        <w:spacing w:line="240" w:lineRule="auto"/>
      </w:pPr>
    </w:p>
    <w:sectPr w:rsidR="003532CE" w:rsidSect="00494BD0">
      <w:headerReference w:type="default" r:id="rId7"/>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ED" w:rsidRDefault="00F457ED" w:rsidP="003532CE">
      <w:pPr>
        <w:spacing w:after="0" w:line="240" w:lineRule="auto"/>
      </w:pPr>
      <w:r>
        <w:separator/>
      </w:r>
    </w:p>
  </w:endnote>
  <w:endnote w:type="continuationSeparator" w:id="0">
    <w:p w:rsidR="00F457ED" w:rsidRDefault="00F457ED"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ED" w:rsidRDefault="00F457ED" w:rsidP="003532CE">
      <w:pPr>
        <w:spacing w:after="0" w:line="240" w:lineRule="auto"/>
      </w:pPr>
      <w:r>
        <w:separator/>
      </w:r>
    </w:p>
  </w:footnote>
  <w:footnote w:type="continuationSeparator" w:id="0">
    <w:p w:rsidR="00F457ED" w:rsidRDefault="00F457ED" w:rsidP="003532CE">
      <w:pPr>
        <w:spacing w:after="0" w:line="240" w:lineRule="auto"/>
      </w:pPr>
      <w:r>
        <w:continuationSeparator/>
      </w:r>
    </w:p>
  </w:footnote>
  <w:footnote w:id="1">
    <w:p w:rsidR="00F457ED" w:rsidRPr="007154EF" w:rsidRDefault="00F457ED"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F457ED" w:rsidRPr="00DF0FB6" w:rsidRDefault="00F457ED"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F457ED" w:rsidRPr="00DF0FB6" w:rsidRDefault="00F457ED"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minimis;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F457ED" w:rsidRPr="00561341" w:rsidRDefault="00F457ED"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4">
    <w:p w:rsidR="00F457ED" w:rsidRPr="00E158E4" w:rsidRDefault="00F457ED"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F457ED" w:rsidRPr="00E158E4" w:rsidRDefault="00F457ED"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F457ED" w:rsidRPr="00E158E4" w:rsidRDefault="00F457ED"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ED" w:rsidRDefault="00F457ED">
    <w:pPr>
      <w:pStyle w:val="Nagwek"/>
    </w:pPr>
  </w:p>
  <w:p w:rsidR="00F457ED" w:rsidRDefault="00F457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ED" w:rsidRDefault="00F457ED" w:rsidP="00494BD0">
    <w:pPr>
      <w:spacing w:line="240" w:lineRule="auto"/>
      <w:jc w:val="both"/>
      <w:rPr>
        <w:b/>
        <w:sz w:val="20"/>
        <w:szCs w:val="28"/>
      </w:rPr>
    </w:pPr>
    <w:r w:rsidRPr="00795339">
      <w:rPr>
        <w:b/>
        <w:sz w:val="20"/>
        <w:szCs w:val="28"/>
      </w:rPr>
      <w:t>Dotyczy nabor</w:t>
    </w:r>
    <w:r>
      <w:rPr>
        <w:b/>
        <w:sz w:val="20"/>
        <w:szCs w:val="28"/>
      </w:rPr>
      <w:t>ów</w:t>
    </w:r>
    <w:r w:rsidRPr="00795339">
      <w:rPr>
        <w:b/>
        <w:sz w:val="20"/>
        <w:szCs w:val="28"/>
      </w:rPr>
      <w:t xml:space="preserve"> nr</w:t>
    </w:r>
    <w:r>
      <w:rPr>
        <w:b/>
        <w:sz w:val="20"/>
        <w:szCs w:val="28"/>
      </w:rPr>
      <w:t>:</w:t>
    </w:r>
  </w:p>
  <w:p w:rsidR="00F457ED" w:rsidRPr="00D9145D" w:rsidRDefault="00F457ED" w:rsidP="00F457ED">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RPDS.05.02.02-IZ.00-02-</w:t>
    </w:r>
    <w:r>
      <w:rPr>
        <w:rFonts w:asciiTheme="minorHAnsi" w:hAnsiTheme="minorHAnsi"/>
        <w:b/>
        <w:sz w:val="20"/>
        <w:szCs w:val="28"/>
      </w:rPr>
      <w:t>296/18</w:t>
    </w:r>
  </w:p>
  <w:p w:rsidR="00F457ED" w:rsidRPr="00494BD0" w:rsidRDefault="00F457ED" w:rsidP="00494B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62321"/>
    <w:rsid w:val="00071246"/>
    <w:rsid w:val="000A7914"/>
    <w:rsid w:val="000C3BA4"/>
    <w:rsid w:val="001063F1"/>
    <w:rsid w:val="00163516"/>
    <w:rsid w:val="001A02C3"/>
    <w:rsid w:val="001B13C8"/>
    <w:rsid w:val="001F0DC1"/>
    <w:rsid w:val="00212216"/>
    <w:rsid w:val="00231E70"/>
    <w:rsid w:val="00284153"/>
    <w:rsid w:val="002F0FA2"/>
    <w:rsid w:val="003532CE"/>
    <w:rsid w:val="003913E6"/>
    <w:rsid w:val="0039183A"/>
    <w:rsid w:val="003966EC"/>
    <w:rsid w:val="003E177D"/>
    <w:rsid w:val="00400C46"/>
    <w:rsid w:val="0040364B"/>
    <w:rsid w:val="00433130"/>
    <w:rsid w:val="00480D73"/>
    <w:rsid w:val="00494BD0"/>
    <w:rsid w:val="004D28B5"/>
    <w:rsid w:val="00516D5C"/>
    <w:rsid w:val="00585C35"/>
    <w:rsid w:val="007057DC"/>
    <w:rsid w:val="007154EF"/>
    <w:rsid w:val="007213DC"/>
    <w:rsid w:val="00757173"/>
    <w:rsid w:val="008728BD"/>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C7D6C"/>
    <w:rsid w:val="00DE6660"/>
    <w:rsid w:val="00DF0FB6"/>
    <w:rsid w:val="00E158E4"/>
    <w:rsid w:val="00E839E2"/>
    <w:rsid w:val="00EA6E70"/>
    <w:rsid w:val="00EC1105"/>
    <w:rsid w:val="00EC2771"/>
    <w:rsid w:val="00ED5097"/>
    <w:rsid w:val="00F2135F"/>
    <w:rsid w:val="00F457ED"/>
    <w:rsid w:val="00F509F1"/>
    <w:rsid w:val="00F61877"/>
    <w:rsid w:val="00F70032"/>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12E5"/>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27</Pages>
  <Words>6698</Words>
  <Characters>40191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Elzbieta Cupial-Smyk</cp:lastModifiedBy>
  <cp:revision>46</cp:revision>
  <cp:lastPrinted>2017-08-28T09:47:00Z</cp:lastPrinted>
  <dcterms:created xsi:type="dcterms:W3CDTF">2016-08-24T09:02:00Z</dcterms:created>
  <dcterms:modified xsi:type="dcterms:W3CDTF">2018-02-27T09:26:00Z</dcterms:modified>
</cp:coreProperties>
</file>