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D0" w:rsidRPr="00371590" w:rsidRDefault="00005DD0" w:rsidP="00371590">
      <w:pPr>
        <w:jc w:val="both"/>
        <w:rPr>
          <w:rFonts w:asciiTheme="minorHAnsi" w:hAnsiTheme="minorHAnsi"/>
          <w:b/>
          <w:sz w:val="22"/>
          <w:szCs w:val="22"/>
        </w:rPr>
      </w:pPr>
      <w:r w:rsidRPr="00371590">
        <w:rPr>
          <w:rFonts w:asciiTheme="minorHAnsi" w:hAnsiTheme="minorHAnsi"/>
          <w:b/>
          <w:sz w:val="22"/>
          <w:szCs w:val="22"/>
        </w:rPr>
        <w:t xml:space="preserve">Czy w ramach projektu </w:t>
      </w:r>
      <w:proofErr w:type="spellStart"/>
      <w:r w:rsidRPr="00371590">
        <w:rPr>
          <w:rFonts w:asciiTheme="minorHAnsi" w:hAnsiTheme="minorHAnsi"/>
          <w:b/>
          <w:sz w:val="22"/>
          <w:szCs w:val="22"/>
        </w:rPr>
        <w:t>kwalifikowalny</w:t>
      </w:r>
      <w:proofErr w:type="spellEnd"/>
      <w:r w:rsidRPr="00371590">
        <w:rPr>
          <w:rFonts w:asciiTheme="minorHAnsi" w:hAnsiTheme="minorHAnsi"/>
          <w:b/>
          <w:sz w:val="22"/>
          <w:szCs w:val="22"/>
        </w:rPr>
        <w:t xml:space="preserve"> będzie koszt wycieczek dla uczestników projektu. Planowane wycieczki byłyby ściśle powiązane z tematyką zajęć r</w:t>
      </w:r>
      <w:r w:rsidR="00D415D3">
        <w:rPr>
          <w:rFonts w:asciiTheme="minorHAnsi" w:hAnsiTheme="minorHAnsi"/>
          <w:b/>
          <w:sz w:val="22"/>
          <w:szCs w:val="22"/>
        </w:rPr>
        <w:t>ealizowanych  w ramach projektu.</w:t>
      </w:r>
    </w:p>
    <w:p w:rsidR="00005DD0" w:rsidRPr="00371590" w:rsidRDefault="00005DD0" w:rsidP="00371590">
      <w:pPr>
        <w:jc w:val="both"/>
        <w:rPr>
          <w:rFonts w:asciiTheme="minorHAnsi" w:hAnsiTheme="minorHAnsi"/>
          <w:sz w:val="22"/>
          <w:szCs w:val="22"/>
        </w:rPr>
      </w:pPr>
      <w:r w:rsidRPr="00371590">
        <w:rPr>
          <w:rFonts w:asciiTheme="minorHAnsi" w:hAnsiTheme="minorHAnsi"/>
          <w:sz w:val="22"/>
          <w:szCs w:val="22"/>
        </w:rPr>
        <w:t>Jeżeli w ramach planowanego projektu zaplanowane zostaną wycieczki, które wcześniej nie były organizowane, to taki wyjazd może zostać w ramach projektu zrealizowany. Wynikać to powinno z przeprowadzonej diagnozy w szkole.</w:t>
      </w:r>
    </w:p>
    <w:p w:rsidR="00005DD0" w:rsidRPr="00371590" w:rsidRDefault="00005DD0" w:rsidP="00371590">
      <w:pPr>
        <w:jc w:val="both"/>
        <w:rPr>
          <w:rFonts w:asciiTheme="minorHAnsi" w:hAnsiTheme="minorHAnsi"/>
          <w:sz w:val="22"/>
          <w:szCs w:val="22"/>
        </w:rPr>
      </w:pPr>
      <w:r w:rsidRPr="00371590">
        <w:rPr>
          <w:rFonts w:asciiTheme="minorHAnsi" w:hAnsiTheme="minorHAnsi"/>
          <w:sz w:val="22"/>
          <w:szCs w:val="22"/>
        </w:rPr>
        <w:t xml:space="preserve">Jednakże, jeżeli w szkole były realizowane wycieczki dla uczniów, to nie stanowią już one dodatkowej oferty szkoły. Nie może dojść do zastąpienia dotychczasowego finansowania zajęć pozaszkolnych środkami EFS, nawet jeżeli dotychczas wycieczki były finansowane przez uczniów (de facto przez rodziców). </w:t>
      </w:r>
    </w:p>
    <w:p w:rsidR="00005DD0" w:rsidRPr="00371590" w:rsidRDefault="00005DD0" w:rsidP="00371590">
      <w:pPr>
        <w:jc w:val="both"/>
        <w:rPr>
          <w:rFonts w:asciiTheme="minorHAnsi" w:hAnsiTheme="minorHAnsi"/>
          <w:color w:val="1F497D"/>
          <w:sz w:val="22"/>
          <w:szCs w:val="22"/>
        </w:rPr>
      </w:pPr>
      <w:r w:rsidRPr="00371590">
        <w:rPr>
          <w:rFonts w:asciiTheme="minorHAnsi" w:hAnsiTheme="minorHAnsi"/>
          <w:sz w:val="22"/>
          <w:szCs w:val="22"/>
        </w:rPr>
        <w:t>Reasumując, jeżeli wycieczki były realizowane, to nie zostanie spełniony warunek dodatkowości, wartości dodanej, uzupełnienia dotychczasowej oferty szkoły.</w:t>
      </w:r>
    </w:p>
    <w:p w:rsidR="00005DD0" w:rsidRPr="00371590" w:rsidRDefault="00005DD0" w:rsidP="00371590">
      <w:pPr>
        <w:rPr>
          <w:rFonts w:asciiTheme="minorHAnsi" w:hAnsiTheme="minorHAnsi"/>
          <w:sz w:val="22"/>
          <w:szCs w:val="22"/>
        </w:rPr>
      </w:pPr>
    </w:p>
    <w:p w:rsidR="00005DD0" w:rsidRPr="00371590" w:rsidRDefault="00005DD0" w:rsidP="00371590">
      <w:pPr>
        <w:rPr>
          <w:rFonts w:asciiTheme="minorHAnsi" w:hAnsiTheme="minorHAnsi"/>
          <w:sz w:val="22"/>
          <w:szCs w:val="22"/>
        </w:rPr>
      </w:pPr>
    </w:p>
    <w:p w:rsidR="00005DD0" w:rsidRPr="00371590" w:rsidRDefault="00005DD0" w:rsidP="00371590">
      <w:pPr>
        <w:jc w:val="both"/>
        <w:rPr>
          <w:rFonts w:asciiTheme="minorHAnsi" w:hAnsiTheme="minorHAnsi"/>
          <w:b/>
          <w:sz w:val="22"/>
          <w:szCs w:val="22"/>
        </w:rPr>
      </w:pPr>
      <w:r w:rsidRPr="00371590">
        <w:rPr>
          <w:rFonts w:asciiTheme="minorHAnsi" w:hAnsiTheme="minorHAnsi"/>
          <w:b/>
          <w:sz w:val="22"/>
          <w:szCs w:val="22"/>
        </w:rPr>
        <w:t xml:space="preserve">Czy w ramach wynagrodzenia personelu projektu </w:t>
      </w:r>
      <w:proofErr w:type="spellStart"/>
      <w:r w:rsidRPr="00371590">
        <w:rPr>
          <w:rFonts w:asciiTheme="minorHAnsi" w:hAnsiTheme="minorHAnsi"/>
          <w:b/>
          <w:sz w:val="22"/>
          <w:szCs w:val="22"/>
        </w:rPr>
        <w:t>kwalifikowalne</w:t>
      </w:r>
      <w:proofErr w:type="spellEnd"/>
      <w:r w:rsidRPr="00371590">
        <w:rPr>
          <w:rFonts w:asciiTheme="minorHAnsi" w:hAnsiTheme="minorHAnsi"/>
          <w:b/>
          <w:sz w:val="22"/>
          <w:szCs w:val="22"/>
        </w:rPr>
        <w:t xml:space="preserve"> są wydatki na odpis na Zakładowy Fundusz Świadczeń Socjalnych, koszt dodatkowego wynagrodzenia ( tzw. 13 pensja) oraz koszt dodatku feryjnego? </w:t>
      </w:r>
    </w:p>
    <w:p w:rsidR="00005DD0" w:rsidRPr="00371590" w:rsidRDefault="00005DD0" w:rsidP="00371590">
      <w:pPr>
        <w:rPr>
          <w:rFonts w:asciiTheme="minorHAnsi" w:hAnsiTheme="minorHAnsi"/>
          <w:sz w:val="22"/>
          <w:szCs w:val="22"/>
        </w:rPr>
      </w:pPr>
      <w:r w:rsidRPr="00371590">
        <w:rPr>
          <w:rFonts w:asciiTheme="minorHAnsi" w:hAnsiTheme="minorHAnsi"/>
          <w:sz w:val="22"/>
          <w:szCs w:val="22"/>
        </w:rPr>
        <w:t xml:space="preserve">Zgodnie z </w:t>
      </w:r>
      <w:hyperlink r:id="rId6" w:history="1">
        <w:r w:rsidRPr="00371590">
          <w:rPr>
            <w:rStyle w:val="Hipercze"/>
            <w:rFonts w:asciiTheme="minorHAnsi" w:hAnsiTheme="minorHAnsi"/>
            <w:i/>
            <w:iCs/>
            <w:sz w:val="22"/>
            <w:szCs w:val="22"/>
          </w:rPr>
          <w:t xml:space="preserve">Wytyczne w zakresie </w:t>
        </w:r>
        <w:proofErr w:type="spellStart"/>
        <w:r w:rsidRPr="00371590">
          <w:rPr>
            <w:rStyle w:val="Hipercze"/>
            <w:rFonts w:asciiTheme="minorHAnsi" w:hAnsiTheme="minorHAnsi"/>
            <w:i/>
            <w:iCs/>
            <w:sz w:val="22"/>
            <w:szCs w:val="22"/>
          </w:rPr>
          <w:t>kwalifikowalności</w:t>
        </w:r>
        <w:proofErr w:type="spellEnd"/>
        <w:r w:rsidRPr="00371590">
          <w:rPr>
            <w:rStyle w:val="Hipercze"/>
            <w:rFonts w:asciiTheme="minorHAnsi" w:hAnsiTheme="minorHAnsi"/>
            <w:i/>
            <w:iCs/>
            <w:sz w:val="22"/>
            <w:szCs w:val="22"/>
          </w:rPr>
          <w:t xml:space="preserve"> wydatków w ramach Europejskiego Funduszu Rozwoju Regionalnego, Europejskiego Funduszu Społecznego oraz Funduszu Spójności na lata 2014-2020,</w:t>
        </w:r>
      </w:hyperlink>
      <w:r w:rsidRPr="00371590">
        <w:rPr>
          <w:rFonts w:asciiTheme="minorHAnsi" w:hAnsiTheme="minorHAnsi"/>
          <w:sz w:val="22"/>
          <w:szCs w:val="22"/>
        </w:rPr>
        <w:t xml:space="preserve"> pkt. 6.15 Koszty związane z angażowaniem personelu wskazano pkt.3 „</w:t>
      </w:r>
      <w:proofErr w:type="spellStart"/>
      <w:r w:rsidRPr="00371590">
        <w:rPr>
          <w:rFonts w:asciiTheme="minorHAnsi" w:hAnsiTheme="minorHAnsi"/>
          <w:sz w:val="22"/>
          <w:szCs w:val="22"/>
        </w:rPr>
        <w:t>Kwalifikowalnymi</w:t>
      </w:r>
      <w:proofErr w:type="spellEnd"/>
      <w:r w:rsidRPr="00371590">
        <w:rPr>
          <w:rFonts w:asciiTheme="minorHAnsi" w:hAnsiTheme="minorHAnsi"/>
          <w:sz w:val="22"/>
          <w:szCs w:val="22"/>
        </w:rPr>
        <w:t xml:space="preserve">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 (Dz. U. z 2016 r. poz. 1449)”. </w:t>
      </w:r>
    </w:p>
    <w:p w:rsidR="00005DD0" w:rsidRPr="00371590" w:rsidRDefault="00005DD0" w:rsidP="00371590">
      <w:pPr>
        <w:rPr>
          <w:rFonts w:asciiTheme="minorHAnsi" w:hAnsiTheme="minorHAnsi"/>
          <w:sz w:val="22"/>
          <w:szCs w:val="22"/>
        </w:rPr>
      </w:pPr>
      <w:r w:rsidRPr="00371590">
        <w:rPr>
          <w:rFonts w:asciiTheme="minorHAnsi" w:hAnsiTheme="minorHAnsi"/>
          <w:bCs/>
          <w:sz w:val="22"/>
          <w:szCs w:val="22"/>
        </w:rPr>
        <w:t xml:space="preserve">Dodatkowe wynagrodzenie roczne personelu projektu </w:t>
      </w:r>
      <w:r w:rsidRPr="00371590">
        <w:rPr>
          <w:rFonts w:asciiTheme="minorHAnsi" w:hAnsiTheme="minorHAnsi"/>
          <w:sz w:val="22"/>
          <w:szCs w:val="22"/>
        </w:rPr>
        <w:t xml:space="preserve">jest </w:t>
      </w:r>
      <w:proofErr w:type="spellStart"/>
      <w:r w:rsidRPr="00371590">
        <w:rPr>
          <w:rFonts w:asciiTheme="minorHAnsi" w:hAnsiTheme="minorHAnsi"/>
          <w:sz w:val="22"/>
          <w:szCs w:val="22"/>
        </w:rPr>
        <w:t>kwalifikowalne</w:t>
      </w:r>
      <w:proofErr w:type="spellEnd"/>
      <w:r w:rsidRPr="00371590">
        <w:rPr>
          <w:rFonts w:asciiTheme="minorHAnsi" w:hAnsiTheme="minorHAnsi"/>
          <w:sz w:val="22"/>
          <w:szCs w:val="22"/>
        </w:rPr>
        <w:t xml:space="preserve"> wyłącznie jeżeli wynika z przepisów prawa pracy (w rozumieniu Kodeksu pracy, innych ustaw i aktów wykonawczych, układów zbiorowych pracy, innych opartych na ustawie porozumieniach zbiorowych, regulaminach i statutach określających prawa i obowiązki stron stosunku pracy) i </w:t>
      </w:r>
      <w:r w:rsidRPr="00371590">
        <w:rPr>
          <w:rFonts w:asciiTheme="minorHAnsi" w:hAnsiTheme="minorHAnsi"/>
          <w:bCs/>
          <w:sz w:val="22"/>
          <w:szCs w:val="22"/>
        </w:rPr>
        <w:t>odpowiada proporcji, w której wynagrodzenie zasadnicze będące podstawą jego naliczenia jest rozliczane w ramach projektu.</w:t>
      </w:r>
    </w:p>
    <w:p w:rsidR="00005DD0" w:rsidRPr="00371590" w:rsidRDefault="00005DD0" w:rsidP="00371590">
      <w:pPr>
        <w:rPr>
          <w:rFonts w:asciiTheme="minorHAnsi" w:hAnsiTheme="minorHAnsi"/>
          <w:sz w:val="22"/>
          <w:szCs w:val="22"/>
        </w:rPr>
      </w:pPr>
    </w:p>
    <w:p w:rsidR="00005DD0" w:rsidRPr="00371590" w:rsidRDefault="00005DD0" w:rsidP="00371590">
      <w:pPr>
        <w:jc w:val="both"/>
        <w:rPr>
          <w:rFonts w:asciiTheme="minorHAnsi" w:hAnsiTheme="minorHAnsi"/>
          <w:b/>
          <w:sz w:val="22"/>
          <w:szCs w:val="22"/>
        </w:rPr>
      </w:pPr>
      <w:r w:rsidRPr="00371590">
        <w:rPr>
          <w:rFonts w:asciiTheme="minorHAnsi" w:hAnsiTheme="minorHAnsi"/>
          <w:b/>
          <w:sz w:val="22"/>
          <w:szCs w:val="22"/>
        </w:rPr>
        <w:t xml:space="preserve"> Czy zajęcia logopedyczne zaplanowane w projekcie muszą być realizowane w wymiarze 60 minut?</w:t>
      </w:r>
    </w:p>
    <w:p w:rsidR="00005DD0" w:rsidRPr="00371590" w:rsidRDefault="00005DD0" w:rsidP="00371590">
      <w:pPr>
        <w:jc w:val="both"/>
        <w:rPr>
          <w:rFonts w:asciiTheme="minorHAnsi" w:hAnsiTheme="minorHAnsi"/>
          <w:color w:val="1F497D"/>
          <w:sz w:val="22"/>
          <w:szCs w:val="22"/>
        </w:rPr>
      </w:pPr>
      <w:r w:rsidRPr="00371590">
        <w:rPr>
          <w:rFonts w:asciiTheme="minorHAnsi" w:hAnsiTheme="minorHAnsi"/>
          <w:sz w:val="22"/>
          <w:szCs w:val="22"/>
        </w:rPr>
        <w:t>W Załączniku nr 4 Standardy realizacji wybranych form wsparcia wskazano Katalog stawek maksymalnych w którym określono stawki maksymalne za pracę logopedy tj. 65 zł za 60 min. Wnioskodawca planuje zajęcia logopedyczne zgodnie z potrzebami wynikającymi z Diagnozy potrzeb edukacyjnych.</w:t>
      </w:r>
    </w:p>
    <w:p w:rsidR="00005DD0" w:rsidRPr="00371590" w:rsidRDefault="00005DD0" w:rsidP="00371590">
      <w:pPr>
        <w:jc w:val="both"/>
        <w:rPr>
          <w:rFonts w:asciiTheme="minorHAnsi" w:hAnsiTheme="minorHAnsi"/>
          <w:bCs/>
          <w:sz w:val="22"/>
          <w:szCs w:val="22"/>
        </w:rPr>
      </w:pPr>
      <w:r w:rsidRPr="00371590">
        <w:rPr>
          <w:rFonts w:asciiTheme="minorHAnsi" w:hAnsiTheme="minorHAnsi"/>
          <w:sz w:val="22"/>
          <w:szCs w:val="22"/>
        </w:rPr>
        <w:t>Zajęcia z logopedą musz</w:t>
      </w:r>
      <w:r w:rsidR="00BA5938">
        <w:rPr>
          <w:rFonts w:asciiTheme="minorHAnsi" w:hAnsiTheme="minorHAnsi"/>
          <w:sz w:val="22"/>
          <w:szCs w:val="22"/>
        </w:rPr>
        <w:t>ą</w:t>
      </w:r>
      <w:r w:rsidRPr="00371590">
        <w:rPr>
          <w:rFonts w:asciiTheme="minorHAnsi" w:hAnsiTheme="minorHAnsi"/>
          <w:sz w:val="22"/>
          <w:szCs w:val="22"/>
        </w:rPr>
        <w:t xml:space="preserve"> być realizowane zgodnie z ROZPORZĄDZENIEM MINISTRA EDUKACJI NARODOWEJ z dnia 9 sierpnia 2017 r. w sprawie zasad organizacji i udzielania pomocy psychologiczno-pedagogicznej w publicznych przedszkolach, szkołach i placówkach.</w:t>
      </w:r>
    </w:p>
    <w:p w:rsidR="0000698E" w:rsidRPr="00371590" w:rsidRDefault="0000698E" w:rsidP="00371590">
      <w:pPr>
        <w:jc w:val="both"/>
        <w:rPr>
          <w:rFonts w:asciiTheme="minorHAnsi" w:hAnsiTheme="minorHAnsi"/>
          <w:sz w:val="22"/>
          <w:szCs w:val="22"/>
        </w:rPr>
      </w:pPr>
    </w:p>
    <w:p w:rsidR="00005DD0" w:rsidRPr="00371590" w:rsidRDefault="00005DD0" w:rsidP="00371590">
      <w:pPr>
        <w:jc w:val="both"/>
        <w:rPr>
          <w:rFonts w:asciiTheme="minorHAnsi" w:hAnsiTheme="minorHAnsi"/>
          <w:sz w:val="22"/>
          <w:szCs w:val="22"/>
        </w:rPr>
      </w:pPr>
    </w:p>
    <w:p w:rsidR="00005DD0" w:rsidRPr="00371590" w:rsidRDefault="00005DD0" w:rsidP="00371590">
      <w:pPr>
        <w:jc w:val="both"/>
        <w:rPr>
          <w:rFonts w:asciiTheme="minorHAnsi" w:hAnsiTheme="minorHAnsi"/>
          <w:b/>
          <w:sz w:val="22"/>
          <w:szCs w:val="22"/>
        </w:rPr>
      </w:pPr>
      <w:r w:rsidRPr="00371590">
        <w:rPr>
          <w:rFonts w:asciiTheme="minorHAnsi" w:hAnsiTheme="minorHAnsi"/>
          <w:b/>
          <w:sz w:val="22"/>
          <w:szCs w:val="22"/>
        </w:rPr>
        <w:t>Czy jeden podmiot (np. fundacja) może złożyć dwa lub więcej projektów, które będą obejmowały wsparciem tę samą placówkę szkolną (np. projekt ZIT i horyzontalny)?</w:t>
      </w:r>
    </w:p>
    <w:p w:rsidR="00005DD0" w:rsidRPr="00371590" w:rsidRDefault="009B7702" w:rsidP="00371590">
      <w:pPr>
        <w:jc w:val="both"/>
        <w:rPr>
          <w:rFonts w:asciiTheme="minorHAnsi" w:hAnsiTheme="minorHAnsi"/>
          <w:bCs/>
          <w:sz w:val="22"/>
          <w:szCs w:val="22"/>
        </w:rPr>
      </w:pPr>
      <w:r>
        <w:rPr>
          <w:rFonts w:asciiTheme="minorHAnsi" w:hAnsiTheme="minorHAnsi"/>
          <w:sz w:val="22"/>
          <w:szCs w:val="22"/>
        </w:rPr>
        <w:t>Z</w:t>
      </w:r>
      <w:r w:rsidR="00005DD0" w:rsidRPr="00371590">
        <w:rPr>
          <w:rFonts w:asciiTheme="minorHAnsi" w:hAnsiTheme="minorHAnsi"/>
          <w:sz w:val="22"/>
          <w:szCs w:val="22"/>
        </w:rPr>
        <w:t xml:space="preserve">godnie z zapisami zawartymi </w:t>
      </w:r>
      <w:hyperlink r:id="rId7" w:history="1">
        <w:r w:rsidR="00005DD0" w:rsidRPr="00371590">
          <w:rPr>
            <w:rStyle w:val="Hipercze"/>
            <w:rFonts w:asciiTheme="minorHAnsi" w:hAnsiTheme="minorHAnsi"/>
            <w:sz w:val="22"/>
            <w:szCs w:val="22"/>
          </w:rPr>
          <w:t>w Załączniku nr 1 Wyciąg z kryteriów wyboru projektów dla Działania 10.2</w:t>
        </w:r>
      </w:hyperlink>
      <w:r w:rsidR="00005DD0" w:rsidRPr="00371590">
        <w:rPr>
          <w:rFonts w:asciiTheme="minorHAnsi" w:hAnsiTheme="minorHAnsi"/>
          <w:sz w:val="22"/>
          <w:szCs w:val="22"/>
        </w:rPr>
        <w:t xml:space="preserve">, w szczególności kryteria dostępu, określono </w:t>
      </w:r>
      <w:r w:rsidR="00005DD0" w:rsidRPr="00371590">
        <w:rPr>
          <w:rFonts w:asciiTheme="minorHAnsi" w:hAnsiTheme="minorHAnsi"/>
          <w:bCs/>
          <w:sz w:val="22"/>
          <w:szCs w:val="22"/>
        </w:rPr>
        <w:t xml:space="preserve">Kryterium efektywności wsparcia, </w:t>
      </w:r>
      <w:r w:rsidR="00005DD0" w:rsidRPr="00371590">
        <w:rPr>
          <w:rFonts w:asciiTheme="minorHAnsi" w:hAnsiTheme="minorHAnsi"/>
          <w:sz w:val="22"/>
          <w:szCs w:val="22"/>
        </w:rPr>
        <w:t>weryfikujące</w:t>
      </w:r>
      <w:r w:rsidR="00005DD0" w:rsidRPr="00371590">
        <w:rPr>
          <w:rFonts w:asciiTheme="minorHAnsi" w:hAnsiTheme="minorHAnsi"/>
          <w:bCs/>
          <w:sz w:val="22"/>
          <w:szCs w:val="22"/>
        </w:rPr>
        <w:t xml:space="preserve"> </w:t>
      </w:r>
      <w:r w:rsidR="00005DD0" w:rsidRPr="00371590">
        <w:rPr>
          <w:rFonts w:asciiTheme="minorHAnsi" w:hAnsiTheme="minorHAnsi"/>
          <w:sz w:val="22"/>
          <w:szCs w:val="22"/>
        </w:rPr>
        <w:t xml:space="preserve">czy dana szkoła lub </w:t>
      </w:r>
      <w:r w:rsidR="00005DD0" w:rsidRPr="009B7702">
        <w:rPr>
          <w:rFonts w:asciiTheme="minorHAnsi" w:hAnsiTheme="minorHAnsi"/>
          <w:sz w:val="22"/>
          <w:szCs w:val="22"/>
        </w:rPr>
        <w:t>placówka systemu oświaty występuje/jest objęta wsparciem w maksymalnie jednym projekcie złożonym w danym naborze?</w:t>
      </w:r>
    </w:p>
    <w:p w:rsidR="00005DD0" w:rsidRPr="00371590" w:rsidRDefault="00005DD0" w:rsidP="00371590">
      <w:pPr>
        <w:jc w:val="both"/>
        <w:rPr>
          <w:rFonts w:asciiTheme="minorHAnsi" w:hAnsiTheme="minorHAnsi"/>
          <w:sz w:val="22"/>
          <w:szCs w:val="22"/>
        </w:rPr>
      </w:pPr>
      <w:r w:rsidRPr="00371590">
        <w:rPr>
          <w:rFonts w:asciiTheme="minorHAnsi" w:hAnsiTheme="minorHAnsi"/>
          <w:sz w:val="22"/>
          <w:szCs w:val="22"/>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w:t>
      </w:r>
      <w:r w:rsidRPr="00371590">
        <w:rPr>
          <w:rFonts w:asciiTheme="minorHAnsi" w:hAnsiTheme="minorHAnsi"/>
          <w:sz w:val="22"/>
          <w:szCs w:val="22"/>
        </w:rPr>
        <w:lastRenderedPageBreak/>
        <w:t xml:space="preserve">Konkurs odrzuca wszystkie projekty, złożone w odpowiedzi na konkurs, w których dana szkoła lub placówka została objęta wsparciem. </w:t>
      </w:r>
    </w:p>
    <w:p w:rsidR="00005DD0" w:rsidRPr="00371590" w:rsidRDefault="00005DD0" w:rsidP="00371590">
      <w:pPr>
        <w:rPr>
          <w:rFonts w:asciiTheme="minorHAnsi" w:hAnsiTheme="minorHAnsi"/>
          <w:sz w:val="22"/>
          <w:szCs w:val="22"/>
        </w:rPr>
      </w:pPr>
      <w:r w:rsidRPr="00371590">
        <w:rPr>
          <w:rFonts w:asciiTheme="minorHAnsi" w:hAnsiTheme="minorHAnsi"/>
          <w:sz w:val="22"/>
          <w:szCs w:val="22"/>
        </w:rPr>
        <w:t>Niespełnienie kryterium oznacza odrzucenie projektu.</w:t>
      </w:r>
    </w:p>
    <w:p w:rsidR="00005DD0" w:rsidRPr="00371590" w:rsidRDefault="00005DD0" w:rsidP="00371590">
      <w:pPr>
        <w:jc w:val="both"/>
        <w:rPr>
          <w:rFonts w:asciiTheme="minorHAnsi" w:hAnsiTheme="minorHAnsi"/>
          <w:sz w:val="22"/>
          <w:szCs w:val="22"/>
        </w:rPr>
      </w:pPr>
      <w:r w:rsidRPr="00371590">
        <w:rPr>
          <w:rFonts w:asciiTheme="minorHAnsi" w:hAnsiTheme="minorHAnsi"/>
          <w:sz w:val="22"/>
          <w:szCs w:val="22"/>
        </w:rPr>
        <w:t>Aktualnie prowadzony konkurs nr RPDS.10.02.01-IZ.00-02-289/18</w:t>
      </w:r>
      <w:r w:rsidRPr="00371590">
        <w:rPr>
          <w:rFonts w:asciiTheme="minorHAnsi" w:hAnsiTheme="minorHAnsi" w:cs="Arial"/>
          <w:sz w:val="22"/>
          <w:szCs w:val="22"/>
        </w:rPr>
        <w:t xml:space="preserve"> </w:t>
      </w:r>
      <w:r w:rsidRPr="00371590">
        <w:rPr>
          <w:rFonts w:asciiTheme="minorHAnsi" w:hAnsiTheme="minorHAnsi"/>
          <w:sz w:val="22"/>
          <w:szCs w:val="22"/>
        </w:rPr>
        <w:t>skierowany jest do Wnioskodawców planujących realizację projektu na obszarze Obszarów Strategicznej Interwencji, na obszarze wykraczającym poza Obszary Strategicznej Interwencji oraz na obszarze wykraczającym poza Zintegrowane Inwestycje Terytorialne.</w:t>
      </w:r>
    </w:p>
    <w:p w:rsidR="00005DD0" w:rsidRPr="00371590" w:rsidRDefault="00005DD0" w:rsidP="00371590">
      <w:pPr>
        <w:jc w:val="both"/>
        <w:rPr>
          <w:rFonts w:asciiTheme="minorHAnsi" w:hAnsiTheme="minorHAnsi"/>
          <w:color w:val="1F497D"/>
          <w:sz w:val="22"/>
          <w:szCs w:val="22"/>
        </w:rPr>
      </w:pPr>
      <w:r w:rsidRPr="00371590">
        <w:rPr>
          <w:rFonts w:asciiTheme="minorHAnsi" w:hAnsiTheme="minorHAnsi"/>
          <w:sz w:val="22"/>
          <w:szCs w:val="22"/>
        </w:rPr>
        <w:t xml:space="preserve">Dla projektów obejmujących swoim zasięgiem ZIT </w:t>
      </w:r>
      <w:proofErr w:type="spellStart"/>
      <w:r w:rsidRPr="00371590">
        <w:rPr>
          <w:rFonts w:asciiTheme="minorHAnsi" w:hAnsiTheme="minorHAnsi"/>
          <w:sz w:val="22"/>
          <w:szCs w:val="22"/>
        </w:rPr>
        <w:t>WrOF</w:t>
      </w:r>
      <w:proofErr w:type="spellEnd"/>
      <w:r w:rsidRPr="00371590">
        <w:rPr>
          <w:rFonts w:asciiTheme="minorHAnsi" w:hAnsiTheme="minorHAnsi"/>
          <w:sz w:val="22"/>
          <w:szCs w:val="22"/>
        </w:rPr>
        <w:t xml:space="preserve"> lub ZIT AJ lub ZIT AW opublikowanie ogłoszenia o konkursie nastąpi 8 maja 2018 r., a planowany termin rozpoczęcia składania wniosków to 7 czerwca 2018 r.</w:t>
      </w:r>
    </w:p>
    <w:p w:rsidR="00005DD0" w:rsidRPr="00371590" w:rsidRDefault="00005DD0" w:rsidP="00371590">
      <w:pPr>
        <w:rPr>
          <w:rFonts w:asciiTheme="minorHAnsi" w:hAnsiTheme="minorHAnsi"/>
          <w:sz w:val="22"/>
          <w:szCs w:val="22"/>
        </w:rPr>
      </w:pPr>
    </w:p>
    <w:p w:rsidR="00005DD0" w:rsidRPr="00371590" w:rsidRDefault="00005DD0" w:rsidP="00371590">
      <w:pPr>
        <w:rPr>
          <w:rFonts w:asciiTheme="minorHAnsi" w:hAnsiTheme="minorHAnsi"/>
          <w:b/>
          <w:sz w:val="22"/>
          <w:szCs w:val="22"/>
        </w:rPr>
      </w:pPr>
      <w:r w:rsidRPr="00371590">
        <w:rPr>
          <w:rFonts w:asciiTheme="minorHAnsi" w:hAnsiTheme="minorHAnsi"/>
          <w:b/>
          <w:sz w:val="22"/>
          <w:szCs w:val="22"/>
        </w:rPr>
        <w:t>Czy do wykazu działań prowadzonych przez szkołę w okresie 12 miesięcy poprzedzających złożenie wniosku o dofinansowanie  należy ująć zajęcia finansowane przez GOPS ?</w:t>
      </w:r>
    </w:p>
    <w:p w:rsidR="00005DD0" w:rsidRPr="009B7702" w:rsidRDefault="00005DD0" w:rsidP="00371590">
      <w:pPr>
        <w:jc w:val="both"/>
        <w:rPr>
          <w:rFonts w:asciiTheme="minorHAnsi" w:hAnsiTheme="minorHAnsi"/>
          <w:sz w:val="22"/>
          <w:szCs w:val="22"/>
        </w:rPr>
      </w:pPr>
      <w:r w:rsidRPr="00371590">
        <w:rPr>
          <w:rFonts w:asciiTheme="minorHAnsi" w:hAnsiTheme="minorHAnsi"/>
          <w:sz w:val="22"/>
          <w:szCs w:val="22"/>
        </w:rPr>
        <w:t>Środki przekazywane z Gminnego Ośrodka Pomocy Społecznej można uznać za środki z programów rządowych, jeżeli pochodzą z dotacji budżetu państwa przeznaczonej na realizację tego rodzaju działań. Jeżeli natomiast pochodzą ze środków samorządowych, gminnych wówczas środki te nie zaliczają się do środków z programów rządowych.</w:t>
      </w:r>
    </w:p>
    <w:p w:rsidR="00005DD0" w:rsidRPr="00371590" w:rsidRDefault="00005DD0" w:rsidP="00371590">
      <w:pPr>
        <w:rPr>
          <w:rFonts w:asciiTheme="minorHAnsi" w:hAnsiTheme="minorHAnsi"/>
          <w:sz w:val="22"/>
          <w:szCs w:val="22"/>
        </w:rPr>
      </w:pPr>
    </w:p>
    <w:p w:rsidR="00005DD0" w:rsidRPr="00371590" w:rsidRDefault="00005DD0" w:rsidP="00371590">
      <w:pPr>
        <w:jc w:val="both"/>
        <w:rPr>
          <w:rFonts w:asciiTheme="minorHAnsi" w:hAnsiTheme="minorHAnsi"/>
          <w:b/>
          <w:sz w:val="22"/>
          <w:szCs w:val="22"/>
        </w:rPr>
      </w:pPr>
      <w:r w:rsidRPr="00371590">
        <w:rPr>
          <w:rFonts w:asciiTheme="minorHAnsi" w:hAnsiTheme="minorHAnsi"/>
          <w:b/>
          <w:sz w:val="22"/>
          <w:szCs w:val="22"/>
        </w:rPr>
        <w:t>Czy Gmina może złożyć 2 wnioski w ramach naboru ? Każdy wniosek obejmować będzie szkołę wiejską i miejską i każdy będzie do kwoty 100 000,00 euro?</w:t>
      </w:r>
    </w:p>
    <w:p w:rsidR="00005DD0" w:rsidRPr="00371590" w:rsidRDefault="00005DD0" w:rsidP="00371590">
      <w:pPr>
        <w:jc w:val="both"/>
        <w:rPr>
          <w:rFonts w:asciiTheme="minorHAnsi" w:hAnsiTheme="minorHAnsi"/>
          <w:sz w:val="22"/>
          <w:szCs w:val="22"/>
        </w:rPr>
      </w:pPr>
      <w:r w:rsidRPr="00371590">
        <w:rPr>
          <w:rFonts w:asciiTheme="minorHAnsi" w:hAnsiTheme="minorHAnsi"/>
          <w:sz w:val="22"/>
          <w:szCs w:val="22"/>
        </w:rPr>
        <w:t xml:space="preserve">Zgodnie z Załącznikiem nr 1 </w:t>
      </w:r>
      <w:r w:rsidRPr="00371590">
        <w:rPr>
          <w:rFonts w:asciiTheme="minorHAnsi" w:hAnsiTheme="minorHAnsi"/>
          <w:i/>
          <w:iCs/>
          <w:sz w:val="22"/>
          <w:szCs w:val="22"/>
        </w:rPr>
        <w:t>Wyciąg z kryteriów wyboru projektu</w:t>
      </w:r>
      <w:r w:rsidRPr="00371590">
        <w:rPr>
          <w:rFonts w:asciiTheme="minorHAnsi" w:hAnsiTheme="minorHAnsi"/>
          <w:sz w:val="22"/>
          <w:szCs w:val="22"/>
        </w:rPr>
        <w:t xml:space="preserve">, weryfikowane będzie m.in.: Kryterium liczby wniosków tj. Czy dany </w:t>
      </w:r>
      <w:r w:rsidRPr="00371590">
        <w:rPr>
          <w:rFonts w:asciiTheme="minorHAnsi" w:hAnsiTheme="minorHAnsi"/>
          <w:bCs/>
          <w:sz w:val="22"/>
          <w:szCs w:val="22"/>
        </w:rPr>
        <w:t>podmiot występuje maksymalnie w 4 projektach złożonych w danym naborze jako samodzielny Wnioskodawca, lider i Partner</w:t>
      </w:r>
      <w:r w:rsidRPr="00371590">
        <w:rPr>
          <w:rFonts w:asciiTheme="minorHAnsi" w:hAnsiTheme="minorHAnsi"/>
          <w:sz w:val="22"/>
          <w:szCs w:val="22"/>
        </w:rPr>
        <w:t xml:space="preserve"> w projekcie?</w:t>
      </w:r>
    </w:p>
    <w:p w:rsidR="00005DD0" w:rsidRPr="00371590" w:rsidRDefault="00005DD0" w:rsidP="00371590">
      <w:pPr>
        <w:jc w:val="both"/>
        <w:rPr>
          <w:rFonts w:asciiTheme="minorHAnsi" w:hAnsiTheme="minorHAnsi"/>
          <w:sz w:val="22"/>
          <w:szCs w:val="22"/>
        </w:rPr>
      </w:pPr>
      <w:r w:rsidRPr="00371590">
        <w:rPr>
          <w:rFonts w:asciiTheme="minorHAnsi" w:hAnsiTheme="minorHAnsi"/>
          <w:sz w:val="22"/>
          <w:szCs w:val="22"/>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w:t>
      </w:r>
    </w:p>
    <w:p w:rsidR="00005DD0" w:rsidRPr="00371590" w:rsidRDefault="00005DD0" w:rsidP="00371590">
      <w:pPr>
        <w:jc w:val="both"/>
        <w:rPr>
          <w:rFonts w:asciiTheme="minorHAnsi" w:hAnsiTheme="minorHAnsi"/>
          <w:sz w:val="22"/>
          <w:szCs w:val="22"/>
        </w:rPr>
      </w:pPr>
      <w:r w:rsidRPr="00371590">
        <w:rPr>
          <w:rFonts w:asciiTheme="minorHAnsi" w:hAnsiTheme="minorHAnsi"/>
          <w:sz w:val="22"/>
          <w:szCs w:val="22"/>
        </w:rPr>
        <w:t xml:space="preserve">Istotne jest również kryterium Czy dana </w:t>
      </w:r>
      <w:r w:rsidRPr="00371590">
        <w:rPr>
          <w:rFonts w:asciiTheme="minorHAnsi" w:hAnsiTheme="minorHAnsi"/>
          <w:bCs/>
          <w:sz w:val="22"/>
          <w:szCs w:val="22"/>
        </w:rPr>
        <w:t>szkoła lub placówka systemu oświaty występuje/jest objęta wsparciem w maksymalnie jednym projekcie złożonym w danym naborze</w:t>
      </w:r>
      <w:r w:rsidRPr="00371590">
        <w:rPr>
          <w:rFonts w:asciiTheme="minorHAnsi" w:hAnsiTheme="minorHAnsi"/>
          <w:sz w:val="22"/>
          <w:szCs w:val="22"/>
        </w:rPr>
        <w:t>?</w:t>
      </w:r>
    </w:p>
    <w:p w:rsidR="00005DD0" w:rsidRPr="00371590" w:rsidRDefault="00005DD0" w:rsidP="00371590">
      <w:pPr>
        <w:jc w:val="both"/>
        <w:rPr>
          <w:rFonts w:asciiTheme="minorHAnsi" w:hAnsiTheme="minorHAnsi"/>
          <w:sz w:val="22"/>
          <w:szCs w:val="22"/>
        </w:rPr>
      </w:pPr>
      <w:r w:rsidRPr="00371590">
        <w:rPr>
          <w:rFonts w:asciiTheme="minorHAnsi" w:hAnsiTheme="minorHAnsi"/>
          <w:sz w:val="22"/>
          <w:szCs w:val="22"/>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p w:rsidR="00371590" w:rsidRPr="00371590" w:rsidRDefault="00005DD0" w:rsidP="00371590">
      <w:pPr>
        <w:jc w:val="both"/>
        <w:rPr>
          <w:rFonts w:asciiTheme="minorHAnsi" w:hAnsiTheme="minorHAnsi"/>
          <w:color w:val="1F497D"/>
          <w:sz w:val="22"/>
          <w:szCs w:val="22"/>
        </w:rPr>
      </w:pPr>
      <w:r w:rsidRPr="00371590">
        <w:rPr>
          <w:rFonts w:asciiTheme="minorHAnsi" w:hAnsiTheme="minorHAnsi"/>
          <w:sz w:val="22"/>
          <w:szCs w:val="22"/>
        </w:rPr>
        <w:t>Gmina jako Wnioskodawca może zatem złożyć dwa odrębne wnioski, pod warunkiem, że nie przekroczy określonej w kryterium maksymalnej ilości złożonych projektów w danym naborze jako samodzielny Wnioskodawca, lider i Partner, oraz, że nie będą wspierane w nich te same szkoły.</w:t>
      </w:r>
    </w:p>
    <w:p w:rsidR="00371590" w:rsidRPr="00371590" w:rsidRDefault="00371590" w:rsidP="00371590">
      <w:pPr>
        <w:rPr>
          <w:rFonts w:asciiTheme="minorHAnsi" w:hAnsiTheme="minorHAnsi"/>
          <w:sz w:val="22"/>
          <w:szCs w:val="22"/>
        </w:rPr>
      </w:pPr>
    </w:p>
    <w:p w:rsidR="00005DD0" w:rsidRPr="00371590" w:rsidRDefault="00005DD0" w:rsidP="00371590">
      <w:pPr>
        <w:jc w:val="both"/>
        <w:rPr>
          <w:rFonts w:asciiTheme="minorHAnsi" w:hAnsiTheme="minorHAnsi"/>
          <w:b/>
          <w:sz w:val="22"/>
          <w:szCs w:val="22"/>
        </w:rPr>
      </w:pPr>
      <w:r w:rsidRPr="00371590">
        <w:rPr>
          <w:rFonts w:asciiTheme="minorHAnsi" w:hAnsiTheme="minorHAnsi"/>
          <w:b/>
          <w:sz w:val="22"/>
          <w:szCs w:val="22"/>
        </w:rPr>
        <w:t>Czy w ramach projektu można zaplanować zajęcia z języka polskiego? Czy koszty zajęć pozalekcyjnych z języka polskiego, które rozwijają zainteresowania lub wyrównują dysproporcje związane z różnic programowych będzie kosztem kwalifikowanym?</w:t>
      </w:r>
    </w:p>
    <w:p w:rsidR="00005DD0" w:rsidRPr="00371590" w:rsidRDefault="00005DD0" w:rsidP="00371590">
      <w:pPr>
        <w:tabs>
          <w:tab w:val="left" w:pos="5250"/>
        </w:tabs>
        <w:jc w:val="both"/>
        <w:rPr>
          <w:rFonts w:asciiTheme="minorHAnsi" w:hAnsiTheme="minorHAnsi"/>
          <w:sz w:val="22"/>
          <w:szCs w:val="22"/>
        </w:rPr>
      </w:pPr>
      <w:r w:rsidRPr="00371590">
        <w:rPr>
          <w:rFonts w:asciiTheme="minorHAnsi" w:hAnsiTheme="minorHAnsi"/>
          <w:sz w:val="22"/>
          <w:szCs w:val="22"/>
        </w:rPr>
        <w:t xml:space="preserve">W ramach typu projektu A, który wspiera kompetencje kluczowe i umiejętności uniwersalne nie można wspierać nauczania z języka polskiego bo język polski nie występuje w katalogu kompetencji kluczowych i umiejętności uniwersalnych. </w:t>
      </w:r>
    </w:p>
    <w:p w:rsidR="00005DD0" w:rsidRPr="00371590" w:rsidRDefault="00005DD0" w:rsidP="00371590">
      <w:pPr>
        <w:jc w:val="both"/>
        <w:rPr>
          <w:rFonts w:asciiTheme="minorHAnsi" w:hAnsiTheme="minorHAnsi"/>
          <w:sz w:val="22"/>
          <w:szCs w:val="22"/>
        </w:rPr>
      </w:pPr>
      <w:r w:rsidRPr="00371590">
        <w:rPr>
          <w:rFonts w:asciiTheme="minorHAnsi" w:hAnsiTheme="minorHAnsi"/>
          <w:sz w:val="22"/>
          <w:szCs w:val="22"/>
        </w:rPr>
        <w:t xml:space="preserve">W ramach typu projektu D indywidualizacja nauczania dla uczniów o specjalnych potrzebach edukacyjnych i rozwojowych można zaplanować „zajęcia dydaktyczno – wyrównawcze, organizowane dla uczniów ze specjalnymi potrzebami edukacyjnymi, w tym uczniów młodszych, mających trudności </w:t>
      </w:r>
      <w:r w:rsidRPr="00371590">
        <w:rPr>
          <w:rFonts w:asciiTheme="minorHAnsi" w:hAnsiTheme="minorHAnsi"/>
          <w:sz w:val="22"/>
          <w:szCs w:val="22"/>
        </w:rPr>
        <w:lastRenderedPageBreak/>
        <w:t>w spełnianiu wymagań edukacyjnych wynikających z podstawy programowej kształcenia ogólnego dla danego etapu edukacyjnego”, w tym z języka polskiego ale pod warunkiem, że wsparcie jest skierowane do uczniów o specjalnych potrzebach edukacyjnych i rozwojowych lub uczniów młodszych.</w:t>
      </w:r>
    </w:p>
    <w:p w:rsidR="00371590" w:rsidRDefault="00371590" w:rsidP="00371590">
      <w:pPr>
        <w:jc w:val="both"/>
        <w:rPr>
          <w:rFonts w:asciiTheme="minorHAnsi" w:hAnsiTheme="minorHAnsi"/>
          <w:b/>
          <w:sz w:val="22"/>
          <w:szCs w:val="22"/>
        </w:rPr>
      </w:pPr>
    </w:p>
    <w:p w:rsidR="00005DD0" w:rsidRPr="00371590" w:rsidRDefault="00005DD0" w:rsidP="00371590">
      <w:pPr>
        <w:jc w:val="both"/>
        <w:rPr>
          <w:rFonts w:asciiTheme="minorHAnsi" w:hAnsiTheme="minorHAnsi"/>
          <w:b/>
          <w:sz w:val="22"/>
          <w:szCs w:val="22"/>
        </w:rPr>
      </w:pPr>
      <w:r w:rsidRPr="00371590">
        <w:rPr>
          <w:rFonts w:asciiTheme="minorHAnsi" w:hAnsiTheme="minorHAnsi"/>
          <w:b/>
          <w:sz w:val="22"/>
          <w:szCs w:val="22"/>
        </w:rPr>
        <w:t>Czy zakup sprzętu lub pomocy dydaktycznych o wartości równej lub niższej niż 3500 zł  wlicza się do któregokolwiek z limitów określonych w dokumentacji</w:t>
      </w:r>
      <w:r w:rsidR="00371590">
        <w:rPr>
          <w:rFonts w:asciiTheme="minorHAnsi" w:hAnsiTheme="minorHAnsi"/>
          <w:b/>
          <w:sz w:val="22"/>
          <w:szCs w:val="22"/>
        </w:rPr>
        <w:t xml:space="preserve"> konkursowej?</w:t>
      </w:r>
    </w:p>
    <w:p w:rsidR="00005DD0" w:rsidRPr="00371590" w:rsidRDefault="00005DD0" w:rsidP="00371590">
      <w:pPr>
        <w:jc w:val="both"/>
        <w:rPr>
          <w:rFonts w:asciiTheme="minorHAnsi" w:hAnsiTheme="minorHAnsi"/>
          <w:sz w:val="22"/>
          <w:szCs w:val="22"/>
        </w:rPr>
      </w:pPr>
      <w:r w:rsidRPr="00371590">
        <w:rPr>
          <w:rFonts w:asciiTheme="minorHAnsi" w:hAnsiTheme="minorHAnsi"/>
          <w:sz w:val="22"/>
          <w:szCs w:val="22"/>
        </w:rPr>
        <w:t>Pomoce dydaktyczne, sprzęt o wartości jednostkowej NIŻSZEJ niż 3500 zł nie wliczają się do limitów określonych w dokumentacji konkursowej, oprócz sytuacji, w której jest to „wyposażenie szkół lub placówek systemu oświaty w pomoce dydaktyczne oraz narzędzia TIK niezbędne do realizacji programów nauczania w szkołach lub placówkach systemu oświaty, w tym zapewnienie odpowiedniej infrastruktury sieciowo-usługowej” (typ projektu A) – wówczas wlicza się do limitu na wyposażenie szkół w sprzęt TIK tj. 140 tys. dla szkół do 300 uczniów i 200 tys. dla szkół powyżej 301 uczniów.</w:t>
      </w:r>
    </w:p>
    <w:p w:rsidR="00005DD0" w:rsidRPr="00371590" w:rsidRDefault="00BA5938" w:rsidP="00371590">
      <w:pPr>
        <w:jc w:val="both"/>
        <w:rPr>
          <w:rFonts w:asciiTheme="minorHAnsi" w:hAnsiTheme="minorHAnsi"/>
          <w:sz w:val="22"/>
          <w:szCs w:val="22"/>
        </w:rPr>
      </w:pPr>
      <w:r>
        <w:rPr>
          <w:rFonts w:asciiTheme="minorHAnsi" w:hAnsiTheme="minorHAnsi"/>
          <w:sz w:val="22"/>
          <w:szCs w:val="22"/>
        </w:rPr>
        <w:t>P</w:t>
      </w:r>
      <w:r w:rsidR="00005DD0" w:rsidRPr="00371590">
        <w:rPr>
          <w:rFonts w:asciiTheme="minorHAnsi" w:hAnsiTheme="minorHAnsi"/>
          <w:sz w:val="22"/>
          <w:szCs w:val="22"/>
        </w:rPr>
        <w:t xml:space="preserve">omoce dydaktyczne, sprzęt o wartości jednostkowej RÓWNEJ LUB WYŻSZEJ niż 3500 zł wpisują się w limit: „Wartość wydatków poniesionych na zakup środków trwałych o wartości jednostkowej równej i wyższej niż 3500 PLN netto w ramach kosztów bezpośrednich projektu oraz wydatków w ramach </w:t>
      </w:r>
      <w:proofErr w:type="spellStart"/>
      <w:r w:rsidR="00005DD0" w:rsidRPr="00371590">
        <w:rPr>
          <w:rFonts w:asciiTheme="minorHAnsi" w:hAnsiTheme="minorHAnsi"/>
          <w:sz w:val="22"/>
          <w:szCs w:val="22"/>
        </w:rPr>
        <w:t>cross-financingu</w:t>
      </w:r>
      <w:proofErr w:type="spellEnd"/>
      <w:r w:rsidR="00005DD0" w:rsidRPr="00371590">
        <w:rPr>
          <w:rFonts w:asciiTheme="minorHAnsi" w:hAnsiTheme="minorHAnsi"/>
          <w:sz w:val="22"/>
          <w:szCs w:val="22"/>
        </w:rPr>
        <w:t xml:space="preserve"> nie może łącznie przekroczyć 10% wydatków projektu”</w:t>
      </w:r>
    </w:p>
    <w:p w:rsidR="00005DD0" w:rsidRPr="00371590" w:rsidRDefault="00BA5938" w:rsidP="00371590">
      <w:pPr>
        <w:jc w:val="both"/>
        <w:rPr>
          <w:rFonts w:asciiTheme="minorHAnsi" w:hAnsiTheme="minorHAnsi"/>
          <w:color w:val="1F497D"/>
          <w:sz w:val="22"/>
          <w:szCs w:val="22"/>
        </w:rPr>
      </w:pPr>
      <w:r>
        <w:rPr>
          <w:rFonts w:asciiTheme="minorHAnsi" w:hAnsiTheme="minorHAnsi"/>
          <w:sz w:val="22"/>
          <w:szCs w:val="22"/>
        </w:rPr>
        <w:t>J</w:t>
      </w:r>
      <w:r w:rsidR="00005DD0" w:rsidRPr="00371590">
        <w:rPr>
          <w:rFonts w:asciiTheme="minorHAnsi" w:hAnsiTheme="minorHAnsi"/>
          <w:sz w:val="22"/>
          <w:szCs w:val="22"/>
        </w:rPr>
        <w:t xml:space="preserve">eżeli są to pomoce dydaktyczne, sprzęt o wartości jednostkowej RÓWNEJ LUB WYŻSZEJ niż 3500 zł </w:t>
      </w:r>
      <w:r w:rsidR="00005DD0" w:rsidRPr="00371590">
        <w:rPr>
          <w:rFonts w:asciiTheme="minorHAnsi" w:hAnsiTheme="minorHAnsi"/>
          <w:sz w:val="22"/>
          <w:szCs w:val="22"/>
          <w:u w:val="single"/>
        </w:rPr>
        <w:t>zakupione w ramach wyposażenia pracowni TIK (typ projektu A) lub pracowni przedmiotowych (typ projektu B)</w:t>
      </w:r>
      <w:r w:rsidR="00005DD0" w:rsidRPr="00371590">
        <w:rPr>
          <w:rFonts w:asciiTheme="minorHAnsi" w:hAnsiTheme="minorHAnsi"/>
          <w:sz w:val="22"/>
          <w:szCs w:val="22"/>
        </w:rPr>
        <w:t xml:space="preserve"> wpisują się w limit: „łączny limit wydatków związanych z zakupem sprzętu nie przekroczy 30% wydatków projektu (włączając </w:t>
      </w:r>
      <w:proofErr w:type="spellStart"/>
      <w:r w:rsidR="00005DD0" w:rsidRPr="00371590">
        <w:rPr>
          <w:rFonts w:asciiTheme="minorHAnsi" w:hAnsiTheme="minorHAnsi"/>
          <w:sz w:val="22"/>
          <w:szCs w:val="22"/>
        </w:rPr>
        <w:t>cross-financing</w:t>
      </w:r>
      <w:proofErr w:type="spellEnd"/>
      <w:r w:rsidR="00005DD0" w:rsidRPr="00371590">
        <w:rPr>
          <w:rFonts w:asciiTheme="minorHAnsi" w:hAnsiTheme="minorHAnsi"/>
          <w:sz w:val="22"/>
          <w:szCs w:val="22"/>
        </w:rPr>
        <w:t>)”.</w:t>
      </w:r>
    </w:p>
    <w:p w:rsidR="00005DD0" w:rsidRPr="00371590" w:rsidRDefault="00005DD0" w:rsidP="00371590">
      <w:pPr>
        <w:rPr>
          <w:rFonts w:asciiTheme="minorHAnsi" w:hAnsiTheme="minorHAnsi"/>
          <w:sz w:val="22"/>
          <w:szCs w:val="22"/>
        </w:rPr>
      </w:pPr>
    </w:p>
    <w:p w:rsidR="00005DD0" w:rsidRPr="00371590" w:rsidRDefault="00005DD0" w:rsidP="00371590">
      <w:pPr>
        <w:jc w:val="both"/>
        <w:rPr>
          <w:rFonts w:asciiTheme="minorHAnsi" w:hAnsiTheme="minorHAnsi"/>
          <w:b/>
          <w:sz w:val="22"/>
          <w:szCs w:val="22"/>
        </w:rPr>
      </w:pPr>
      <w:r w:rsidRPr="00371590">
        <w:rPr>
          <w:rFonts w:asciiTheme="minorHAnsi" w:hAnsiTheme="minorHAnsi"/>
          <w:b/>
          <w:sz w:val="22"/>
          <w:szCs w:val="22"/>
        </w:rPr>
        <w:t xml:space="preserve">Z diagnozy potrzeb edukacyjnych wynika, że są potrzeby związane z organizacją zajęć pozalekcyjnych dla uczniów (w ramach typu A) w szkołach </w:t>
      </w:r>
      <w:proofErr w:type="spellStart"/>
      <w:r w:rsidRPr="00371590">
        <w:rPr>
          <w:rFonts w:asciiTheme="minorHAnsi" w:hAnsiTheme="minorHAnsi"/>
          <w:b/>
          <w:sz w:val="22"/>
          <w:szCs w:val="22"/>
        </w:rPr>
        <w:t>ponadgimnazjalnych</w:t>
      </w:r>
      <w:proofErr w:type="spellEnd"/>
      <w:r w:rsidRPr="00371590">
        <w:rPr>
          <w:rFonts w:asciiTheme="minorHAnsi" w:hAnsiTheme="minorHAnsi"/>
          <w:b/>
          <w:sz w:val="22"/>
          <w:szCs w:val="22"/>
        </w:rPr>
        <w:t xml:space="preserve"> z j. polskiego. Definicja kompetencji kluczowych obejmuje m.in. umiejętności rozumienia (ang. </w:t>
      </w:r>
      <w:proofErr w:type="spellStart"/>
      <w:r w:rsidRPr="00371590">
        <w:rPr>
          <w:rFonts w:asciiTheme="minorHAnsi" w:hAnsiTheme="minorHAnsi"/>
          <w:b/>
          <w:sz w:val="22"/>
          <w:szCs w:val="22"/>
        </w:rPr>
        <w:t>literacy</w:t>
      </w:r>
      <w:proofErr w:type="spellEnd"/>
      <w:r w:rsidRPr="00371590">
        <w:rPr>
          <w:rFonts w:asciiTheme="minorHAnsi" w:hAnsiTheme="minorHAnsi"/>
          <w:b/>
          <w:sz w:val="22"/>
          <w:szCs w:val="22"/>
        </w:rPr>
        <w:t>) o wprost odnosi się naszym zdaniem do programu nauczania z j .polskiego. Czy wobec powyższego, w ramach konkursu, można zaplanować we wniosku o dofinansowanie zajęcia pozalekcyjne w j. polskiego?</w:t>
      </w:r>
    </w:p>
    <w:p w:rsidR="00005DD0" w:rsidRPr="00371590" w:rsidRDefault="00005DD0" w:rsidP="00371590">
      <w:pPr>
        <w:jc w:val="both"/>
        <w:rPr>
          <w:rFonts w:asciiTheme="minorHAnsi" w:hAnsiTheme="minorHAnsi"/>
          <w:sz w:val="22"/>
          <w:szCs w:val="22"/>
        </w:rPr>
      </w:pPr>
      <w:r w:rsidRPr="00371590">
        <w:rPr>
          <w:rFonts w:asciiTheme="minorHAnsi" w:hAnsiTheme="minorHAnsi"/>
          <w:sz w:val="22"/>
          <w:szCs w:val="22"/>
        </w:rPr>
        <w:t xml:space="preserve">Umiejętność rozumienia (z ang. </w:t>
      </w:r>
      <w:proofErr w:type="spellStart"/>
      <w:r w:rsidRPr="00371590">
        <w:rPr>
          <w:rFonts w:asciiTheme="minorHAnsi" w:hAnsiTheme="minorHAnsi"/>
          <w:sz w:val="22"/>
          <w:szCs w:val="22"/>
        </w:rPr>
        <w:t>literacy</w:t>
      </w:r>
      <w:proofErr w:type="spellEnd"/>
      <w:r w:rsidRPr="00371590">
        <w:rPr>
          <w:rFonts w:asciiTheme="minorHAnsi" w:hAnsiTheme="minorHAnsi"/>
          <w:sz w:val="22"/>
          <w:szCs w:val="22"/>
        </w:rPr>
        <w:t>) to umiejętność, która może być rozwijana w ramach typu projektu A np. w formie zajęć pozalekcyjnych.</w:t>
      </w:r>
    </w:p>
    <w:p w:rsidR="00005DD0" w:rsidRPr="00371590" w:rsidRDefault="00005DD0" w:rsidP="00371590">
      <w:pPr>
        <w:jc w:val="both"/>
        <w:rPr>
          <w:rFonts w:asciiTheme="minorHAnsi" w:hAnsiTheme="minorHAnsi"/>
          <w:sz w:val="22"/>
          <w:szCs w:val="22"/>
        </w:rPr>
      </w:pPr>
      <w:r w:rsidRPr="00371590">
        <w:rPr>
          <w:rFonts w:asciiTheme="minorHAnsi" w:hAnsiTheme="minorHAnsi"/>
          <w:sz w:val="22"/>
          <w:szCs w:val="22"/>
        </w:rPr>
        <w:t>„</w:t>
      </w:r>
      <w:proofErr w:type="spellStart"/>
      <w:r w:rsidRPr="00371590">
        <w:rPr>
          <w:rFonts w:asciiTheme="minorHAnsi" w:hAnsiTheme="minorHAnsi"/>
          <w:sz w:val="22"/>
          <w:szCs w:val="22"/>
        </w:rPr>
        <w:t>Literacy</w:t>
      </w:r>
      <w:proofErr w:type="spellEnd"/>
      <w:r w:rsidRPr="00371590">
        <w:rPr>
          <w:rFonts w:asciiTheme="minorHAnsi" w:hAnsiTheme="minorHAnsi"/>
          <w:sz w:val="22"/>
          <w:szCs w:val="22"/>
        </w:rPr>
        <w:t xml:space="preserve">” jest tłumaczone jako umiejętność rozumienia , w tym umiejętność czytania i pisania. </w:t>
      </w:r>
    </w:p>
    <w:p w:rsidR="00005DD0" w:rsidRPr="00371590" w:rsidRDefault="00005DD0" w:rsidP="00371590">
      <w:pPr>
        <w:jc w:val="both"/>
        <w:rPr>
          <w:rFonts w:asciiTheme="minorHAnsi" w:hAnsiTheme="minorHAnsi"/>
          <w:sz w:val="22"/>
          <w:szCs w:val="22"/>
        </w:rPr>
      </w:pPr>
      <w:r w:rsidRPr="00371590">
        <w:rPr>
          <w:rFonts w:asciiTheme="minorHAnsi" w:hAnsiTheme="minorHAnsi"/>
          <w:sz w:val="22"/>
          <w:szCs w:val="22"/>
        </w:rPr>
        <w:t xml:space="preserve">Umiejętności czytania i pisania można nabyć jedynie w kontekście danego języka, w tym np. języka polskiego. </w:t>
      </w:r>
    </w:p>
    <w:p w:rsidR="00005DD0" w:rsidRPr="00371590" w:rsidRDefault="00005DD0" w:rsidP="00371590">
      <w:pPr>
        <w:jc w:val="both"/>
        <w:rPr>
          <w:rFonts w:asciiTheme="minorHAnsi" w:hAnsiTheme="minorHAnsi"/>
          <w:sz w:val="22"/>
          <w:szCs w:val="22"/>
        </w:rPr>
      </w:pPr>
      <w:r w:rsidRPr="00371590">
        <w:rPr>
          <w:rFonts w:asciiTheme="minorHAnsi" w:hAnsiTheme="minorHAnsi"/>
          <w:sz w:val="22"/>
          <w:szCs w:val="22"/>
        </w:rPr>
        <w:t>W ramach typu projektu A można zatem zaplanować zajęcia rozwijające umiejętność czytania i pisania, które będą się odbywać w kontekście języka polskiego, natomiast nie powinny to być zajęcia, których organizacja ma celu de facto realizację dodatkowych zajęć z języka polskiego, powielających zakresem podstawę programową z zakresu tego przedmiotu i jest sposobem na obejście sytuacji, że język polski nie należy do katalogu kompetencji kluczowych i umiejętności uniwersalnych wskazanych w dokumentacji konkursowej tj. wnioskodawcy nie mogą realizować zajęć z umiejętności rozumienia („</w:t>
      </w:r>
      <w:proofErr w:type="spellStart"/>
      <w:r w:rsidRPr="00371590">
        <w:rPr>
          <w:rFonts w:asciiTheme="minorHAnsi" w:hAnsiTheme="minorHAnsi"/>
          <w:sz w:val="22"/>
          <w:szCs w:val="22"/>
        </w:rPr>
        <w:t>literacy</w:t>
      </w:r>
      <w:proofErr w:type="spellEnd"/>
      <w:r w:rsidRPr="00371590">
        <w:rPr>
          <w:rFonts w:asciiTheme="minorHAnsi" w:hAnsiTheme="minorHAnsi"/>
          <w:sz w:val="22"/>
          <w:szCs w:val="22"/>
        </w:rPr>
        <w:t xml:space="preserve">”) celem obejścia tego, że w wytycznych dot. edukacji w definicji kompetencji kluczowych i umiejętności uniwersalnych nie wskazano umiejętności czy zajęć z języka polskiego. </w:t>
      </w:r>
    </w:p>
    <w:p w:rsidR="00005DD0" w:rsidRPr="00371590" w:rsidRDefault="00005DD0" w:rsidP="00371590">
      <w:pPr>
        <w:jc w:val="both"/>
        <w:rPr>
          <w:rFonts w:asciiTheme="minorHAnsi" w:hAnsiTheme="minorHAnsi"/>
          <w:color w:val="1F497D"/>
          <w:sz w:val="22"/>
          <w:szCs w:val="22"/>
        </w:rPr>
      </w:pPr>
      <w:r w:rsidRPr="00371590">
        <w:rPr>
          <w:rFonts w:asciiTheme="minorHAnsi" w:hAnsiTheme="minorHAnsi"/>
          <w:sz w:val="22"/>
          <w:szCs w:val="22"/>
        </w:rPr>
        <w:t xml:space="preserve">Podsumowując: dodatkowe zajęcia rozwijające umiejętności rozumienia powinny być ukierunkowane na rozwój umiejętności rozumienia i nie mogą stanowić po prostu dodatkowych zajęć z języka polskiego, choć oczywistym jest fakt, że będą się odbywały w kontekście języka polskiego. </w:t>
      </w:r>
    </w:p>
    <w:p w:rsidR="00371590" w:rsidRDefault="00371590" w:rsidP="00371590">
      <w:pPr>
        <w:rPr>
          <w:rFonts w:asciiTheme="minorHAnsi" w:hAnsiTheme="minorHAnsi"/>
          <w:b/>
          <w:sz w:val="22"/>
          <w:szCs w:val="22"/>
        </w:rPr>
      </w:pPr>
    </w:p>
    <w:p w:rsidR="00005DD0" w:rsidRPr="00371590" w:rsidRDefault="00005DD0" w:rsidP="00371590">
      <w:pPr>
        <w:rPr>
          <w:rFonts w:asciiTheme="minorHAnsi" w:hAnsiTheme="minorHAnsi"/>
          <w:b/>
          <w:sz w:val="22"/>
          <w:szCs w:val="22"/>
        </w:rPr>
      </w:pPr>
      <w:r w:rsidRPr="00371590">
        <w:rPr>
          <w:rFonts w:asciiTheme="minorHAnsi" w:hAnsiTheme="minorHAnsi"/>
          <w:b/>
          <w:sz w:val="22"/>
          <w:szCs w:val="22"/>
        </w:rPr>
        <w:t xml:space="preserve">Czy szkoła, która bierze aktualnie udział w projekcie z 10.2.1 może wziąć udział w kolejny naborze? </w:t>
      </w:r>
    </w:p>
    <w:p w:rsidR="00B71CA7" w:rsidRPr="00371590" w:rsidRDefault="00B71CA7" w:rsidP="009B7702">
      <w:pPr>
        <w:jc w:val="both"/>
        <w:rPr>
          <w:rFonts w:asciiTheme="minorHAnsi" w:hAnsiTheme="minorHAnsi"/>
          <w:sz w:val="22"/>
          <w:szCs w:val="22"/>
        </w:rPr>
      </w:pPr>
      <w:r w:rsidRPr="00371590">
        <w:rPr>
          <w:rFonts w:asciiTheme="minorHAnsi" w:hAnsiTheme="minorHAnsi"/>
          <w:sz w:val="22"/>
          <w:szCs w:val="22"/>
        </w:rPr>
        <w:t xml:space="preserve">Tak, szkoła realizująca projekt dofinansowany w ramach poprzedniego naboru, może być realizatorem w kolejnym projekcie, pod warunkiem, że w jego ramach będą realizowane działania projektowe odpowiadające indywidualnie zdiagnozowanemu zapotrzebowaniu szkoły z uwzględnieniem indywidualnych potrzeb rozwojowych i edukacyjnych oraz możliwości </w:t>
      </w:r>
      <w:r w:rsidRPr="00371590">
        <w:rPr>
          <w:rFonts w:asciiTheme="minorHAnsi" w:hAnsiTheme="minorHAnsi"/>
          <w:sz w:val="22"/>
          <w:szCs w:val="22"/>
        </w:rPr>
        <w:lastRenderedPageBreak/>
        <w:t xml:space="preserve">psychofizycznych uczniów objętych wsparciem, ujęte w </w:t>
      </w:r>
      <w:r w:rsidRPr="00371590">
        <w:rPr>
          <w:rFonts w:asciiTheme="minorHAnsi" w:hAnsiTheme="minorHAnsi"/>
          <w:bCs/>
          <w:sz w:val="22"/>
          <w:szCs w:val="22"/>
        </w:rPr>
        <w:t>Diagnozie potrzeb edukacyjnych,</w:t>
      </w:r>
      <w:r w:rsidRPr="00371590">
        <w:rPr>
          <w:rFonts w:asciiTheme="minorHAnsi" w:hAnsiTheme="minorHAnsi"/>
          <w:sz w:val="22"/>
          <w:szCs w:val="22"/>
        </w:rPr>
        <w:t xml:space="preserve"> oraz nie dojdzie do podwójnego finansowania.</w:t>
      </w:r>
    </w:p>
    <w:p w:rsidR="00B71CA7" w:rsidRPr="00371590" w:rsidRDefault="00B71CA7" w:rsidP="00371590">
      <w:pPr>
        <w:rPr>
          <w:rFonts w:asciiTheme="minorHAnsi" w:hAnsiTheme="minorHAnsi"/>
          <w:sz w:val="22"/>
          <w:szCs w:val="22"/>
        </w:rPr>
      </w:pPr>
      <w:r w:rsidRPr="00371590">
        <w:rPr>
          <w:rFonts w:asciiTheme="minorHAnsi" w:hAnsiTheme="minorHAnsi"/>
          <w:sz w:val="22"/>
          <w:szCs w:val="22"/>
        </w:rPr>
        <w:t xml:space="preserve">Należy zwrócić uwagę także na zapisy zawarte </w:t>
      </w:r>
      <w:hyperlink r:id="rId8" w:history="1">
        <w:r w:rsidRPr="00371590">
          <w:rPr>
            <w:rStyle w:val="Hipercze"/>
            <w:rFonts w:asciiTheme="minorHAnsi" w:hAnsiTheme="minorHAnsi"/>
            <w:sz w:val="22"/>
            <w:szCs w:val="22"/>
          </w:rPr>
          <w:t>w Załączniku nr 1 Wyciąg z kryteriów wyboru projektów dla Działania 10.2</w:t>
        </w:r>
      </w:hyperlink>
      <w:r w:rsidRPr="00371590">
        <w:rPr>
          <w:rFonts w:asciiTheme="minorHAnsi" w:hAnsiTheme="minorHAnsi"/>
          <w:sz w:val="22"/>
          <w:szCs w:val="22"/>
        </w:rPr>
        <w:t>, w szczególności kryteria dostępu.</w:t>
      </w:r>
    </w:p>
    <w:p w:rsidR="00B71CA7" w:rsidRPr="00371590" w:rsidRDefault="00B71CA7" w:rsidP="00371590">
      <w:pPr>
        <w:rPr>
          <w:rFonts w:asciiTheme="minorHAnsi" w:hAnsiTheme="minorHAnsi"/>
          <w:sz w:val="22"/>
          <w:szCs w:val="22"/>
        </w:rPr>
      </w:pPr>
    </w:p>
    <w:p w:rsidR="00005DD0" w:rsidRPr="00371590" w:rsidRDefault="00B71CA7" w:rsidP="00371590">
      <w:pPr>
        <w:jc w:val="both"/>
        <w:rPr>
          <w:rFonts w:asciiTheme="minorHAnsi" w:hAnsiTheme="minorHAnsi"/>
          <w:b/>
          <w:sz w:val="22"/>
          <w:szCs w:val="22"/>
        </w:rPr>
      </w:pPr>
      <w:r w:rsidRPr="00371590">
        <w:rPr>
          <w:rFonts w:asciiTheme="minorHAnsi" w:hAnsiTheme="minorHAnsi"/>
          <w:b/>
          <w:sz w:val="22"/>
          <w:szCs w:val="22"/>
        </w:rPr>
        <w:t xml:space="preserve">Co w przypadku kiedy </w:t>
      </w:r>
      <w:r w:rsidR="00005DD0" w:rsidRPr="00371590">
        <w:rPr>
          <w:rFonts w:asciiTheme="minorHAnsi" w:hAnsiTheme="minorHAnsi"/>
          <w:b/>
          <w:sz w:val="22"/>
          <w:szCs w:val="22"/>
        </w:rPr>
        <w:t xml:space="preserve"> szkoła nie posiada dostępu do </w:t>
      </w:r>
      <w:proofErr w:type="spellStart"/>
      <w:r w:rsidR="00005DD0" w:rsidRPr="00371590">
        <w:rPr>
          <w:rFonts w:asciiTheme="minorHAnsi" w:hAnsiTheme="minorHAnsi"/>
          <w:b/>
          <w:sz w:val="22"/>
          <w:szCs w:val="22"/>
        </w:rPr>
        <w:t>internetu</w:t>
      </w:r>
      <w:proofErr w:type="spellEnd"/>
      <w:r w:rsidR="00005DD0" w:rsidRPr="00371590">
        <w:rPr>
          <w:rFonts w:asciiTheme="minorHAnsi" w:hAnsiTheme="minorHAnsi"/>
          <w:b/>
          <w:sz w:val="22"/>
          <w:szCs w:val="22"/>
        </w:rPr>
        <w:t xml:space="preserve"> </w:t>
      </w:r>
      <w:r w:rsidRPr="00371590">
        <w:rPr>
          <w:rFonts w:asciiTheme="minorHAnsi" w:hAnsiTheme="minorHAnsi"/>
          <w:b/>
          <w:sz w:val="22"/>
          <w:szCs w:val="22"/>
        </w:rPr>
        <w:t xml:space="preserve">o przepustowości umożliwiającej </w:t>
      </w:r>
      <w:r w:rsidR="00005DD0" w:rsidRPr="00371590">
        <w:rPr>
          <w:rFonts w:asciiTheme="minorHAnsi" w:hAnsiTheme="minorHAnsi"/>
          <w:b/>
          <w:sz w:val="22"/>
          <w:szCs w:val="22"/>
        </w:rPr>
        <w:t>funkcjonowanie OSE? A diagnoza wykazała potrzebę zakupu takiego sprzętu?</w:t>
      </w:r>
    </w:p>
    <w:p w:rsidR="00B71CA7" w:rsidRPr="00371590" w:rsidRDefault="00B71CA7" w:rsidP="00371590">
      <w:pPr>
        <w:jc w:val="both"/>
        <w:rPr>
          <w:rFonts w:asciiTheme="minorHAnsi" w:hAnsiTheme="minorHAnsi"/>
          <w:sz w:val="22"/>
          <w:szCs w:val="22"/>
          <w:u w:val="single"/>
        </w:rPr>
      </w:pPr>
      <w:r w:rsidRPr="00371590">
        <w:rPr>
          <w:rFonts w:asciiTheme="minorHAnsi" w:hAnsiTheme="minorHAnsi"/>
          <w:sz w:val="22"/>
          <w:szCs w:val="22"/>
        </w:rPr>
        <w:t xml:space="preserve">Zgodnie z Załącznikiem nr 4 Standardy realizacji wybranych form wsparcia, str. 12 wskazano, iż IOK </w:t>
      </w:r>
      <w:r w:rsidRPr="00371590">
        <w:rPr>
          <w:rFonts w:asciiTheme="minorHAnsi" w:hAnsiTheme="minorHAnsi"/>
          <w:sz w:val="22"/>
          <w:szCs w:val="22"/>
          <w:u w:val="single"/>
        </w:rPr>
        <w:t>nie rekomenduje planowania zakupu pomocy dydaktycznych, narzędzi TIK oraz infrastruktury sieciowo-usługowej dla szkół, które nie posiadają dostępu do Internetu o przepustowości umożliwiającej funkcjonowanie Ogólnopolskiej Sieci Edukacyjnej.</w:t>
      </w:r>
    </w:p>
    <w:p w:rsidR="00B71CA7" w:rsidRPr="00371590" w:rsidRDefault="00B71CA7" w:rsidP="00371590">
      <w:pPr>
        <w:jc w:val="both"/>
        <w:rPr>
          <w:rFonts w:asciiTheme="minorHAnsi" w:hAnsiTheme="minorHAnsi"/>
          <w:sz w:val="22"/>
          <w:szCs w:val="22"/>
        </w:rPr>
      </w:pPr>
      <w:r w:rsidRPr="00371590">
        <w:rPr>
          <w:rFonts w:asciiTheme="minorHAnsi" w:hAnsiTheme="minorHAnsi"/>
          <w:sz w:val="22"/>
          <w:szCs w:val="22"/>
        </w:rPr>
        <w:t>Celem powyższej rekomendacji jest wspieranie w pierwszej kolejności szkół, które w wyniku wsparcia projektowego będą gotowe do włączenia do OSE.</w:t>
      </w:r>
    </w:p>
    <w:p w:rsidR="00B71CA7" w:rsidRPr="00371590" w:rsidRDefault="00B71CA7" w:rsidP="00371590">
      <w:pPr>
        <w:jc w:val="both"/>
        <w:rPr>
          <w:rFonts w:asciiTheme="minorHAnsi" w:hAnsiTheme="minorHAnsi"/>
          <w:sz w:val="22"/>
          <w:szCs w:val="22"/>
        </w:rPr>
      </w:pPr>
      <w:r w:rsidRPr="00371590">
        <w:rPr>
          <w:rFonts w:asciiTheme="minorHAnsi" w:hAnsiTheme="minorHAnsi"/>
          <w:sz w:val="22"/>
          <w:szCs w:val="22"/>
        </w:rPr>
        <w:t xml:space="preserve">Regulamin konkursu nie wskazuje wprost, że zakupy wyposażenia TIK w szkołach, które nie osiągną powyższej gotowości są z założenia, z góry </w:t>
      </w:r>
      <w:proofErr w:type="spellStart"/>
      <w:r w:rsidRPr="00371590">
        <w:rPr>
          <w:rFonts w:asciiTheme="minorHAnsi" w:hAnsiTheme="minorHAnsi"/>
          <w:sz w:val="22"/>
          <w:szCs w:val="22"/>
        </w:rPr>
        <w:t>niekwalifikowalne</w:t>
      </w:r>
      <w:proofErr w:type="spellEnd"/>
      <w:r w:rsidRPr="00371590">
        <w:rPr>
          <w:rFonts w:asciiTheme="minorHAnsi" w:hAnsiTheme="minorHAnsi"/>
          <w:sz w:val="22"/>
          <w:szCs w:val="22"/>
        </w:rPr>
        <w:t>.</w:t>
      </w:r>
    </w:p>
    <w:p w:rsidR="00B71CA7" w:rsidRPr="00371590" w:rsidRDefault="00B71CA7" w:rsidP="00371590">
      <w:pPr>
        <w:jc w:val="both"/>
        <w:rPr>
          <w:rFonts w:asciiTheme="minorHAnsi" w:hAnsiTheme="minorHAnsi"/>
          <w:sz w:val="22"/>
          <w:szCs w:val="22"/>
        </w:rPr>
      </w:pPr>
      <w:r w:rsidRPr="00371590">
        <w:rPr>
          <w:rFonts w:asciiTheme="minorHAnsi" w:hAnsiTheme="minorHAnsi"/>
          <w:sz w:val="22"/>
          <w:szCs w:val="22"/>
        </w:rPr>
        <w:t xml:space="preserve">Jeżeli zakup wyposażenia TIK w szkole o przepustowości Internetu niegwarantującej włączenie do OSE wynika z diagnozy potrzeb edukacyjnych to można takie zakupy uwzględnić w projekcie, natomiast będzie to podlegało ocenie ekspertów. Eksperci oceniający projekty będą się również odnosić do faktu czy zaplanowane zakupy TIK przyczynią się do tego, że szkoła stanie się gotowa do włączenia OSE. Brak powyższej gotowości może </w:t>
      </w:r>
      <w:proofErr w:type="spellStart"/>
      <w:r w:rsidRPr="00371590">
        <w:rPr>
          <w:rFonts w:asciiTheme="minorHAnsi" w:hAnsiTheme="minorHAnsi"/>
          <w:sz w:val="22"/>
          <w:szCs w:val="22"/>
        </w:rPr>
        <w:t>zaskutkować</w:t>
      </w:r>
      <w:proofErr w:type="spellEnd"/>
      <w:r w:rsidRPr="00371590">
        <w:rPr>
          <w:rFonts w:asciiTheme="minorHAnsi" w:hAnsiTheme="minorHAnsi"/>
          <w:sz w:val="22"/>
          <w:szCs w:val="22"/>
        </w:rPr>
        <w:t xml:space="preserve"> niższą punktacją.</w:t>
      </w:r>
    </w:p>
    <w:p w:rsidR="00B71CA7" w:rsidRPr="00371590" w:rsidRDefault="00B71CA7" w:rsidP="00371590">
      <w:pPr>
        <w:jc w:val="both"/>
        <w:rPr>
          <w:rFonts w:asciiTheme="minorHAnsi" w:hAnsiTheme="minorHAnsi"/>
          <w:sz w:val="22"/>
          <w:szCs w:val="22"/>
        </w:rPr>
      </w:pPr>
      <w:r w:rsidRPr="00371590">
        <w:rPr>
          <w:rFonts w:asciiTheme="minorHAnsi" w:hAnsiTheme="minorHAnsi"/>
          <w:sz w:val="22"/>
          <w:szCs w:val="22"/>
        </w:rPr>
        <w:t>Jednakże zgodnie z rekomendacją co do realizacji projektów należałoby przeanalizować czy nie warto jednak w ramach projektu zapewnić przepustowość Internetu adekwatną dla OSE.</w:t>
      </w:r>
    </w:p>
    <w:p w:rsidR="00B71CA7" w:rsidRPr="00371590" w:rsidRDefault="00B71CA7" w:rsidP="00371590">
      <w:pPr>
        <w:jc w:val="both"/>
        <w:rPr>
          <w:rFonts w:asciiTheme="minorHAnsi" w:hAnsiTheme="minorHAnsi"/>
          <w:sz w:val="22"/>
          <w:szCs w:val="22"/>
        </w:rPr>
      </w:pPr>
      <w:r w:rsidRPr="00371590">
        <w:rPr>
          <w:rFonts w:asciiTheme="minorHAnsi" w:hAnsiTheme="minorHAnsi"/>
          <w:sz w:val="22"/>
          <w:szCs w:val="22"/>
        </w:rPr>
        <w:t>Niezależnie od kwestii przepustowości Internetu na poziomie u</w:t>
      </w:r>
      <w:r w:rsidR="00371590">
        <w:rPr>
          <w:rFonts w:asciiTheme="minorHAnsi" w:hAnsiTheme="minorHAnsi"/>
          <w:sz w:val="22"/>
          <w:szCs w:val="22"/>
        </w:rPr>
        <w:t xml:space="preserve">możliwiającym włączenie do OSE, </w:t>
      </w:r>
      <w:r w:rsidRPr="00371590">
        <w:rPr>
          <w:rFonts w:asciiTheme="minorHAnsi" w:hAnsiTheme="minorHAnsi"/>
          <w:sz w:val="22"/>
          <w:szCs w:val="22"/>
        </w:rPr>
        <w:t>planując zakup jakiegokolwiek wyposażenia TIK należy się zobowiązać do osiągnięcia wszystkich funkcjonalności, o których mowa w Załączniku nr 4.</w:t>
      </w:r>
    </w:p>
    <w:p w:rsidR="00005DD0" w:rsidRPr="00371590" w:rsidRDefault="00005DD0" w:rsidP="00371590">
      <w:pPr>
        <w:jc w:val="both"/>
        <w:rPr>
          <w:rFonts w:asciiTheme="minorHAnsi" w:hAnsiTheme="minorHAnsi"/>
          <w:sz w:val="22"/>
          <w:szCs w:val="22"/>
        </w:rPr>
      </w:pPr>
    </w:p>
    <w:p w:rsidR="00B71CA7" w:rsidRPr="00371590" w:rsidRDefault="00B71CA7" w:rsidP="00371590">
      <w:pPr>
        <w:jc w:val="both"/>
        <w:rPr>
          <w:rFonts w:asciiTheme="minorHAnsi" w:hAnsiTheme="minorHAnsi"/>
          <w:b/>
          <w:sz w:val="22"/>
          <w:szCs w:val="22"/>
        </w:rPr>
      </w:pPr>
      <w:r w:rsidRPr="00371590">
        <w:rPr>
          <w:rFonts w:asciiTheme="minorHAnsi" w:hAnsiTheme="minorHAnsi"/>
          <w:b/>
          <w:sz w:val="22"/>
          <w:szCs w:val="22"/>
        </w:rPr>
        <w:t>Jedna ze szkół w ramach projektu chciałaby zakupić urządzenie wielofunkcyjne (kserokopiarkę), aktualnie nie posiada, oczywiście głównym elementem wniosku będzie typ projektu 10.2.A, a kserokopiarka będzie jedynie uzupełnieniem wniosku. Czy można dokonać zakupu w ramach kosztów pośrednich?</w:t>
      </w:r>
    </w:p>
    <w:p w:rsidR="00B71CA7" w:rsidRPr="00371590" w:rsidRDefault="00B71CA7" w:rsidP="00371590">
      <w:pPr>
        <w:jc w:val="both"/>
        <w:rPr>
          <w:rFonts w:asciiTheme="minorHAnsi" w:hAnsiTheme="minorHAnsi"/>
          <w:sz w:val="22"/>
          <w:szCs w:val="22"/>
        </w:rPr>
      </w:pPr>
      <w:r w:rsidRPr="00371590">
        <w:rPr>
          <w:rFonts w:asciiTheme="minorHAnsi" w:hAnsiTheme="minorHAnsi"/>
          <w:sz w:val="22"/>
          <w:szCs w:val="22"/>
        </w:rPr>
        <w:t xml:space="preserve">Zgodnie z Regulaminem konkursu (str. 57) koszty pośrednie </w:t>
      </w:r>
      <w:r w:rsidR="00371590">
        <w:rPr>
          <w:rFonts w:asciiTheme="minorHAnsi" w:hAnsiTheme="minorHAnsi"/>
          <w:sz w:val="22"/>
          <w:szCs w:val="22"/>
        </w:rPr>
        <w:t xml:space="preserve">stanowią koszty administracyjne </w:t>
      </w:r>
      <w:r w:rsidRPr="00371590">
        <w:rPr>
          <w:rFonts w:asciiTheme="minorHAnsi" w:hAnsiTheme="minorHAnsi"/>
          <w:sz w:val="22"/>
          <w:szCs w:val="22"/>
        </w:rPr>
        <w:t>związane z obsługą projektu.</w:t>
      </w:r>
    </w:p>
    <w:p w:rsidR="00B71CA7" w:rsidRPr="00371590" w:rsidRDefault="00B71CA7" w:rsidP="00371590">
      <w:pPr>
        <w:jc w:val="both"/>
        <w:rPr>
          <w:rFonts w:asciiTheme="minorHAnsi" w:hAnsiTheme="minorHAnsi"/>
          <w:sz w:val="22"/>
          <w:szCs w:val="22"/>
        </w:rPr>
      </w:pPr>
      <w:r w:rsidRPr="00371590">
        <w:rPr>
          <w:rFonts w:asciiTheme="minorHAnsi" w:hAnsiTheme="minorHAnsi"/>
          <w:sz w:val="22"/>
          <w:szCs w:val="22"/>
        </w:rPr>
        <w:t xml:space="preserve">Wydatek można uznać za kwalifikowany koszt bezpośredni pod warunkiem, że </w:t>
      </w:r>
      <w:r w:rsidR="00BA5938">
        <w:rPr>
          <w:rFonts w:asciiTheme="minorHAnsi" w:hAnsiTheme="minorHAnsi"/>
          <w:sz w:val="22"/>
          <w:szCs w:val="22"/>
        </w:rPr>
        <w:t xml:space="preserve">kserokopiarka </w:t>
      </w:r>
      <w:r w:rsidRPr="00371590">
        <w:rPr>
          <w:rFonts w:asciiTheme="minorHAnsi" w:hAnsiTheme="minorHAnsi"/>
          <w:sz w:val="22"/>
          <w:szCs w:val="22"/>
        </w:rPr>
        <w:t>jest niezbędny do realizacji celów projektu</w:t>
      </w:r>
      <w:r w:rsidR="00BA5938">
        <w:rPr>
          <w:rFonts w:asciiTheme="minorHAnsi" w:hAnsiTheme="minorHAnsi"/>
          <w:sz w:val="22"/>
          <w:szCs w:val="22"/>
        </w:rPr>
        <w:t xml:space="preserve"> i będzie wykorzystywana bezpośrednio podczas realizacji zajęć zaplanowanych w projekcie</w:t>
      </w:r>
      <w:r w:rsidRPr="00371590">
        <w:rPr>
          <w:rFonts w:asciiTheme="minorHAnsi" w:hAnsiTheme="minorHAnsi"/>
          <w:sz w:val="22"/>
          <w:szCs w:val="22"/>
        </w:rPr>
        <w:t xml:space="preserve">  (przy uwzględnieniu warunków ich kwalifikowania określonych w przepisach unijnych i krajowych oraz stosownych wytycznych). Racjonalność budżetu oraz zasadność ponoszenia poszczególnych wydatków będzie przedmiotem oceny projektu.</w:t>
      </w:r>
    </w:p>
    <w:p w:rsidR="00B71CA7" w:rsidRPr="00371590" w:rsidRDefault="00B71CA7" w:rsidP="00371590">
      <w:pPr>
        <w:rPr>
          <w:rFonts w:asciiTheme="minorHAnsi" w:hAnsiTheme="minorHAnsi"/>
          <w:sz w:val="22"/>
          <w:szCs w:val="22"/>
        </w:rPr>
      </w:pPr>
    </w:p>
    <w:p w:rsidR="00B71CA7" w:rsidRPr="00371590" w:rsidRDefault="00B71CA7" w:rsidP="00371590">
      <w:pPr>
        <w:jc w:val="both"/>
        <w:rPr>
          <w:rFonts w:asciiTheme="minorHAnsi" w:hAnsiTheme="minorHAnsi"/>
          <w:sz w:val="22"/>
          <w:szCs w:val="22"/>
        </w:rPr>
      </w:pPr>
      <w:r w:rsidRPr="00371590">
        <w:rPr>
          <w:rFonts w:asciiTheme="minorHAnsi" w:hAnsiTheme="minorHAnsi"/>
          <w:b/>
          <w:sz w:val="22"/>
          <w:szCs w:val="22"/>
        </w:rPr>
        <w:t>Czy można zaplanować studia trwające 3 lata, i jak się to ma do maksymalnego czasu trwania projektu 24 miesiące i ewentualnego uzyskania świadectwa lub dyplomu ukończenia studiów</w:t>
      </w:r>
      <w:r w:rsidR="00371590">
        <w:rPr>
          <w:rFonts w:asciiTheme="minorHAnsi" w:hAnsiTheme="minorHAnsi"/>
          <w:sz w:val="22"/>
          <w:szCs w:val="22"/>
        </w:rPr>
        <w:t>?</w:t>
      </w:r>
    </w:p>
    <w:p w:rsidR="00B71CA7" w:rsidRPr="00371590" w:rsidRDefault="00B71CA7" w:rsidP="00371590">
      <w:pPr>
        <w:jc w:val="both"/>
        <w:rPr>
          <w:rFonts w:asciiTheme="minorHAnsi" w:hAnsiTheme="minorHAnsi"/>
          <w:sz w:val="22"/>
          <w:szCs w:val="22"/>
        </w:rPr>
      </w:pPr>
      <w:r w:rsidRPr="00371590">
        <w:rPr>
          <w:rFonts w:asciiTheme="minorHAnsi" w:hAnsiTheme="minorHAnsi"/>
          <w:sz w:val="22"/>
          <w:szCs w:val="22"/>
        </w:rPr>
        <w:t xml:space="preserve">W Regulaminie konkursu wskazano maksymalny okres realizacji projektu nieprzekraczający 24 miesięcy. Dodatkowo, wniosek końcowy należy złożyć w terminie do 30 dni od daty zakończenia realizacji projektu, wskazanej w umowie o dofinansowanie. </w:t>
      </w:r>
    </w:p>
    <w:p w:rsidR="00B71CA7" w:rsidRPr="00371590" w:rsidRDefault="00B71CA7" w:rsidP="00371590">
      <w:pPr>
        <w:jc w:val="both"/>
        <w:rPr>
          <w:rFonts w:asciiTheme="minorHAnsi" w:hAnsiTheme="minorHAnsi"/>
          <w:sz w:val="22"/>
          <w:szCs w:val="22"/>
        </w:rPr>
      </w:pPr>
      <w:r w:rsidRPr="00371590">
        <w:rPr>
          <w:rFonts w:asciiTheme="minorHAnsi" w:hAnsiTheme="minorHAnsi"/>
          <w:sz w:val="22"/>
          <w:szCs w:val="22"/>
        </w:rPr>
        <w:t xml:space="preserve">Jednocześnie możliwe jest ponoszenie wydatków po okresie </w:t>
      </w:r>
      <w:proofErr w:type="spellStart"/>
      <w:r w:rsidRPr="00371590">
        <w:rPr>
          <w:rFonts w:asciiTheme="minorHAnsi" w:hAnsiTheme="minorHAnsi"/>
          <w:sz w:val="22"/>
          <w:szCs w:val="22"/>
        </w:rPr>
        <w:t>kwalifikowalności</w:t>
      </w:r>
      <w:proofErr w:type="spellEnd"/>
      <w:r w:rsidRPr="00371590">
        <w:rPr>
          <w:rFonts w:asciiTheme="minorHAnsi" w:hAnsiTheme="minorHAnsi"/>
          <w:sz w:val="22"/>
          <w:szCs w:val="22"/>
        </w:rPr>
        <w:t xml:space="preserve"> wydatków określonym w umowie o dofinansowanie, pod warunkiem, że wydatki te odnoszą się do okresu realizacji projektu oraz zostaną uwzględnione we wniosku o płatność końcową. W takim przypadku wydatki te mogą zostać uznane za </w:t>
      </w:r>
      <w:proofErr w:type="spellStart"/>
      <w:r w:rsidRPr="00371590">
        <w:rPr>
          <w:rFonts w:asciiTheme="minorHAnsi" w:hAnsiTheme="minorHAnsi"/>
          <w:sz w:val="22"/>
          <w:szCs w:val="22"/>
        </w:rPr>
        <w:t>kwalifikowalne</w:t>
      </w:r>
      <w:proofErr w:type="spellEnd"/>
      <w:r w:rsidRPr="00371590">
        <w:rPr>
          <w:rFonts w:asciiTheme="minorHAnsi" w:hAnsiTheme="minorHAnsi"/>
          <w:sz w:val="22"/>
          <w:szCs w:val="22"/>
        </w:rPr>
        <w:t xml:space="preserve">, o ile spełnia ją pozostałe warunki </w:t>
      </w:r>
      <w:proofErr w:type="spellStart"/>
      <w:r w:rsidRPr="00371590">
        <w:rPr>
          <w:rFonts w:asciiTheme="minorHAnsi" w:hAnsiTheme="minorHAnsi"/>
          <w:sz w:val="22"/>
          <w:szCs w:val="22"/>
        </w:rPr>
        <w:t>kwalifikowalności</w:t>
      </w:r>
      <w:proofErr w:type="spellEnd"/>
      <w:r w:rsidRPr="00371590">
        <w:rPr>
          <w:rFonts w:asciiTheme="minorHAnsi" w:hAnsiTheme="minorHAnsi"/>
          <w:sz w:val="22"/>
          <w:szCs w:val="22"/>
        </w:rPr>
        <w:t xml:space="preserve"> określone w Wytycznych. </w:t>
      </w:r>
    </w:p>
    <w:p w:rsidR="00B71CA7" w:rsidRPr="00371590" w:rsidRDefault="00B71CA7" w:rsidP="00371590">
      <w:pPr>
        <w:jc w:val="both"/>
        <w:rPr>
          <w:rFonts w:asciiTheme="minorHAnsi" w:hAnsiTheme="minorHAnsi"/>
          <w:sz w:val="22"/>
          <w:szCs w:val="22"/>
        </w:rPr>
      </w:pPr>
      <w:r w:rsidRPr="00371590">
        <w:rPr>
          <w:rFonts w:asciiTheme="minorHAnsi" w:hAnsiTheme="minorHAnsi"/>
          <w:sz w:val="22"/>
          <w:szCs w:val="22"/>
        </w:rPr>
        <w:t xml:space="preserve">Należy zwrócić uwagę także na zapisy Załącznika nr 2 </w:t>
      </w:r>
      <w:r w:rsidRPr="00371590">
        <w:rPr>
          <w:rFonts w:asciiTheme="minorHAnsi" w:hAnsiTheme="minorHAnsi"/>
          <w:i/>
          <w:iCs/>
          <w:sz w:val="22"/>
          <w:szCs w:val="22"/>
        </w:rPr>
        <w:t>Lista wskaźników na poziomie projektu</w:t>
      </w:r>
      <w:r w:rsidRPr="00371590">
        <w:rPr>
          <w:rFonts w:asciiTheme="minorHAnsi" w:hAnsiTheme="minorHAnsi"/>
          <w:sz w:val="22"/>
          <w:szCs w:val="22"/>
        </w:rPr>
        <w:t xml:space="preserve">, gdzie wskaźnikiem rezultatu w projekcie jest m.in. </w:t>
      </w:r>
      <w:r w:rsidRPr="00371590">
        <w:rPr>
          <w:rFonts w:asciiTheme="minorHAnsi" w:hAnsiTheme="minorHAnsi"/>
          <w:bCs/>
          <w:sz w:val="22"/>
          <w:szCs w:val="22"/>
        </w:rPr>
        <w:t>Liczba nauczycieli, którzy uzyskali kwalifikacje lub nabyli kompetencje po opuszczeniu programu</w:t>
      </w:r>
      <w:r w:rsidRPr="00371590">
        <w:rPr>
          <w:rFonts w:asciiTheme="minorHAnsi" w:hAnsiTheme="minorHAnsi"/>
          <w:sz w:val="22"/>
          <w:szCs w:val="22"/>
        </w:rPr>
        <w:t>. Weryfikacja wskaźnika odbywa się poprzez dołączenie do końcowego wniosku o płatność stosownych dokumentów.</w:t>
      </w:r>
    </w:p>
    <w:p w:rsidR="00B71CA7" w:rsidRPr="00371590" w:rsidRDefault="00B71CA7" w:rsidP="00371590">
      <w:pPr>
        <w:jc w:val="both"/>
        <w:rPr>
          <w:rFonts w:asciiTheme="minorHAnsi" w:hAnsiTheme="minorHAnsi" w:cs="Arial"/>
          <w:sz w:val="22"/>
          <w:szCs w:val="22"/>
        </w:rPr>
      </w:pPr>
      <w:r w:rsidRPr="00371590">
        <w:rPr>
          <w:rFonts w:asciiTheme="minorHAnsi" w:hAnsiTheme="minorHAnsi"/>
          <w:sz w:val="22"/>
          <w:szCs w:val="22"/>
        </w:rPr>
        <w:lastRenderedPageBreak/>
        <w:t xml:space="preserve">Jednocześnie </w:t>
      </w:r>
      <w:r w:rsidR="00371590">
        <w:rPr>
          <w:rFonts w:asciiTheme="minorHAnsi" w:hAnsiTheme="minorHAnsi"/>
          <w:sz w:val="22"/>
          <w:szCs w:val="22"/>
        </w:rPr>
        <w:t>wskazane jest zapoznanie</w:t>
      </w:r>
      <w:r w:rsidRPr="00371590">
        <w:rPr>
          <w:rFonts w:asciiTheme="minorHAnsi" w:hAnsiTheme="minorHAnsi"/>
          <w:sz w:val="22"/>
          <w:szCs w:val="22"/>
        </w:rPr>
        <w:t xml:space="preserve"> się z  treścią umowy o dofinansowanie projektu, w szczególności § 11 „</w:t>
      </w:r>
      <w:r w:rsidRPr="00371590">
        <w:rPr>
          <w:rFonts w:asciiTheme="minorHAnsi" w:hAnsiTheme="minorHAnsi"/>
          <w:i/>
          <w:iCs/>
          <w:sz w:val="22"/>
          <w:szCs w:val="22"/>
        </w:rPr>
        <w:t>Rozliczenie dofinansowania</w:t>
      </w:r>
      <w:r w:rsidRPr="00371590">
        <w:rPr>
          <w:rFonts w:asciiTheme="minorHAnsi" w:hAnsiTheme="minorHAnsi"/>
          <w:sz w:val="22"/>
          <w:szCs w:val="22"/>
        </w:rPr>
        <w:t>” .</w:t>
      </w:r>
    </w:p>
    <w:p w:rsidR="00B71CA7" w:rsidRPr="00371590" w:rsidRDefault="00B71CA7" w:rsidP="00371590">
      <w:pPr>
        <w:rPr>
          <w:rFonts w:asciiTheme="minorHAnsi" w:hAnsiTheme="minorHAnsi"/>
          <w:color w:val="1F497D"/>
          <w:sz w:val="22"/>
          <w:szCs w:val="22"/>
        </w:rPr>
      </w:pPr>
      <w:r w:rsidRPr="00371590">
        <w:rPr>
          <w:rFonts w:asciiTheme="minorHAnsi" w:hAnsiTheme="minorHAnsi"/>
          <w:sz w:val="22"/>
          <w:szCs w:val="22"/>
        </w:rPr>
        <w:t>Reasumując, projekt zakładający 3 letnie studia podyplomowe nie spełniłby wymogów określonych w dokumentacji konkursowej dla Działania 10.2.1.</w:t>
      </w:r>
    </w:p>
    <w:p w:rsidR="00B71CA7" w:rsidRPr="00371590" w:rsidRDefault="00B71CA7" w:rsidP="00371590">
      <w:pPr>
        <w:rPr>
          <w:rFonts w:asciiTheme="minorHAnsi" w:hAnsiTheme="minorHAnsi"/>
          <w:sz w:val="22"/>
          <w:szCs w:val="22"/>
        </w:rPr>
      </w:pPr>
    </w:p>
    <w:p w:rsidR="00B71CA7" w:rsidRPr="00371590" w:rsidRDefault="00371590" w:rsidP="00371590">
      <w:pPr>
        <w:jc w:val="both"/>
        <w:rPr>
          <w:rFonts w:asciiTheme="minorHAnsi" w:hAnsiTheme="minorHAnsi"/>
          <w:b/>
          <w:sz w:val="22"/>
          <w:szCs w:val="22"/>
        </w:rPr>
      </w:pPr>
      <w:r w:rsidRPr="00371590">
        <w:rPr>
          <w:rFonts w:asciiTheme="minorHAnsi" w:hAnsiTheme="minorHAnsi"/>
          <w:b/>
          <w:sz w:val="22"/>
          <w:szCs w:val="22"/>
        </w:rPr>
        <w:t>C</w:t>
      </w:r>
      <w:r w:rsidR="00B71CA7" w:rsidRPr="00371590">
        <w:rPr>
          <w:rFonts w:asciiTheme="minorHAnsi" w:hAnsiTheme="minorHAnsi"/>
          <w:b/>
          <w:sz w:val="22"/>
          <w:szCs w:val="22"/>
        </w:rPr>
        <w:t xml:space="preserve">zy w ramach ogłoszonego konkursu wyznaczono maksymalny termin złożenia ostatniego wniosku o płatność ? </w:t>
      </w:r>
    </w:p>
    <w:p w:rsidR="00B71CA7" w:rsidRPr="00371590" w:rsidRDefault="00B71CA7" w:rsidP="00371590">
      <w:pPr>
        <w:rPr>
          <w:rFonts w:asciiTheme="minorHAnsi" w:hAnsiTheme="minorHAnsi"/>
          <w:sz w:val="22"/>
          <w:szCs w:val="22"/>
        </w:rPr>
      </w:pPr>
    </w:p>
    <w:p w:rsidR="00B71CA7" w:rsidRPr="00371590" w:rsidRDefault="00B71CA7" w:rsidP="00371590">
      <w:pPr>
        <w:jc w:val="both"/>
        <w:rPr>
          <w:rFonts w:asciiTheme="minorHAnsi" w:hAnsiTheme="minorHAnsi"/>
          <w:sz w:val="22"/>
          <w:szCs w:val="22"/>
        </w:rPr>
      </w:pPr>
      <w:r w:rsidRPr="00371590">
        <w:rPr>
          <w:rFonts w:asciiTheme="minorHAnsi" w:hAnsiTheme="minorHAnsi"/>
          <w:sz w:val="22"/>
          <w:szCs w:val="22"/>
        </w:rPr>
        <w:t xml:space="preserve">Zgodnie z zapisami Regulaminu konkursu str. 54 maksymalny okres realizacji projektu nie przekracza 24 miesięcy. Wniosek końcowy należy złożyć w terminie </w:t>
      </w:r>
      <w:r w:rsidRPr="00371590">
        <w:rPr>
          <w:rFonts w:asciiTheme="minorHAnsi" w:hAnsiTheme="minorHAnsi"/>
          <w:sz w:val="22"/>
          <w:szCs w:val="22"/>
          <w:u w:val="single"/>
        </w:rPr>
        <w:t>do 30 dni od daty zakończenia realizacji projektu</w:t>
      </w:r>
      <w:r w:rsidRPr="00371590">
        <w:rPr>
          <w:rFonts w:asciiTheme="minorHAnsi" w:hAnsiTheme="minorHAnsi"/>
          <w:sz w:val="22"/>
          <w:szCs w:val="22"/>
        </w:rPr>
        <w:t xml:space="preserve">, wskazanej w umowie o dofinansowanie. </w:t>
      </w:r>
    </w:p>
    <w:p w:rsidR="00B71CA7" w:rsidRPr="00371590" w:rsidRDefault="00B71CA7" w:rsidP="00371590">
      <w:pPr>
        <w:jc w:val="both"/>
        <w:rPr>
          <w:rFonts w:asciiTheme="minorHAnsi" w:hAnsiTheme="minorHAnsi"/>
          <w:bCs/>
          <w:sz w:val="22"/>
          <w:szCs w:val="22"/>
        </w:rPr>
      </w:pPr>
      <w:r w:rsidRPr="00371590">
        <w:rPr>
          <w:rFonts w:asciiTheme="minorHAnsi" w:hAnsiTheme="minorHAnsi"/>
          <w:bCs/>
          <w:sz w:val="22"/>
          <w:szCs w:val="22"/>
        </w:rPr>
        <w:t xml:space="preserve">Okres </w:t>
      </w:r>
      <w:proofErr w:type="spellStart"/>
      <w:r w:rsidRPr="00371590">
        <w:rPr>
          <w:rFonts w:asciiTheme="minorHAnsi" w:hAnsiTheme="minorHAnsi"/>
          <w:bCs/>
          <w:sz w:val="22"/>
          <w:szCs w:val="22"/>
        </w:rPr>
        <w:t>kwalifikowalności</w:t>
      </w:r>
      <w:proofErr w:type="spellEnd"/>
      <w:r w:rsidRPr="00371590">
        <w:rPr>
          <w:rFonts w:asciiTheme="minorHAnsi" w:hAnsiTheme="minorHAnsi"/>
          <w:bCs/>
          <w:sz w:val="22"/>
          <w:szCs w:val="22"/>
        </w:rPr>
        <w:t xml:space="preserve"> wydatków w ramach danego projektu określony jest w umowie o dofinansowanie.</w:t>
      </w:r>
    </w:p>
    <w:p w:rsidR="00B71CA7" w:rsidRPr="00371590" w:rsidRDefault="00B71CA7" w:rsidP="00371590">
      <w:pPr>
        <w:jc w:val="both"/>
        <w:rPr>
          <w:rFonts w:asciiTheme="minorHAnsi" w:hAnsiTheme="minorHAnsi"/>
          <w:bCs/>
          <w:sz w:val="22"/>
          <w:szCs w:val="22"/>
        </w:rPr>
      </w:pPr>
      <w:r w:rsidRPr="00371590">
        <w:rPr>
          <w:rFonts w:asciiTheme="minorHAnsi" w:hAnsiTheme="minorHAnsi"/>
          <w:sz w:val="22"/>
          <w:szCs w:val="22"/>
        </w:rPr>
        <w:t xml:space="preserve">Zgodnie z zapisami umowy o dofinansowanie §3 (…)Beneficjent oraz Partnerzy ma/mają prawo do ponoszenia wydatków po okresie realizacji Projektu, </w:t>
      </w:r>
      <w:r w:rsidRPr="00371590">
        <w:rPr>
          <w:rFonts w:asciiTheme="minorHAnsi" w:hAnsiTheme="minorHAnsi"/>
          <w:bCs/>
          <w:sz w:val="22"/>
          <w:szCs w:val="22"/>
        </w:rPr>
        <w:t>jednak nie dłużej niż do dnia 31 grudnia 2023 r., pod warunkiem, że wydatki te dotyczą okresu realizacji Projektu oraz zostaną uwzględnione w końcowym wniosku o płatność.</w:t>
      </w:r>
    </w:p>
    <w:p w:rsidR="00B71CA7" w:rsidRPr="00371590" w:rsidRDefault="00B71CA7" w:rsidP="00371590">
      <w:pPr>
        <w:rPr>
          <w:rFonts w:asciiTheme="minorHAnsi" w:hAnsiTheme="minorHAnsi"/>
          <w:sz w:val="22"/>
          <w:szCs w:val="22"/>
        </w:rPr>
      </w:pPr>
    </w:p>
    <w:p w:rsidR="00B71CA7" w:rsidRPr="00371590" w:rsidRDefault="00B71CA7" w:rsidP="00371590">
      <w:pPr>
        <w:jc w:val="both"/>
        <w:rPr>
          <w:rFonts w:asciiTheme="minorHAnsi" w:hAnsiTheme="minorHAnsi"/>
          <w:b/>
          <w:sz w:val="22"/>
          <w:szCs w:val="22"/>
        </w:rPr>
      </w:pPr>
      <w:r w:rsidRPr="00371590">
        <w:rPr>
          <w:rFonts w:asciiTheme="minorHAnsi" w:hAnsiTheme="minorHAnsi"/>
          <w:b/>
          <w:sz w:val="22"/>
          <w:szCs w:val="22"/>
        </w:rPr>
        <w:t>Proszę o informację czy szkoła, która aktualnie realizuje projekt w ramach działania 10.2 z naboru RPDS.10.02.01-IZ.00-02-220/17 może ponownie przystąpić do aktualnie ogłoszonego naboru?</w:t>
      </w:r>
    </w:p>
    <w:p w:rsidR="00B71CA7" w:rsidRPr="00371590" w:rsidRDefault="00B71CA7" w:rsidP="00371590">
      <w:pPr>
        <w:rPr>
          <w:rFonts w:asciiTheme="minorHAnsi" w:hAnsiTheme="minorHAnsi"/>
          <w:sz w:val="22"/>
          <w:szCs w:val="22"/>
        </w:rPr>
      </w:pPr>
    </w:p>
    <w:p w:rsidR="00B71CA7" w:rsidRPr="00371590" w:rsidRDefault="00B71CA7" w:rsidP="00371590">
      <w:pPr>
        <w:jc w:val="both"/>
        <w:rPr>
          <w:rFonts w:asciiTheme="minorHAnsi" w:hAnsiTheme="minorHAnsi"/>
          <w:sz w:val="22"/>
          <w:szCs w:val="22"/>
        </w:rPr>
      </w:pPr>
      <w:r w:rsidRPr="00371590">
        <w:rPr>
          <w:rFonts w:asciiTheme="minorHAnsi" w:hAnsiTheme="minorHAnsi"/>
          <w:sz w:val="22"/>
          <w:szCs w:val="22"/>
        </w:rPr>
        <w:t xml:space="preserve">Tak, szkoła realizująca projekt dofinansowany w ramach poprzedniego naboru, może być realizatorem w kolejnym projekcie, pod warunkiem, że w jego ramach będą realizowane działania projektowe odpowiadające indywidualnie zdiagnozowanemu zapotrzebowaniu szkoły z uwzględnieniem indywidualnych potrzeb rozwojowych i edukacyjnych oraz możliwości psychofizycznych uczniów objętych wsparciem, ujęte w </w:t>
      </w:r>
      <w:r w:rsidRPr="00371590">
        <w:rPr>
          <w:rFonts w:asciiTheme="minorHAnsi" w:hAnsiTheme="minorHAnsi"/>
          <w:bCs/>
          <w:sz w:val="22"/>
          <w:szCs w:val="22"/>
        </w:rPr>
        <w:t>Diagnozie potrzeb edukacyjnych,</w:t>
      </w:r>
      <w:r w:rsidRPr="00371590">
        <w:rPr>
          <w:rFonts w:asciiTheme="minorHAnsi" w:hAnsiTheme="minorHAnsi"/>
          <w:sz w:val="22"/>
          <w:szCs w:val="22"/>
        </w:rPr>
        <w:t xml:space="preserve"> oraz nie dojdzie do podwójnego finansowania.</w:t>
      </w:r>
    </w:p>
    <w:p w:rsidR="00B71CA7" w:rsidRPr="00371590" w:rsidRDefault="00B71CA7" w:rsidP="00371590">
      <w:pPr>
        <w:jc w:val="both"/>
        <w:rPr>
          <w:rFonts w:asciiTheme="minorHAnsi" w:hAnsiTheme="minorHAnsi"/>
          <w:sz w:val="22"/>
          <w:szCs w:val="22"/>
        </w:rPr>
      </w:pPr>
      <w:r w:rsidRPr="00371590">
        <w:rPr>
          <w:rFonts w:asciiTheme="minorHAnsi" w:hAnsiTheme="minorHAnsi"/>
          <w:sz w:val="22"/>
          <w:szCs w:val="22"/>
        </w:rPr>
        <w:t xml:space="preserve">Należy zwrócić uwagę także na zapisy zawarte </w:t>
      </w:r>
      <w:hyperlink r:id="rId9" w:history="1">
        <w:r w:rsidRPr="00371590">
          <w:rPr>
            <w:rStyle w:val="Hipercze"/>
            <w:rFonts w:asciiTheme="minorHAnsi" w:hAnsiTheme="minorHAnsi"/>
            <w:sz w:val="22"/>
            <w:szCs w:val="22"/>
          </w:rPr>
          <w:t>w Załączniku nr 1 Wyciąg z kryteriów wyboru projektów dla Działania 10.2</w:t>
        </w:r>
      </w:hyperlink>
      <w:r w:rsidRPr="00371590">
        <w:rPr>
          <w:rFonts w:asciiTheme="minorHAnsi" w:hAnsiTheme="minorHAnsi"/>
          <w:sz w:val="22"/>
          <w:szCs w:val="22"/>
        </w:rPr>
        <w:t>, w szczególności kryteria dostępu</w:t>
      </w:r>
    </w:p>
    <w:p w:rsidR="00B71CA7" w:rsidRPr="00371590" w:rsidRDefault="00B71CA7" w:rsidP="00371590">
      <w:pPr>
        <w:rPr>
          <w:rFonts w:asciiTheme="minorHAnsi" w:hAnsiTheme="minorHAnsi"/>
          <w:sz w:val="22"/>
          <w:szCs w:val="22"/>
        </w:rPr>
      </w:pPr>
    </w:p>
    <w:p w:rsidR="00B71CA7" w:rsidRPr="00371590" w:rsidRDefault="00B71CA7" w:rsidP="00371590">
      <w:pPr>
        <w:rPr>
          <w:rFonts w:asciiTheme="minorHAnsi" w:hAnsiTheme="minorHAnsi"/>
          <w:sz w:val="22"/>
          <w:szCs w:val="22"/>
        </w:rPr>
      </w:pPr>
    </w:p>
    <w:p w:rsidR="00B71CA7" w:rsidRPr="00371590" w:rsidRDefault="00B71CA7" w:rsidP="00371590">
      <w:pPr>
        <w:jc w:val="both"/>
        <w:rPr>
          <w:rFonts w:asciiTheme="minorHAnsi" w:hAnsiTheme="minorHAnsi"/>
          <w:b/>
          <w:sz w:val="22"/>
          <w:szCs w:val="22"/>
        </w:rPr>
      </w:pPr>
      <w:r w:rsidRPr="00371590">
        <w:rPr>
          <w:rFonts w:asciiTheme="minorHAnsi" w:hAnsiTheme="minorHAnsi"/>
          <w:b/>
          <w:sz w:val="22"/>
          <w:szCs w:val="22"/>
        </w:rPr>
        <w:t xml:space="preserve">Czy szkoła, która w ramach poprzednio organizowanych naborów dla działania 10.2 zakupiła sprzęt do terapii (i realizuje za jego pomocą w ramach projektu indywidualną terapię dla uczniów klas gimnazjalnych) może wykorzystać go również do zajęć z terapii dla uczniów klas młodszych zaplanowanych we wniosku składanym w aktualnie ogłoszonym naborze ? </w:t>
      </w:r>
    </w:p>
    <w:p w:rsidR="008128E4" w:rsidRDefault="00B71CA7" w:rsidP="00BA5938">
      <w:pPr>
        <w:jc w:val="both"/>
        <w:rPr>
          <w:rFonts w:asciiTheme="minorHAnsi" w:hAnsiTheme="minorHAnsi"/>
          <w:b/>
          <w:sz w:val="22"/>
          <w:szCs w:val="22"/>
        </w:rPr>
      </w:pPr>
      <w:r w:rsidRPr="00371590">
        <w:rPr>
          <w:rFonts w:asciiTheme="minorHAnsi" w:hAnsiTheme="minorHAnsi"/>
          <w:b/>
          <w:sz w:val="22"/>
          <w:szCs w:val="22"/>
        </w:rPr>
        <w:t>Czy szkoła aktualnie realizująca projekt w ramach działania 10.2 dla uczniów klas gimnazjalnych może zaplanować we wniosku zajęcia dla klas młodszych z wykorzystaniem sprzętu zakupionego z</w:t>
      </w:r>
      <w:r w:rsidR="008128E4">
        <w:rPr>
          <w:rFonts w:asciiTheme="minorHAnsi" w:hAnsiTheme="minorHAnsi"/>
          <w:b/>
          <w:sz w:val="22"/>
          <w:szCs w:val="22"/>
        </w:rPr>
        <w:t xml:space="preserve"> </w:t>
      </w:r>
      <w:r w:rsidRPr="00371590">
        <w:rPr>
          <w:rFonts w:asciiTheme="minorHAnsi" w:hAnsiTheme="minorHAnsi"/>
          <w:b/>
          <w:sz w:val="22"/>
          <w:szCs w:val="22"/>
        </w:rPr>
        <w:t>poprzedniego naboru?</w:t>
      </w:r>
      <w:r w:rsidR="008128E4">
        <w:rPr>
          <w:rFonts w:asciiTheme="minorHAnsi" w:hAnsiTheme="minorHAnsi"/>
          <w:b/>
          <w:sz w:val="22"/>
          <w:szCs w:val="22"/>
        </w:rPr>
        <w:t xml:space="preserve"> </w:t>
      </w:r>
    </w:p>
    <w:p w:rsidR="00B71CA7" w:rsidRPr="008128E4" w:rsidRDefault="00BA5938" w:rsidP="00BA5938">
      <w:pPr>
        <w:jc w:val="both"/>
        <w:rPr>
          <w:rFonts w:asciiTheme="minorHAnsi" w:hAnsiTheme="minorHAnsi"/>
          <w:b/>
          <w:sz w:val="22"/>
          <w:szCs w:val="22"/>
        </w:rPr>
      </w:pPr>
      <w:r w:rsidRPr="008128E4">
        <w:rPr>
          <w:rFonts w:asciiTheme="minorHAnsi" w:hAnsiTheme="minorHAnsi"/>
          <w:sz w:val="22"/>
          <w:szCs w:val="22"/>
        </w:rPr>
        <w:t>Tak, szkoła może wykorzystać sprzęt zakupiony w ramach poprzedniego projektu do prowadzenia zajęć w ramach aktualnego projektu. Ponadto</w:t>
      </w:r>
      <w:r w:rsidR="00371590" w:rsidRPr="00371590">
        <w:rPr>
          <w:rFonts w:asciiTheme="minorHAnsi" w:hAnsiTheme="minorHAnsi"/>
          <w:sz w:val="22"/>
          <w:szCs w:val="22"/>
        </w:rPr>
        <w:t xml:space="preserve"> Wnioskodawca </w:t>
      </w:r>
      <w:r>
        <w:rPr>
          <w:rFonts w:asciiTheme="minorHAnsi" w:hAnsiTheme="minorHAnsi"/>
          <w:sz w:val="22"/>
          <w:szCs w:val="22"/>
        </w:rPr>
        <w:t xml:space="preserve">musi </w:t>
      </w:r>
      <w:r w:rsidR="00371590" w:rsidRPr="00371590">
        <w:rPr>
          <w:rFonts w:asciiTheme="minorHAnsi" w:hAnsiTheme="minorHAnsi"/>
          <w:sz w:val="22"/>
          <w:szCs w:val="22"/>
        </w:rPr>
        <w:t>wyka</w:t>
      </w:r>
      <w:r>
        <w:rPr>
          <w:rFonts w:asciiTheme="minorHAnsi" w:hAnsiTheme="minorHAnsi"/>
          <w:sz w:val="22"/>
          <w:szCs w:val="22"/>
        </w:rPr>
        <w:t>zać</w:t>
      </w:r>
      <w:r w:rsidR="00371590" w:rsidRPr="00371590">
        <w:rPr>
          <w:rFonts w:asciiTheme="minorHAnsi" w:hAnsiTheme="minorHAnsi"/>
          <w:sz w:val="22"/>
          <w:szCs w:val="22"/>
        </w:rPr>
        <w:t xml:space="preserve"> w Diagnozie potrzeb edukacyjnych, że takie wsparcie jest niezbędne.</w:t>
      </w:r>
    </w:p>
    <w:sectPr w:rsidR="00B71CA7" w:rsidRPr="008128E4" w:rsidSect="000069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945B9"/>
    <w:multiLevelType w:val="hybridMultilevel"/>
    <w:tmpl w:val="EB4C7EE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5F67CDC"/>
    <w:multiLevelType w:val="hybridMultilevel"/>
    <w:tmpl w:val="968AB9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E956E8"/>
    <w:multiLevelType w:val="hybridMultilevel"/>
    <w:tmpl w:val="6FBC10F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7EF4EA4"/>
    <w:multiLevelType w:val="hybridMultilevel"/>
    <w:tmpl w:val="C10092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5DD0"/>
    <w:rsid w:val="00005DD0"/>
    <w:rsid w:val="0000698E"/>
    <w:rsid w:val="00371590"/>
    <w:rsid w:val="003A18E7"/>
    <w:rsid w:val="003E5C1C"/>
    <w:rsid w:val="00432D36"/>
    <w:rsid w:val="005C2AE5"/>
    <w:rsid w:val="00672103"/>
    <w:rsid w:val="008128E4"/>
    <w:rsid w:val="009B7702"/>
    <w:rsid w:val="00B71CA7"/>
    <w:rsid w:val="00BA5938"/>
    <w:rsid w:val="00D415D3"/>
    <w:rsid w:val="00DB3B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5DD0"/>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5DD0"/>
    <w:pPr>
      <w:ind w:left="720"/>
      <w:contextualSpacing/>
    </w:pPr>
  </w:style>
  <w:style w:type="character" w:styleId="Hipercze">
    <w:name w:val="Hyperlink"/>
    <w:basedOn w:val="Domylnaczcionkaakapitu"/>
    <w:uiPriority w:val="99"/>
    <w:semiHidden/>
    <w:unhideWhenUsed/>
    <w:rsid w:val="00005DD0"/>
    <w:rPr>
      <w:color w:val="0000FF"/>
      <w:u w:val="single"/>
    </w:rPr>
  </w:style>
  <w:style w:type="paragraph" w:customStyle="1" w:styleId="Default">
    <w:name w:val="Default"/>
    <w:basedOn w:val="Normalny"/>
    <w:rsid w:val="00005DD0"/>
    <w:pPr>
      <w:autoSpaceDE w:val="0"/>
      <w:autoSpaceDN w:val="0"/>
    </w:pPr>
    <w:rPr>
      <w:rFonts w:ascii="Calibri" w:hAnsi="Calibri"/>
      <w:color w:val="000000"/>
    </w:rPr>
  </w:style>
  <w:style w:type="paragraph" w:styleId="Bezodstpw">
    <w:name w:val="No Spacing"/>
    <w:uiPriority w:val="1"/>
    <w:qFormat/>
    <w:rsid w:val="00371590"/>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A5938"/>
    <w:rPr>
      <w:rFonts w:ascii="Tahoma" w:hAnsi="Tahoma" w:cs="Tahoma"/>
      <w:sz w:val="16"/>
      <w:szCs w:val="16"/>
    </w:rPr>
  </w:style>
  <w:style w:type="character" w:customStyle="1" w:styleId="TekstdymkaZnak">
    <w:name w:val="Tekst dymka Znak"/>
    <w:basedOn w:val="Domylnaczcionkaakapitu"/>
    <w:link w:val="Tekstdymka"/>
    <w:uiPriority w:val="99"/>
    <w:semiHidden/>
    <w:rsid w:val="00BA5938"/>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48117698">
      <w:bodyDiv w:val="1"/>
      <w:marLeft w:val="0"/>
      <w:marRight w:val="0"/>
      <w:marTop w:val="0"/>
      <w:marBottom w:val="0"/>
      <w:divBdr>
        <w:top w:val="none" w:sz="0" w:space="0" w:color="auto"/>
        <w:left w:val="none" w:sz="0" w:space="0" w:color="auto"/>
        <w:bottom w:val="none" w:sz="0" w:space="0" w:color="auto"/>
        <w:right w:val="none" w:sz="0" w:space="0" w:color="auto"/>
      </w:divBdr>
    </w:div>
    <w:div w:id="165020740">
      <w:bodyDiv w:val="1"/>
      <w:marLeft w:val="0"/>
      <w:marRight w:val="0"/>
      <w:marTop w:val="0"/>
      <w:marBottom w:val="0"/>
      <w:divBdr>
        <w:top w:val="none" w:sz="0" w:space="0" w:color="auto"/>
        <w:left w:val="none" w:sz="0" w:space="0" w:color="auto"/>
        <w:bottom w:val="none" w:sz="0" w:space="0" w:color="auto"/>
        <w:right w:val="none" w:sz="0" w:space="0" w:color="auto"/>
      </w:divBdr>
    </w:div>
    <w:div w:id="185557680">
      <w:bodyDiv w:val="1"/>
      <w:marLeft w:val="0"/>
      <w:marRight w:val="0"/>
      <w:marTop w:val="0"/>
      <w:marBottom w:val="0"/>
      <w:divBdr>
        <w:top w:val="none" w:sz="0" w:space="0" w:color="auto"/>
        <w:left w:val="none" w:sz="0" w:space="0" w:color="auto"/>
        <w:bottom w:val="none" w:sz="0" w:space="0" w:color="auto"/>
        <w:right w:val="none" w:sz="0" w:space="0" w:color="auto"/>
      </w:divBdr>
    </w:div>
    <w:div w:id="256253213">
      <w:bodyDiv w:val="1"/>
      <w:marLeft w:val="0"/>
      <w:marRight w:val="0"/>
      <w:marTop w:val="0"/>
      <w:marBottom w:val="0"/>
      <w:divBdr>
        <w:top w:val="none" w:sz="0" w:space="0" w:color="auto"/>
        <w:left w:val="none" w:sz="0" w:space="0" w:color="auto"/>
        <w:bottom w:val="none" w:sz="0" w:space="0" w:color="auto"/>
        <w:right w:val="none" w:sz="0" w:space="0" w:color="auto"/>
      </w:divBdr>
    </w:div>
    <w:div w:id="277104681">
      <w:bodyDiv w:val="1"/>
      <w:marLeft w:val="0"/>
      <w:marRight w:val="0"/>
      <w:marTop w:val="0"/>
      <w:marBottom w:val="0"/>
      <w:divBdr>
        <w:top w:val="none" w:sz="0" w:space="0" w:color="auto"/>
        <w:left w:val="none" w:sz="0" w:space="0" w:color="auto"/>
        <w:bottom w:val="none" w:sz="0" w:space="0" w:color="auto"/>
        <w:right w:val="none" w:sz="0" w:space="0" w:color="auto"/>
      </w:divBdr>
    </w:div>
    <w:div w:id="427234005">
      <w:bodyDiv w:val="1"/>
      <w:marLeft w:val="0"/>
      <w:marRight w:val="0"/>
      <w:marTop w:val="0"/>
      <w:marBottom w:val="0"/>
      <w:divBdr>
        <w:top w:val="none" w:sz="0" w:space="0" w:color="auto"/>
        <w:left w:val="none" w:sz="0" w:space="0" w:color="auto"/>
        <w:bottom w:val="none" w:sz="0" w:space="0" w:color="auto"/>
        <w:right w:val="none" w:sz="0" w:space="0" w:color="auto"/>
      </w:divBdr>
    </w:div>
    <w:div w:id="720518552">
      <w:bodyDiv w:val="1"/>
      <w:marLeft w:val="0"/>
      <w:marRight w:val="0"/>
      <w:marTop w:val="0"/>
      <w:marBottom w:val="0"/>
      <w:divBdr>
        <w:top w:val="none" w:sz="0" w:space="0" w:color="auto"/>
        <w:left w:val="none" w:sz="0" w:space="0" w:color="auto"/>
        <w:bottom w:val="none" w:sz="0" w:space="0" w:color="auto"/>
        <w:right w:val="none" w:sz="0" w:space="0" w:color="auto"/>
      </w:divBdr>
    </w:div>
    <w:div w:id="894050877">
      <w:bodyDiv w:val="1"/>
      <w:marLeft w:val="0"/>
      <w:marRight w:val="0"/>
      <w:marTop w:val="0"/>
      <w:marBottom w:val="0"/>
      <w:divBdr>
        <w:top w:val="none" w:sz="0" w:space="0" w:color="auto"/>
        <w:left w:val="none" w:sz="0" w:space="0" w:color="auto"/>
        <w:bottom w:val="none" w:sz="0" w:space="0" w:color="auto"/>
        <w:right w:val="none" w:sz="0" w:space="0" w:color="auto"/>
      </w:divBdr>
    </w:div>
    <w:div w:id="903878195">
      <w:bodyDiv w:val="1"/>
      <w:marLeft w:val="0"/>
      <w:marRight w:val="0"/>
      <w:marTop w:val="0"/>
      <w:marBottom w:val="0"/>
      <w:divBdr>
        <w:top w:val="none" w:sz="0" w:space="0" w:color="auto"/>
        <w:left w:val="none" w:sz="0" w:space="0" w:color="auto"/>
        <w:bottom w:val="none" w:sz="0" w:space="0" w:color="auto"/>
        <w:right w:val="none" w:sz="0" w:space="0" w:color="auto"/>
      </w:divBdr>
    </w:div>
    <w:div w:id="941303513">
      <w:bodyDiv w:val="1"/>
      <w:marLeft w:val="0"/>
      <w:marRight w:val="0"/>
      <w:marTop w:val="0"/>
      <w:marBottom w:val="0"/>
      <w:divBdr>
        <w:top w:val="none" w:sz="0" w:space="0" w:color="auto"/>
        <w:left w:val="none" w:sz="0" w:space="0" w:color="auto"/>
        <w:bottom w:val="none" w:sz="0" w:space="0" w:color="auto"/>
        <w:right w:val="none" w:sz="0" w:space="0" w:color="auto"/>
      </w:divBdr>
    </w:div>
    <w:div w:id="1006900832">
      <w:bodyDiv w:val="1"/>
      <w:marLeft w:val="0"/>
      <w:marRight w:val="0"/>
      <w:marTop w:val="0"/>
      <w:marBottom w:val="0"/>
      <w:divBdr>
        <w:top w:val="none" w:sz="0" w:space="0" w:color="auto"/>
        <w:left w:val="none" w:sz="0" w:space="0" w:color="auto"/>
        <w:bottom w:val="none" w:sz="0" w:space="0" w:color="auto"/>
        <w:right w:val="none" w:sz="0" w:space="0" w:color="auto"/>
      </w:divBdr>
    </w:div>
    <w:div w:id="1112434387">
      <w:bodyDiv w:val="1"/>
      <w:marLeft w:val="0"/>
      <w:marRight w:val="0"/>
      <w:marTop w:val="0"/>
      <w:marBottom w:val="0"/>
      <w:divBdr>
        <w:top w:val="none" w:sz="0" w:space="0" w:color="auto"/>
        <w:left w:val="none" w:sz="0" w:space="0" w:color="auto"/>
        <w:bottom w:val="none" w:sz="0" w:space="0" w:color="auto"/>
        <w:right w:val="none" w:sz="0" w:space="0" w:color="auto"/>
      </w:divBdr>
    </w:div>
    <w:div w:id="1122186647">
      <w:bodyDiv w:val="1"/>
      <w:marLeft w:val="0"/>
      <w:marRight w:val="0"/>
      <w:marTop w:val="0"/>
      <w:marBottom w:val="0"/>
      <w:divBdr>
        <w:top w:val="none" w:sz="0" w:space="0" w:color="auto"/>
        <w:left w:val="none" w:sz="0" w:space="0" w:color="auto"/>
        <w:bottom w:val="none" w:sz="0" w:space="0" w:color="auto"/>
        <w:right w:val="none" w:sz="0" w:space="0" w:color="auto"/>
      </w:divBdr>
    </w:div>
    <w:div w:id="1136214623">
      <w:bodyDiv w:val="1"/>
      <w:marLeft w:val="0"/>
      <w:marRight w:val="0"/>
      <w:marTop w:val="0"/>
      <w:marBottom w:val="0"/>
      <w:divBdr>
        <w:top w:val="none" w:sz="0" w:space="0" w:color="auto"/>
        <w:left w:val="none" w:sz="0" w:space="0" w:color="auto"/>
        <w:bottom w:val="none" w:sz="0" w:space="0" w:color="auto"/>
        <w:right w:val="none" w:sz="0" w:space="0" w:color="auto"/>
      </w:divBdr>
    </w:div>
    <w:div w:id="1226915931">
      <w:bodyDiv w:val="1"/>
      <w:marLeft w:val="0"/>
      <w:marRight w:val="0"/>
      <w:marTop w:val="0"/>
      <w:marBottom w:val="0"/>
      <w:divBdr>
        <w:top w:val="none" w:sz="0" w:space="0" w:color="auto"/>
        <w:left w:val="none" w:sz="0" w:space="0" w:color="auto"/>
        <w:bottom w:val="none" w:sz="0" w:space="0" w:color="auto"/>
        <w:right w:val="none" w:sz="0" w:space="0" w:color="auto"/>
      </w:divBdr>
    </w:div>
    <w:div w:id="1272779782">
      <w:bodyDiv w:val="1"/>
      <w:marLeft w:val="0"/>
      <w:marRight w:val="0"/>
      <w:marTop w:val="0"/>
      <w:marBottom w:val="0"/>
      <w:divBdr>
        <w:top w:val="none" w:sz="0" w:space="0" w:color="auto"/>
        <w:left w:val="none" w:sz="0" w:space="0" w:color="auto"/>
        <w:bottom w:val="none" w:sz="0" w:space="0" w:color="auto"/>
        <w:right w:val="none" w:sz="0" w:space="0" w:color="auto"/>
      </w:divBdr>
    </w:div>
    <w:div w:id="1488937233">
      <w:bodyDiv w:val="1"/>
      <w:marLeft w:val="0"/>
      <w:marRight w:val="0"/>
      <w:marTop w:val="0"/>
      <w:marBottom w:val="0"/>
      <w:divBdr>
        <w:top w:val="none" w:sz="0" w:space="0" w:color="auto"/>
        <w:left w:val="none" w:sz="0" w:space="0" w:color="auto"/>
        <w:bottom w:val="none" w:sz="0" w:space="0" w:color="auto"/>
        <w:right w:val="none" w:sz="0" w:space="0" w:color="auto"/>
      </w:divBdr>
    </w:div>
    <w:div w:id="1636834359">
      <w:bodyDiv w:val="1"/>
      <w:marLeft w:val="0"/>
      <w:marRight w:val="0"/>
      <w:marTop w:val="0"/>
      <w:marBottom w:val="0"/>
      <w:divBdr>
        <w:top w:val="none" w:sz="0" w:space="0" w:color="auto"/>
        <w:left w:val="none" w:sz="0" w:space="0" w:color="auto"/>
        <w:bottom w:val="none" w:sz="0" w:space="0" w:color="auto"/>
        <w:right w:val="none" w:sz="0" w:space="0" w:color="auto"/>
      </w:divBdr>
    </w:div>
    <w:div w:id="1661034156">
      <w:bodyDiv w:val="1"/>
      <w:marLeft w:val="0"/>
      <w:marRight w:val="0"/>
      <w:marTop w:val="0"/>
      <w:marBottom w:val="0"/>
      <w:divBdr>
        <w:top w:val="none" w:sz="0" w:space="0" w:color="auto"/>
        <w:left w:val="none" w:sz="0" w:space="0" w:color="auto"/>
        <w:bottom w:val="none" w:sz="0" w:space="0" w:color="auto"/>
        <w:right w:val="none" w:sz="0" w:space="0" w:color="auto"/>
      </w:divBdr>
    </w:div>
    <w:div w:id="1690452752">
      <w:bodyDiv w:val="1"/>
      <w:marLeft w:val="0"/>
      <w:marRight w:val="0"/>
      <w:marTop w:val="0"/>
      <w:marBottom w:val="0"/>
      <w:divBdr>
        <w:top w:val="none" w:sz="0" w:space="0" w:color="auto"/>
        <w:left w:val="none" w:sz="0" w:space="0" w:color="auto"/>
        <w:bottom w:val="none" w:sz="0" w:space="0" w:color="auto"/>
        <w:right w:val="none" w:sz="0" w:space="0" w:color="auto"/>
      </w:divBdr>
    </w:div>
    <w:div w:id="1787574808">
      <w:bodyDiv w:val="1"/>
      <w:marLeft w:val="0"/>
      <w:marRight w:val="0"/>
      <w:marTop w:val="0"/>
      <w:marBottom w:val="0"/>
      <w:divBdr>
        <w:top w:val="none" w:sz="0" w:space="0" w:color="auto"/>
        <w:left w:val="none" w:sz="0" w:space="0" w:color="auto"/>
        <w:bottom w:val="none" w:sz="0" w:space="0" w:color="auto"/>
        <w:right w:val="none" w:sz="0" w:space="0" w:color="auto"/>
      </w:divBdr>
    </w:div>
    <w:div w:id="1808936684">
      <w:bodyDiv w:val="1"/>
      <w:marLeft w:val="0"/>
      <w:marRight w:val="0"/>
      <w:marTop w:val="0"/>
      <w:marBottom w:val="0"/>
      <w:divBdr>
        <w:top w:val="none" w:sz="0" w:space="0" w:color="auto"/>
        <w:left w:val="none" w:sz="0" w:space="0" w:color="auto"/>
        <w:bottom w:val="none" w:sz="0" w:space="0" w:color="auto"/>
        <w:right w:val="none" w:sz="0" w:space="0" w:color="auto"/>
      </w:divBdr>
    </w:div>
    <w:div w:id="1903830996">
      <w:bodyDiv w:val="1"/>
      <w:marLeft w:val="0"/>
      <w:marRight w:val="0"/>
      <w:marTop w:val="0"/>
      <w:marBottom w:val="0"/>
      <w:divBdr>
        <w:top w:val="none" w:sz="0" w:space="0" w:color="auto"/>
        <w:left w:val="none" w:sz="0" w:space="0" w:color="auto"/>
        <w:bottom w:val="none" w:sz="0" w:space="0" w:color="auto"/>
        <w:right w:val="none" w:sz="0" w:space="0" w:color="auto"/>
      </w:divBdr>
    </w:div>
    <w:div w:id="21137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wp-content/uploads/2018/01/Za%C5%82%C4%85cznik-nr-1-Wyci%C4%85g-z-kryteri%C3%B3w-wyboru-projekt%C3%B3w-dla-Dzia%C5%82ania-10.2.pdf" TargetMode="External"/><Relationship Id="rId3" Type="http://schemas.openxmlformats.org/officeDocument/2006/relationships/styles" Target="styles.xml"/><Relationship Id="rId7" Type="http://schemas.openxmlformats.org/officeDocument/2006/relationships/hyperlink" Target="http://rpo.dolnyslask.pl/wp-content/uploads/2018/01/Za%C5%82%C4%85cznik-nr-1-Wyci%C4%85g-z-kryteri%C3%B3w-wyboru-projekt%C3%B3w-dla-Dzia%C5%82ania-10.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unduszeeuropejskie.gov.pl/media/42886/Wytyczne_w_zakresie_kwalifikowalnosci_19.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po.dolnyslask.pl/wp-content/uploads/2018/01/Za%C5%82%C4%85cznik-nr-1-Wyci%C4%85g-z-kryteri%C3%B3w-wyboru-projekt%C3%B3w-dla-Dzia%C5%82ania-10.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979F2-F6C7-42E7-B316-9BDA83B4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2723</Words>
  <Characters>16341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adzwiniel</dc:creator>
  <cp:lastModifiedBy>adzwiniel</cp:lastModifiedBy>
  <cp:revision>6</cp:revision>
  <dcterms:created xsi:type="dcterms:W3CDTF">2018-03-09T12:08:00Z</dcterms:created>
  <dcterms:modified xsi:type="dcterms:W3CDTF">2018-03-12T11:32:00Z</dcterms:modified>
</cp:coreProperties>
</file>