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1B5C53" w:rsidRDefault="00CA6F45" w:rsidP="00CA6F45">
      <w:pPr>
        <w:jc w:val="center"/>
        <w:rPr>
          <w:rFonts w:asciiTheme="minorHAnsi" w:hAnsiTheme="minorHAnsi"/>
          <w:sz w:val="22"/>
          <w:szCs w:val="22"/>
        </w:rPr>
      </w:pPr>
      <w:r w:rsidRPr="001B5C53">
        <w:rPr>
          <w:rFonts w:asciiTheme="minorHAnsi" w:hAnsi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1606839</wp:posOffset>
            </wp:positionH>
            <wp:positionV relativeFrom="margin">
              <wp:posOffset>-344384</wp:posOffset>
            </wp:positionV>
            <wp:extent cx="5760720" cy="694055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E2345" w:rsidRDefault="003E2345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7679AE" w:rsidRDefault="00CA6F45" w:rsidP="00CA6F45">
      <w:pPr>
        <w:jc w:val="right"/>
        <w:rPr>
          <w:rFonts w:asciiTheme="minorHAnsi" w:hAnsiTheme="minorHAnsi"/>
          <w:sz w:val="18"/>
          <w:szCs w:val="18"/>
        </w:rPr>
      </w:pPr>
      <w:r w:rsidRPr="007679AE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7679AE">
        <w:rPr>
          <w:rFonts w:asciiTheme="minorHAnsi" w:hAnsiTheme="minorHAnsi"/>
          <w:sz w:val="18"/>
          <w:szCs w:val="18"/>
        </w:rPr>
        <w:t xml:space="preserve"> </w:t>
      </w:r>
      <w:r w:rsidR="008765D1" w:rsidRPr="007679AE">
        <w:rPr>
          <w:rFonts w:asciiTheme="minorHAnsi" w:hAnsiTheme="minorHAnsi"/>
          <w:color w:val="000000" w:themeColor="text1"/>
          <w:sz w:val="18"/>
          <w:szCs w:val="18"/>
        </w:rPr>
        <w:t>z dn</w:t>
      </w:r>
      <w:r w:rsidR="009017B2" w:rsidRPr="007E3C66">
        <w:rPr>
          <w:rFonts w:asciiTheme="minorHAnsi" w:hAnsiTheme="minorHAnsi"/>
          <w:color w:val="000000" w:themeColor="text1"/>
          <w:sz w:val="18"/>
          <w:szCs w:val="18"/>
        </w:rPr>
        <w:t>.</w:t>
      </w:r>
      <w:r w:rsidR="00DF4507" w:rsidRPr="007E3C66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7E3C66" w:rsidRPr="007E3C66">
        <w:rPr>
          <w:rFonts w:asciiTheme="minorHAnsi" w:hAnsiTheme="minorHAnsi"/>
          <w:color w:val="000000" w:themeColor="text1"/>
          <w:sz w:val="18"/>
          <w:szCs w:val="18"/>
        </w:rPr>
        <w:t xml:space="preserve">12 grudnia 2017 r.   </w:t>
      </w:r>
      <w:r w:rsidR="0034373A" w:rsidRPr="007E3C66">
        <w:rPr>
          <w:rFonts w:asciiTheme="minorHAnsi" w:hAnsiTheme="minorHAnsi"/>
          <w:color w:val="000000" w:themeColor="text1"/>
          <w:sz w:val="18"/>
          <w:szCs w:val="18"/>
        </w:rPr>
        <w:t>.</w:t>
      </w:r>
      <w:r w:rsidR="0060578B" w:rsidRPr="007679A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bookmarkEnd w:id="0"/>
    <w:p w:rsidR="00CA6F45" w:rsidRPr="00663A59" w:rsidRDefault="00CA6F45" w:rsidP="003E2345">
      <w:pPr>
        <w:spacing w:line="240" w:lineRule="auto"/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663A59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Tabela wskaźników rezultatu bezpośredniego i produktu </w:t>
      </w:r>
      <w:r w:rsidR="00376681" w:rsidRPr="00663A59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663A59">
        <w:rPr>
          <w:rFonts w:asciiTheme="minorHAnsi" w:hAnsiTheme="minorHAnsi"/>
          <w:b/>
          <w:color w:val="4F81BD" w:themeColor="accent1"/>
          <w:sz w:val="32"/>
          <w:szCs w:val="32"/>
        </w:rPr>
        <w:t>dla działań i poddziałań</w:t>
      </w:r>
      <w:r w:rsidR="00744E34" w:rsidRPr="00663A59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RPO WD 2014-2020</w:t>
      </w:r>
    </w:p>
    <w:p w:rsidR="00CA6F45" w:rsidRPr="003E2345" w:rsidRDefault="00CA6F45">
      <w:pPr>
        <w:rPr>
          <w:rFonts w:asciiTheme="minorHAnsi" w:hAnsiTheme="minorHAnsi"/>
          <w:sz w:val="14"/>
          <w:szCs w:val="22"/>
        </w:rPr>
      </w:pPr>
    </w:p>
    <w:p w:rsidR="00CA6F45" w:rsidRPr="00512A7A" w:rsidRDefault="00CA6F45" w:rsidP="003E2345">
      <w:pPr>
        <w:spacing w:line="240" w:lineRule="auto"/>
        <w:rPr>
          <w:rFonts w:asciiTheme="minorHAnsi" w:hAnsiTheme="minorHAnsi"/>
          <w:sz w:val="20"/>
        </w:rPr>
      </w:pPr>
    </w:p>
    <w:p w:rsidR="00512A7A" w:rsidRPr="00512A7A" w:rsidRDefault="00AF7A18">
      <w:pPr>
        <w:pStyle w:val="Spistreci1"/>
        <w:rPr>
          <w:rFonts w:eastAsiaTheme="minorEastAsia" w:cstheme="minorBidi"/>
          <w:b w:val="0"/>
          <w:sz w:val="20"/>
          <w:szCs w:val="20"/>
        </w:rPr>
      </w:pPr>
      <w:r w:rsidRPr="00AF7A18">
        <w:rPr>
          <w:i/>
          <w:sz w:val="20"/>
          <w:szCs w:val="20"/>
        </w:rPr>
        <w:fldChar w:fldCharType="begin"/>
      </w:r>
      <w:r w:rsidR="003E2345" w:rsidRPr="00512A7A">
        <w:rPr>
          <w:i/>
          <w:sz w:val="20"/>
          <w:szCs w:val="20"/>
        </w:rPr>
        <w:instrText xml:space="preserve"> TOC \o "1-2" \h \z \u </w:instrText>
      </w:r>
      <w:r w:rsidRPr="00AF7A18">
        <w:rPr>
          <w:i/>
          <w:sz w:val="20"/>
          <w:szCs w:val="20"/>
        </w:rPr>
        <w:fldChar w:fldCharType="separate"/>
      </w:r>
      <w:hyperlink w:anchor="_Toc499645851" w:history="1">
        <w:r w:rsidR="00512A7A" w:rsidRPr="00512A7A">
          <w:rPr>
            <w:rStyle w:val="Hipercze"/>
            <w:sz w:val="20"/>
            <w:szCs w:val="20"/>
          </w:rPr>
          <w:t>1. Tabela wskaźników rezultatu bezpośredniego dla EFRR</w:t>
        </w:r>
        <w:r w:rsidR="00512A7A" w:rsidRPr="00512A7A">
          <w:rPr>
            <w:webHidden/>
            <w:sz w:val="20"/>
            <w:szCs w:val="20"/>
          </w:rPr>
          <w:tab/>
        </w:r>
        <w:r w:rsidRPr="00512A7A">
          <w:rPr>
            <w:webHidden/>
            <w:sz w:val="20"/>
            <w:szCs w:val="20"/>
          </w:rPr>
          <w:fldChar w:fldCharType="begin"/>
        </w:r>
        <w:r w:rsidR="00512A7A" w:rsidRPr="00512A7A">
          <w:rPr>
            <w:webHidden/>
            <w:sz w:val="20"/>
            <w:szCs w:val="20"/>
          </w:rPr>
          <w:instrText xml:space="preserve"> PAGEREF _Toc499645851 \h </w:instrText>
        </w:r>
        <w:r w:rsidRPr="00512A7A">
          <w:rPr>
            <w:webHidden/>
            <w:sz w:val="20"/>
            <w:szCs w:val="20"/>
          </w:rPr>
        </w:r>
        <w:r w:rsidRPr="00512A7A">
          <w:rPr>
            <w:webHidden/>
            <w:sz w:val="20"/>
            <w:szCs w:val="20"/>
          </w:rPr>
          <w:fldChar w:fldCharType="separate"/>
        </w:r>
        <w:r w:rsidR="00512A7A" w:rsidRPr="00512A7A">
          <w:rPr>
            <w:webHidden/>
            <w:sz w:val="20"/>
            <w:szCs w:val="20"/>
          </w:rPr>
          <w:t>3</w:t>
        </w:r>
        <w:r w:rsidRPr="00512A7A">
          <w:rPr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2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Przedsiębiorstwa i innowacje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_Toc499645852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3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Technologie informacyjno-komunikacyjne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_Toc499645853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8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4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Gospodarka niskoemisyjna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_Toc499645854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8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5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Środowisko i Zasoby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_Toc499645855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18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6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Transport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_Toc499645856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20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7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Infrastruktura spójności społecznej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_Toc499645857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21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58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Infrastruktura edukacyjna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_Toc499645858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21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1"/>
        <w:rPr>
          <w:rFonts w:eastAsiaTheme="minorEastAsia" w:cstheme="minorBidi"/>
          <w:b w:val="0"/>
          <w:sz w:val="20"/>
          <w:szCs w:val="20"/>
        </w:rPr>
      </w:pPr>
      <w:hyperlink w:anchor="_Toc499645859" w:history="1">
        <w:r w:rsidR="00512A7A" w:rsidRPr="00512A7A">
          <w:rPr>
            <w:rStyle w:val="Hipercze"/>
            <w:sz w:val="20"/>
            <w:szCs w:val="20"/>
          </w:rPr>
          <w:t>2. Tabela wskaźników produktu dla EFRR</w:t>
        </w:r>
        <w:r w:rsidR="00512A7A" w:rsidRPr="00512A7A">
          <w:rPr>
            <w:webHidden/>
            <w:sz w:val="20"/>
            <w:szCs w:val="20"/>
          </w:rPr>
          <w:tab/>
        </w:r>
        <w:r w:rsidRPr="00512A7A">
          <w:rPr>
            <w:webHidden/>
            <w:sz w:val="20"/>
            <w:szCs w:val="20"/>
          </w:rPr>
          <w:fldChar w:fldCharType="begin"/>
        </w:r>
        <w:r w:rsidR="00512A7A" w:rsidRPr="00512A7A">
          <w:rPr>
            <w:webHidden/>
            <w:sz w:val="20"/>
            <w:szCs w:val="20"/>
          </w:rPr>
          <w:instrText xml:space="preserve"> PAGEREF _Toc499645859 \h </w:instrText>
        </w:r>
        <w:r w:rsidRPr="00512A7A">
          <w:rPr>
            <w:webHidden/>
            <w:sz w:val="20"/>
            <w:szCs w:val="20"/>
          </w:rPr>
        </w:r>
        <w:r w:rsidRPr="00512A7A">
          <w:rPr>
            <w:webHidden/>
            <w:sz w:val="20"/>
            <w:szCs w:val="20"/>
          </w:rPr>
          <w:fldChar w:fldCharType="separate"/>
        </w:r>
        <w:r w:rsidR="00512A7A" w:rsidRPr="00512A7A">
          <w:rPr>
            <w:webHidden/>
            <w:sz w:val="20"/>
            <w:szCs w:val="20"/>
          </w:rPr>
          <w:t>22</w:t>
        </w:r>
        <w:r w:rsidRPr="00512A7A">
          <w:rPr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0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Przedsiębiorstwa i innowacje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_Toc499645860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22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1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Technologie informacyjno-komunikacyjne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_Toc499645861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26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2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Gospodarka niskoemisyjna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_Toc499645862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29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3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Środowisko i Zasoby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_Toc499645863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37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4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Transport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_Toc499645864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42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5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Infrastruktura spójności społecznej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_Toc499645865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44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6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Infrastruktura edukacyjna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_Toc499645866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46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1"/>
        <w:rPr>
          <w:rFonts w:eastAsiaTheme="minorEastAsia" w:cstheme="minorBidi"/>
          <w:b w:val="0"/>
          <w:sz w:val="20"/>
          <w:szCs w:val="20"/>
        </w:rPr>
      </w:pPr>
      <w:hyperlink w:anchor="_Toc499645867" w:history="1">
        <w:r w:rsidR="00512A7A" w:rsidRPr="00512A7A">
          <w:rPr>
            <w:rStyle w:val="Hipercze"/>
            <w:sz w:val="20"/>
            <w:szCs w:val="20"/>
          </w:rPr>
          <w:t>3. Tabela wskaźników rezultatu bezpośredniego dla EFS</w:t>
        </w:r>
        <w:r w:rsidR="00512A7A" w:rsidRPr="00512A7A">
          <w:rPr>
            <w:webHidden/>
            <w:sz w:val="20"/>
            <w:szCs w:val="20"/>
          </w:rPr>
          <w:tab/>
        </w:r>
        <w:r w:rsidRPr="00512A7A">
          <w:rPr>
            <w:webHidden/>
            <w:sz w:val="20"/>
            <w:szCs w:val="20"/>
          </w:rPr>
          <w:fldChar w:fldCharType="begin"/>
        </w:r>
        <w:r w:rsidR="00512A7A" w:rsidRPr="00512A7A">
          <w:rPr>
            <w:webHidden/>
            <w:sz w:val="20"/>
            <w:szCs w:val="20"/>
          </w:rPr>
          <w:instrText xml:space="preserve"> PAGEREF _Toc499645867 \h </w:instrText>
        </w:r>
        <w:r w:rsidRPr="00512A7A">
          <w:rPr>
            <w:webHidden/>
            <w:sz w:val="20"/>
            <w:szCs w:val="20"/>
          </w:rPr>
        </w:r>
        <w:r w:rsidRPr="00512A7A">
          <w:rPr>
            <w:webHidden/>
            <w:sz w:val="20"/>
            <w:szCs w:val="20"/>
          </w:rPr>
          <w:fldChar w:fldCharType="separate"/>
        </w:r>
        <w:r w:rsidR="00512A7A" w:rsidRPr="00512A7A">
          <w:rPr>
            <w:webHidden/>
            <w:sz w:val="20"/>
            <w:szCs w:val="20"/>
          </w:rPr>
          <w:t>48</w:t>
        </w:r>
        <w:r w:rsidRPr="00512A7A">
          <w:rPr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8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Rynek pracy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_Toc499645868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48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69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Włączenie społeczne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_Toc499645869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53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0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Edukacja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_Toc499645870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57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1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Pomoc techniczna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_Toc499645871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59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1"/>
        <w:rPr>
          <w:rFonts w:eastAsiaTheme="minorEastAsia" w:cstheme="minorBidi"/>
          <w:b w:val="0"/>
          <w:sz w:val="20"/>
          <w:szCs w:val="20"/>
        </w:rPr>
      </w:pPr>
      <w:hyperlink w:anchor="_Toc499645872" w:history="1">
        <w:r w:rsidR="00512A7A" w:rsidRPr="00512A7A">
          <w:rPr>
            <w:rStyle w:val="Hipercze"/>
            <w:sz w:val="20"/>
            <w:szCs w:val="20"/>
          </w:rPr>
          <w:t>4. Tabela wskaźników produktu dla EFS</w:t>
        </w:r>
        <w:r w:rsidR="00512A7A" w:rsidRPr="00512A7A">
          <w:rPr>
            <w:webHidden/>
            <w:sz w:val="20"/>
            <w:szCs w:val="20"/>
          </w:rPr>
          <w:tab/>
        </w:r>
        <w:r w:rsidRPr="00512A7A">
          <w:rPr>
            <w:webHidden/>
            <w:sz w:val="20"/>
            <w:szCs w:val="20"/>
          </w:rPr>
          <w:fldChar w:fldCharType="begin"/>
        </w:r>
        <w:r w:rsidR="00512A7A" w:rsidRPr="00512A7A">
          <w:rPr>
            <w:webHidden/>
            <w:sz w:val="20"/>
            <w:szCs w:val="20"/>
          </w:rPr>
          <w:instrText xml:space="preserve"> PAGEREF _Toc499645872 \h </w:instrText>
        </w:r>
        <w:r w:rsidRPr="00512A7A">
          <w:rPr>
            <w:webHidden/>
            <w:sz w:val="20"/>
            <w:szCs w:val="20"/>
          </w:rPr>
        </w:r>
        <w:r w:rsidRPr="00512A7A">
          <w:rPr>
            <w:webHidden/>
            <w:sz w:val="20"/>
            <w:szCs w:val="20"/>
          </w:rPr>
          <w:fldChar w:fldCharType="separate"/>
        </w:r>
        <w:r w:rsidR="00512A7A" w:rsidRPr="00512A7A">
          <w:rPr>
            <w:webHidden/>
            <w:sz w:val="20"/>
            <w:szCs w:val="20"/>
          </w:rPr>
          <w:t>60</w:t>
        </w:r>
        <w:r w:rsidRPr="00512A7A">
          <w:rPr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3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Rynek Pracy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_Toc499645873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60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4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Włączenie społeczne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_Toc499645874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63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5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Edukacja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_Toc499645875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66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512A7A" w:rsidRPr="00512A7A" w:rsidRDefault="00AF7A18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499645876" w:history="1">
        <w:r w:rsidR="00512A7A" w:rsidRPr="00512A7A">
          <w:rPr>
            <w:rStyle w:val="Hipercze"/>
            <w:rFonts w:asciiTheme="minorHAnsi" w:hAnsiTheme="minorHAnsi"/>
            <w:noProof/>
            <w:sz w:val="20"/>
            <w:szCs w:val="20"/>
          </w:rPr>
          <w:t>Pomoc techniczna</w:t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_Toc499645876 \h </w:instrTex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512A7A" w:rsidRPr="00512A7A">
          <w:rPr>
            <w:rFonts w:asciiTheme="minorHAnsi" w:hAnsiTheme="minorHAnsi"/>
            <w:noProof/>
            <w:webHidden/>
            <w:sz w:val="20"/>
            <w:szCs w:val="20"/>
          </w:rPr>
          <w:t>68</w:t>
        </w:r>
        <w:r w:rsidRPr="00512A7A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F81664" w:rsidRPr="00512A7A" w:rsidRDefault="00AF7A18" w:rsidP="00CA6F45">
      <w:pPr>
        <w:rPr>
          <w:rFonts w:asciiTheme="minorHAnsi" w:hAnsiTheme="minorHAnsi"/>
          <w:i/>
          <w:sz w:val="14"/>
          <w:szCs w:val="14"/>
        </w:rPr>
      </w:pPr>
      <w:r w:rsidRPr="00512A7A">
        <w:rPr>
          <w:rFonts w:asciiTheme="minorHAnsi" w:eastAsia="Times New Roman" w:hAnsiTheme="minorHAnsi" w:cs="Times New Roman"/>
          <w:i/>
          <w:noProof/>
          <w:sz w:val="20"/>
          <w:lang w:eastAsia="pl-PL"/>
        </w:rPr>
        <w:fldChar w:fldCharType="end"/>
      </w:r>
    </w:p>
    <w:p w:rsidR="00CA6F45" w:rsidRPr="001B5C53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B5C53">
        <w:rPr>
          <w:rFonts w:asciiTheme="minorHAnsi" w:hAnsiTheme="minorHAnsi"/>
          <w:sz w:val="22"/>
          <w:szCs w:val="22"/>
        </w:rPr>
        <w:br w:type="page"/>
      </w:r>
    </w:p>
    <w:p w:rsidR="00CA6F45" w:rsidRPr="00203D81" w:rsidRDefault="00CA6F45" w:rsidP="007700DB">
      <w:pPr>
        <w:pStyle w:val="Nagwek1"/>
        <w:rPr>
          <w:rFonts w:asciiTheme="minorHAnsi" w:hAnsiTheme="minorHAnsi"/>
          <w:szCs w:val="22"/>
        </w:rPr>
      </w:pPr>
      <w:bookmarkStart w:id="1" w:name="_Toc499645851"/>
      <w:r w:rsidRPr="00203D81">
        <w:rPr>
          <w:rFonts w:asciiTheme="minorHAnsi" w:hAnsiTheme="minorHAnsi"/>
          <w:szCs w:val="22"/>
        </w:rPr>
        <w:t>1. Tabela wskaźników rezultatu bezpośredniego dla EFRR</w:t>
      </w:r>
      <w:bookmarkEnd w:id="1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16"/>
      </w:tblGrid>
      <w:tr w:rsidR="00CA6F45" w:rsidRPr="007679AE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  <w:t>Wskaźniki rezultatu bezpośredniego</w:t>
            </w:r>
          </w:p>
        </w:tc>
      </w:tr>
    </w:tbl>
    <w:p w:rsidR="007354C4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7679AE" w:rsidTr="002A0DD7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Jednostka</w:t>
            </w:r>
          </w:p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 xml:space="preserve">Kategoria </w:t>
            </w: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 xml:space="preserve">Rok </w:t>
            </w: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br/>
              <w:t>bazowy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Źródło</w:t>
            </w:r>
          </w:p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</w:p>
        </w:tc>
      </w:tr>
      <w:tr w:rsidR="00CA6F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7679AE" w:rsidRDefault="00CA6F45" w:rsidP="0094036C">
            <w:pPr>
              <w:pStyle w:val="Nagwek2"/>
            </w:pPr>
            <w:bookmarkStart w:id="2" w:name="_Toc499645852"/>
            <w:r w:rsidRPr="007679AE">
              <w:t>Przedsiębiorstwa i innowacje</w:t>
            </w:r>
            <w:bookmarkEnd w:id="2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7679AE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AD07ED">
            <w:pPr>
              <w:spacing w:before="40" w:after="40" w:line="240" w:lineRule="auto"/>
              <w:rPr>
                <w:rFonts w:asciiTheme="minorHAnsi" w:hAnsiTheme="minorHAnsi"/>
                <w:color w:val="FF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7679AE" w:rsidTr="002A0DD7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7679AE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62D41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7679AE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7679AE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7679AE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7679AE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7679AE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7679AE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7679AE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7679AE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7679A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7679AE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7679AE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7679AE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7679AE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7679AE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7679AE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7679AE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7679AE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921B7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7679AE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7679AE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921B7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7679AE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7679AE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3" w:name="_Toc499645853"/>
            <w:r w:rsidRPr="007679AE">
              <w:t>Technologie informacyjno-komunikacyjne</w:t>
            </w:r>
            <w:bookmarkEnd w:id="3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4036C">
            <w:pPr>
              <w:pStyle w:val="Nagwek2"/>
            </w:pPr>
            <w:bookmarkStart w:id="4" w:name="_Toc499645854"/>
            <w:r w:rsidRPr="001B4245">
              <w:t>Gospodarka niskoemisyjna</w:t>
            </w:r>
            <w:bookmarkEnd w:id="4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59,02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1B4245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1B4245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9 410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</w:t>
            </w:r>
            <w:r w:rsidR="002A0DD7" w:rsidRPr="001B4245">
              <w:rPr>
                <w:rFonts w:asciiTheme="minorHAnsi" w:hAnsiTheme="minorHAnsi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1B4245">
              <w:rPr>
                <w:rFonts w:asciiTheme="minorHAnsi" w:hAnsiTheme="minorHAnsi"/>
                <w:sz w:val="20"/>
              </w:rPr>
              <w:t>,</w:t>
            </w:r>
            <w:r w:rsidRPr="001B4245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1B4245">
              <w:rPr>
                <w:rFonts w:asciiTheme="minorHAnsi" w:hAnsiTheme="minorHAnsi"/>
                <w:sz w:val="20"/>
              </w:rPr>
              <w:t>,</w:t>
            </w:r>
            <w:r w:rsidRPr="001B4245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22 650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21 255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kWh/rok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236 607 000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120000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Liczba przewozów komunikacją miejską na przebudowanych i nowych liniach komunikacji miejskiej</w:t>
            </w:r>
          </w:p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 </w:t>
            </w:r>
          </w:p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 w:cs="ArialNarrow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1B4245">
              <w:rPr>
                <w:rFonts w:asciiTheme="minorHAnsi" w:hAnsiTheme="minorHAnsi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4245">
              <w:rPr>
                <w:rFonts w:asciiTheme="minorHAnsi" w:hAnsiTheme="minorHAnsi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1B4245" w:rsidDel="00FE71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  <w:szCs w:val="20"/>
              </w:rPr>
              <w:t>– wskaźnik agregujący :</w:t>
            </w:r>
          </w:p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B4245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4245">
              <w:rPr>
                <w:rFonts w:asciiTheme="minorHAnsi" w:hAnsiTheme="minorHAnsi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1B4245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1B4245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5" w:name="_Toc499645855"/>
            <w:r w:rsidRPr="0094036C">
              <w:t>Środowisko i Zasoby</w:t>
            </w:r>
            <w:bookmarkEnd w:id="5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79AE">
              <w:rPr>
                <w:rFonts w:asciiTheme="minorHAnsi" w:hAnsiTheme="minorHAnsi"/>
                <w:sz w:val="20"/>
                <w:szCs w:val="20"/>
              </w:rPr>
              <w:t>9 880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EA6C9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7679AE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7679AE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dodatkowych osób korzystających z ulepszonego </w:t>
            </w:r>
            <w:r>
              <w:rPr>
                <w:rFonts w:asciiTheme="minorHAnsi" w:hAnsiTheme="minorHAnsi"/>
                <w:sz w:val="20"/>
              </w:rPr>
              <w:t xml:space="preserve">zaopatrzenia w wodę </w:t>
            </w:r>
            <w:r w:rsidRPr="007679AE">
              <w:rPr>
                <w:rFonts w:asciiTheme="minorHAnsi" w:hAnsiTheme="minorHAnsi"/>
                <w:bCs/>
                <w:sz w:val="20"/>
              </w:rPr>
              <w:t>(CI 1</w:t>
            </w:r>
            <w:r>
              <w:rPr>
                <w:rFonts w:asciiTheme="minorHAnsi" w:hAnsiTheme="minorHAnsi"/>
                <w:bCs/>
                <w:sz w:val="20"/>
              </w:rPr>
              <w:t>8</w:t>
            </w:r>
            <w:r w:rsidRPr="007679AE">
              <w:rPr>
                <w:rFonts w:asciiTheme="minorHAnsi" w:hAnsiTheme="minorHAnsi"/>
                <w:bCs/>
                <w:sz w:val="20"/>
              </w:rPr>
              <w:t>)</w:t>
            </w:r>
            <w:r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7679AE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A6C94">
              <w:rPr>
                <w:rFonts w:eastAsia="Calibri" w:cs="Tahoma"/>
                <w:color w:val="000000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7679AE">
              <w:rPr>
                <w:rFonts w:asciiTheme="minorHAnsi" w:hAnsiTheme="minorHAnsi"/>
                <w:bCs/>
                <w:sz w:val="20"/>
              </w:rPr>
              <w:t>(CI 19)</w:t>
            </w:r>
            <w:r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9E1ABD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7679AE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7679AE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7679AE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7679AE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7679AE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89 500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63 200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10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109 400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6" w:name="_Toc499645856"/>
            <w:r w:rsidRPr="007679AE">
              <w:t>Transport</w:t>
            </w:r>
            <w:bookmarkEnd w:id="6"/>
            <w:r w:rsidRPr="007679AE">
              <w:t xml:space="preserve"> </w:t>
            </w:r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7679AE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7" w:name="_Toc499645857"/>
            <w:r w:rsidRPr="007679AE">
              <w:t>Infrastruktura spójności społecznej</w:t>
            </w:r>
            <w:bookmarkEnd w:id="7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8" w:name="_Toc499645858"/>
            <w:r w:rsidRPr="007679AE">
              <w:t>Infrastruktura edukacyjna</w:t>
            </w:r>
            <w:bookmarkEnd w:id="8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B44AF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B70FF6" w:rsidRDefault="00CA6F45" w:rsidP="00CA6F45">
      <w:pPr>
        <w:rPr>
          <w:rFonts w:asciiTheme="minorHAnsi" w:hAnsiTheme="minorHAnsi"/>
          <w:sz w:val="20"/>
        </w:rPr>
      </w:pPr>
    </w:p>
    <w:p w:rsidR="00CA6F45" w:rsidRPr="00203D81" w:rsidRDefault="00CA6F45" w:rsidP="0094036C">
      <w:pPr>
        <w:pStyle w:val="Nagwek1"/>
        <w:rPr>
          <w:rFonts w:asciiTheme="minorHAnsi" w:hAnsiTheme="minorHAnsi"/>
        </w:rPr>
      </w:pPr>
      <w:bookmarkStart w:id="9" w:name="_Toc499645859"/>
      <w:r w:rsidRPr="00203D81">
        <w:rPr>
          <w:rFonts w:asciiTheme="minorHAnsi" w:hAnsiTheme="minorHAnsi"/>
        </w:rPr>
        <w:t>2. Tabela wskaźników produktu dla EFRR</w:t>
      </w:r>
      <w:bookmarkEnd w:id="9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16"/>
      </w:tblGrid>
      <w:tr w:rsidR="00CA6F45" w:rsidRPr="001B5C53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Default="007354C4">
      <w:bookmarkStart w:id="10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7354C4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7354C4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Jednostka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Kategoria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 xml:space="preserve">Wartość pośrednia 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Źródło</w:t>
            </w:r>
          </w:p>
        </w:tc>
      </w:tr>
      <w:tr w:rsidR="00CA6F45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4C222B">
            <w:pPr>
              <w:pStyle w:val="Nagwek2"/>
            </w:pPr>
            <w:bookmarkStart w:id="11" w:name="_Toc499645860"/>
            <w:bookmarkEnd w:id="10"/>
            <w:r w:rsidRPr="007679AE">
              <w:t>Przedsiębiorstwa i innowacje</w:t>
            </w:r>
            <w:bookmarkEnd w:id="11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7679AE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7679AE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E3408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współpracujących z ośrodkami badawczymi (CI 26)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0D131A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134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0D131A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0D131A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Przedsiębiorstwa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</w:t>
            </w:r>
            <w:r w:rsidR="00175999" w:rsidRPr="007679AE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7679AE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7679AE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7679AE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zł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BD3949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7679AE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7679AE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7679AE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B49F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7679AE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B49FC" w:rsidRPr="007679AE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B49FC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B49F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07457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B49FC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B49FC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B49FC" w:rsidRPr="007679AE" w:rsidRDefault="008B49F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61B3A" w:rsidRPr="00B70FF6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7679AE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7679AE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7679AE">
              <w:rPr>
                <w:rFonts w:asciiTheme="minorHAnsi" w:hAnsiTheme="minorHAnsi"/>
                <w:sz w:val="20"/>
              </w:rPr>
              <w:t>4</w:t>
            </w:r>
            <w:r w:rsidRPr="007679AE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7679AE">
              <w:rPr>
                <w:rFonts w:asciiTheme="minorHAnsi" w:hAnsiTheme="minorHAnsi"/>
                <w:sz w:val="20"/>
              </w:rPr>
              <w:t>dotacje</w:t>
            </w:r>
            <w:r w:rsidR="00084CC2" w:rsidRPr="007679AE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CA6F45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7679AE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7679AE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7679AE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7679AE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7679AE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7679AE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7679AE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7679AE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7679AE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AA547A" w:rsidP="004C222B">
            <w:pPr>
              <w:pStyle w:val="Nagwek2"/>
            </w:pPr>
            <w:bookmarkStart w:id="12" w:name="_Toc499645861"/>
            <w:r w:rsidRPr="007679AE">
              <w:t>Technologie informacyjno-komunikacyjne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7679AE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7679AE">
              <w:rPr>
                <w:rFonts w:asciiTheme="minorHAnsi" w:hAnsiTheme="minorHAnsi"/>
                <w:sz w:val="20"/>
              </w:rPr>
              <w:t xml:space="preserve">co najmniej </w:t>
            </w:r>
            <w:r w:rsidRPr="007679AE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7679AE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7679AE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7679AE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7679AE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7679AE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7679AE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7679AE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7679AE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7679AE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7679AE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65F8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7679AE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7679AE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3746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7679AE" w:rsidRDefault="00F3746A" w:rsidP="007354C4">
            <w:pPr>
              <w:pStyle w:val="Nagwek2"/>
            </w:pPr>
            <w:bookmarkStart w:id="13" w:name="_Toc499645862"/>
            <w:r w:rsidRPr="007679AE">
              <w:t>Gospodarka niskoemisyjna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7679AE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511859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511859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511859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511859">
              <w:rPr>
                <w:rFonts w:asciiTheme="minorHAnsi" w:hAnsiTheme="minorHAnsi"/>
                <w:sz w:val="20"/>
              </w:rPr>
              <w:t>agregujący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</w:t>
            </w:r>
            <w:r w:rsidR="00F3746A" w:rsidRPr="00511859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511859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511859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511859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511859">
              <w:rPr>
                <w:rFonts w:asciiTheme="minorHAnsi" w:hAnsiTheme="minorHAnsi"/>
                <w:sz w:val="20"/>
              </w:rPr>
              <w:t>agregujący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2</w:t>
            </w:r>
            <w:r w:rsidR="00BC77A2" w:rsidRPr="00511859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7679A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7679AE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7679AE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7679AE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511859">
              <w:rPr>
                <w:rFonts w:asciiTheme="minorHAnsi" w:hAnsiTheme="minorHAnsi"/>
                <w:sz w:val="20"/>
              </w:rPr>
              <w:t xml:space="preserve"> </w:t>
            </w:r>
            <w:r w:rsidRPr="00511859">
              <w:rPr>
                <w:rFonts w:asciiTheme="minorHAnsi" w:hAnsiTheme="minorHAnsi"/>
                <w:sz w:val="20"/>
              </w:rPr>
              <w:t>agregujący</w:t>
            </w:r>
            <w:r w:rsidR="00B3256C" w:rsidRPr="0051185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Długość </w:t>
            </w:r>
            <w:bookmarkStart w:id="14" w:name="_GoBack"/>
            <w:bookmarkEnd w:id="14"/>
            <w:r w:rsidRPr="00511859">
              <w:rPr>
                <w:sz w:val="20"/>
                <w:szCs w:val="20"/>
              </w:rPr>
              <w:t xml:space="preserve">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  <w:r w:rsidR="00137FA9" w:rsidRPr="00511859">
              <w:rPr>
                <w:rFonts w:asciiTheme="minorHAnsi" w:eastAsia="Calibri" w:hAnsiTheme="minorHAnsi" w:cs="Tahoma"/>
                <w:color w:val="000000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511859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511859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511859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511859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511859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7679A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</w:t>
            </w:r>
            <w:r w:rsidR="0031354C" w:rsidRPr="0024758E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030F6B"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24758E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24758E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24758E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24758E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24758E">
              <w:rPr>
                <w:rFonts w:asciiTheme="minorHAnsi" w:hAnsiTheme="minorHAnsi"/>
                <w:sz w:val="20"/>
              </w:rPr>
              <w:t>wskaźnik agregujący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24758E">
              <w:rPr>
                <w:rFonts w:asciiTheme="minorHAnsi" w:hAnsiTheme="minorHAnsi"/>
                <w:sz w:val="20"/>
              </w:rPr>
              <w:t>wskaźnik agregujący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</w:t>
            </w:r>
            <w:r w:rsidR="00CE36F8" w:rsidRPr="0024758E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4758E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24758E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4758E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24758E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</w:t>
            </w:r>
            <w:r w:rsidR="006609FA" w:rsidRPr="0024758E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24758E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24758E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24758E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24758E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24758E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24758E">
              <w:rPr>
                <w:rFonts w:asciiTheme="minorHAnsi" w:hAnsiTheme="minorHAnsi"/>
                <w:sz w:val="20"/>
              </w:rPr>
              <w:t>ścieżek rowerowych</w:t>
            </w:r>
            <w:r w:rsidRPr="0024758E">
              <w:rPr>
                <w:rFonts w:asciiTheme="minorHAnsi" w:hAnsiTheme="minorHAnsi"/>
                <w:sz w:val="20"/>
              </w:rPr>
              <w:t>)</w:t>
            </w:r>
          </w:p>
          <w:p w:rsidR="004F5435" w:rsidRPr="0024758E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24758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24758E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4758E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24758E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24758E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24758E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24758E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4758E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24758E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24758E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24758E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24758E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24758E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24758E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24758E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24758E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7679AE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7679AE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7679AE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7679AE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7679AE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7679AE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</w:t>
            </w:r>
            <w:r w:rsidR="00CE36F8" w:rsidRPr="007679AE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7679AE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7679AE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7679AE">
              <w:rPr>
                <w:rFonts w:asciiTheme="minorHAnsi" w:hAnsiTheme="minorHAnsi"/>
                <w:sz w:val="20"/>
              </w:rPr>
              <w:t>ciągów transportowych</w:t>
            </w:r>
            <w:r w:rsidRPr="007679AE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7679AE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7679AE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7679AE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7679AE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7679AE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7679AE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7679AE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7679AE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9F652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9F652E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9F652E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9F652E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9F652E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9F652E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9F652E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9F652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9F652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9F652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9F652E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9F652E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9F652E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9F652E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7679AE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1951BE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1951BE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1951BE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951BE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8C1CA7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1951BE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1951BE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1951BE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1951BE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1951BE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951BE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8C1CA7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7354C4">
            <w:pPr>
              <w:pStyle w:val="Nagwek2"/>
            </w:pPr>
            <w:bookmarkStart w:id="15" w:name="_Toc499645863"/>
            <w:r w:rsidRPr="007679AE"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7679AE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7679AE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7679AE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</w:t>
            </w:r>
            <w:r w:rsidRPr="007679AE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</w:t>
            </w:r>
            <w:r w:rsidRPr="007679AE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7679AE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sz w:val="20"/>
                <w:szCs w:val="20"/>
              </w:rPr>
              <w:t xml:space="preserve">Długość wybudowanej kanalizacji sanitarnej </w:t>
            </w:r>
          </w:p>
          <w:p w:rsidR="000372D0" w:rsidRPr="007679AE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sz w:val="20"/>
                <w:szCs w:val="20"/>
              </w:rPr>
              <w:t xml:space="preserve">Długość przebudowanej kanalizacji sanitarnej </w:t>
            </w:r>
          </w:p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7679AE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7679AE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7679AE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7679AE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7679AE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7679AE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7679AE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7679AE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7679AE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7679AE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7679AE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7679AE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6" w:name="_Toc499645864"/>
            <w:r w:rsidRPr="007679AE">
              <w:t>Transport</w:t>
            </w:r>
            <w:bookmarkEnd w:id="16"/>
            <w:r w:rsidRPr="007679AE"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7679AE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</w:t>
            </w:r>
            <w:r w:rsidRPr="007679AE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</w:t>
            </w:r>
            <w:r w:rsidRPr="007679AE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7679AE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Wartość docelowa będzie oszacowana</w:t>
            </w:r>
          </w:p>
          <w:p w:rsidR="000779BC" w:rsidRPr="007679AE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3F275D"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7" w:name="_Toc499645865"/>
            <w:r w:rsidRPr="007679AE"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ośrodków opieki nad osobami zależnymi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8" w:name="_Toc499645866"/>
            <w:r w:rsidRPr="007679AE"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7679AE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1B5C53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7354C4" w:rsidRDefault="00C00C18" w:rsidP="007354C4">
      <w:pPr>
        <w:pStyle w:val="Nagwek1"/>
        <w:rPr>
          <w:rFonts w:asciiTheme="minorHAnsi" w:hAnsiTheme="minorHAnsi"/>
        </w:rPr>
      </w:pPr>
      <w:r w:rsidRPr="001B5C53">
        <w:br w:type="page"/>
      </w:r>
      <w:bookmarkStart w:id="19" w:name="_Toc499645867"/>
      <w:r w:rsidR="00CA6F45" w:rsidRPr="007354C4">
        <w:rPr>
          <w:rFonts w:asciiTheme="minorHAnsi" w:hAnsiTheme="minorHAnsi"/>
        </w:rPr>
        <w:t>3. Tabela wskaźników rezultatu bezpośredniego dla EFS</w:t>
      </w:r>
      <w:bookmarkEnd w:id="19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02"/>
      </w:tblGrid>
      <w:tr w:rsidR="00CA6F45" w:rsidRPr="007679AE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  <w:t xml:space="preserve">Wskaźniki rezultatu bezpośredniego </w:t>
            </w:r>
          </w:p>
        </w:tc>
      </w:tr>
    </w:tbl>
    <w:p w:rsidR="007354C4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7679AE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7679AE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Jednostka</w:t>
            </w:r>
          </w:p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Kategoria </w:t>
            </w: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Rok </w:t>
            </w: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Źródło</w:t>
            </w:r>
          </w:p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</w:tr>
      <w:tr w:rsidR="00B80002" w:rsidRPr="007679AE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7679AE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7354C4">
            <w:pPr>
              <w:pStyle w:val="Nagwek2"/>
            </w:pPr>
            <w:bookmarkStart w:id="20" w:name="_Toc499645868"/>
            <w:r w:rsidRPr="007679AE"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7679AE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</w:t>
            </w:r>
            <w:r w:rsidR="007513A0" w:rsidRPr="007679AE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7354C4">
            <w:pPr>
              <w:pStyle w:val="Nagwek2"/>
            </w:pPr>
            <w:bookmarkStart w:id="21" w:name="_Toc499645869"/>
            <w:r w:rsidRPr="007679AE"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7679AE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</w:t>
            </w:r>
            <w:r w:rsidR="007513A0" w:rsidRPr="007679AE">
              <w:rPr>
                <w:rFonts w:asciiTheme="minorHAnsi" w:eastAsia="Calibri" w:hAnsiTheme="minorHAnsi" w:cs="Tahoma"/>
                <w:color w:val="000000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</w:t>
            </w:r>
            <w:r w:rsidR="007A48B4"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F202B2" w:rsidP="00F202B2">
            <w:pPr>
              <w:pStyle w:val="Nagwek2"/>
            </w:pPr>
            <w:bookmarkStart w:id="22" w:name="_Toc499645870"/>
            <w:r w:rsidRPr="007679AE">
              <w:t>E</w:t>
            </w:r>
            <w:r>
              <w:t>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eastAsia="Calibri" w:hAnsiTheme="minorHAnsi" w:cs="Tahoma"/>
                <w:color w:val="1F497D" w:themeColor="text2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SL 2014</w:t>
            </w:r>
          </w:p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Liczba szkó</w:t>
            </w:r>
            <w:r w:rsidR="00027009"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ł</w:t>
            </w: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eastAsia="Calibri" w:hAnsiTheme="minorHAnsi" w:cs="Tahoma"/>
                <w:color w:val="1F497D" w:themeColor="text2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spacing w:before="60" w:after="60" w:line="240" w:lineRule="auto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200F22">
            <w:pPr>
              <w:pStyle w:val="Default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11990">
              <w:rPr>
                <w:rFonts w:asciiTheme="minorHAnsi" w:hAnsiTheme="minorHAnsi"/>
                <w:color w:val="1F497D" w:themeColor="text2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C11990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C11990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7679AE" w:rsidRDefault="00F202B2" w:rsidP="007354C4">
            <w:pPr>
              <w:pStyle w:val="Nagwek2"/>
            </w:pPr>
            <w:bookmarkStart w:id="23" w:name="_Toc499645871"/>
            <w:r w:rsidRPr="007679AE"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7679AE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7354C4" w:rsidRDefault="00CA6F45" w:rsidP="007354C4">
      <w:pPr>
        <w:pStyle w:val="Nagwek1"/>
        <w:rPr>
          <w:rFonts w:asciiTheme="minorHAnsi" w:hAnsiTheme="minorHAnsi"/>
        </w:rPr>
      </w:pPr>
      <w:bookmarkStart w:id="24" w:name="_Toc499645872"/>
      <w:r w:rsidRPr="007354C4">
        <w:rPr>
          <w:rFonts w:asciiTheme="minorHAnsi" w:hAnsiTheme="minorHAnsi"/>
        </w:rPr>
        <w:t>4. Tabela wskaźników produktu dla EFS</w:t>
      </w:r>
      <w:bookmarkEnd w:id="24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471"/>
      </w:tblGrid>
      <w:tr w:rsidR="00CA6F45" w:rsidRPr="007679AE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0E2DE8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0E2DE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0E2DE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Jednostka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Kategoria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 xml:space="preserve">Wartość pośrednia 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Źródło</w:t>
            </w:r>
          </w:p>
        </w:tc>
      </w:tr>
      <w:tr w:rsidR="00F27126" w:rsidRPr="007679AE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7679AE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7354C4">
            <w:pPr>
              <w:pStyle w:val="Nagwek2"/>
            </w:pPr>
            <w:bookmarkStart w:id="25" w:name="_Toc499645873"/>
            <w:r w:rsidRPr="007679AE"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z niepełnosprawnościami objętych wsparciem w programie</w:t>
            </w:r>
            <w:r w:rsidR="007513A0"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7679AE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z niepełnosprawnościami objętych wsparciem w programie</w:t>
            </w:r>
            <w:r w:rsidR="007513A0"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7679AE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7679AE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97</w:t>
            </w:r>
            <w:r w:rsidR="00835D52"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7679AE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7679AE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7679AE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7679AE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Pr="00BE6322">
              <w:rPr>
                <w:rFonts w:asciiTheme="minorHAnsi" w:hAnsiTheme="minorHAnsi"/>
                <w:sz w:val="20"/>
              </w:rPr>
              <w:t>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7354C4">
            <w:pPr>
              <w:pStyle w:val="Nagwek2"/>
            </w:pPr>
            <w:bookmarkStart w:id="26" w:name="_Toc499645874"/>
            <w:r w:rsidRPr="007679AE"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7679AE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Pr="00BE6322">
              <w:rPr>
                <w:rFonts w:asciiTheme="minorHAnsi" w:hAnsiTheme="minorHAnsi"/>
                <w:sz w:val="20"/>
              </w:rPr>
              <w:t>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F202B2" w:rsidP="007354C4">
            <w:pPr>
              <w:pStyle w:val="Nagwek2"/>
            </w:pPr>
            <w:bookmarkStart w:id="27" w:name="_Toc499645875"/>
            <w:r w:rsidRPr="007679AE"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7679AE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Pr="00BE6322">
              <w:rPr>
                <w:rFonts w:asciiTheme="minorHAnsi" w:hAnsiTheme="minorHAnsi"/>
                <w:sz w:val="20"/>
              </w:rPr>
              <w:t>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7679AE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Pr="00BE6322">
              <w:rPr>
                <w:rFonts w:asciiTheme="minorHAnsi" w:hAnsiTheme="minorHAnsi"/>
                <w:sz w:val="20"/>
              </w:rPr>
              <w:t>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F202B2" w:rsidP="007354C4">
            <w:pPr>
              <w:pStyle w:val="Nagwek2"/>
            </w:pPr>
            <w:bookmarkStart w:id="28" w:name="_Toc499645876"/>
            <w:r w:rsidRPr="007679AE"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1B5C53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AE" w:rsidRDefault="00CF6BAE" w:rsidP="00133FE0">
      <w:pPr>
        <w:spacing w:line="240" w:lineRule="auto"/>
      </w:pPr>
      <w:r>
        <w:separator/>
      </w:r>
    </w:p>
  </w:endnote>
  <w:endnote w:type="continuationSeparator" w:id="0">
    <w:p w:rsidR="00CF6BAE" w:rsidRDefault="00CF6BAE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AF7A18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7E3C66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AE" w:rsidRDefault="00CF6BAE" w:rsidP="00133FE0">
      <w:pPr>
        <w:spacing w:line="240" w:lineRule="auto"/>
      </w:pPr>
      <w:r>
        <w:separator/>
      </w:r>
    </w:p>
  </w:footnote>
  <w:footnote w:type="continuationSeparator" w:id="0">
    <w:p w:rsidR="00CF6BAE" w:rsidRDefault="00CF6BAE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Kowalczyk">
    <w15:presenceInfo w15:providerId="AD" w15:userId="S-1-5-21-993268263-2097026863-2477634896-54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564AB"/>
    <w:rsid w:val="00361B59"/>
    <w:rsid w:val="00361CCA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1F95"/>
    <w:rsid w:val="004D2CAB"/>
    <w:rsid w:val="004D73B8"/>
    <w:rsid w:val="004E3C6E"/>
    <w:rsid w:val="004E446E"/>
    <w:rsid w:val="004E4C5E"/>
    <w:rsid w:val="004E6AC9"/>
    <w:rsid w:val="004F4EE7"/>
    <w:rsid w:val="004F5435"/>
    <w:rsid w:val="004F55A5"/>
    <w:rsid w:val="004F7732"/>
    <w:rsid w:val="00500919"/>
    <w:rsid w:val="00501F03"/>
    <w:rsid w:val="005038B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CD6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D05B5"/>
    <w:rsid w:val="00BD0AC9"/>
    <w:rsid w:val="00BD3949"/>
    <w:rsid w:val="00BD3FEB"/>
    <w:rsid w:val="00BD6F0E"/>
    <w:rsid w:val="00BE09F2"/>
    <w:rsid w:val="00BE1895"/>
    <w:rsid w:val="00BE3EE6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90ED3"/>
    <w:rsid w:val="00C9498B"/>
    <w:rsid w:val="00C95EB3"/>
    <w:rsid w:val="00CA0571"/>
    <w:rsid w:val="00CA40EA"/>
    <w:rsid w:val="00CA4ECD"/>
    <w:rsid w:val="00CA6F45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5530"/>
    <w:rsid w:val="00EC63B9"/>
    <w:rsid w:val="00ED1FC1"/>
    <w:rsid w:val="00EE4E44"/>
    <w:rsid w:val="00EF1C4A"/>
    <w:rsid w:val="00EF56FF"/>
    <w:rsid w:val="00F02B87"/>
    <w:rsid w:val="00F04975"/>
    <w:rsid w:val="00F1022E"/>
    <w:rsid w:val="00F11A5B"/>
    <w:rsid w:val="00F12777"/>
    <w:rsid w:val="00F16CA7"/>
    <w:rsid w:val="00F202B2"/>
    <w:rsid w:val="00F23638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D61B8"/>
    <w:rsid w:val="00FD75C8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625E0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="Times New Roman"/>
      <w:b/>
      <w:noProof/>
      <w:sz w:val="16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7534-290A-4127-92A8-AC21E933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70</Pages>
  <Words>10641</Words>
  <Characters>63847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5</cp:revision>
  <cp:lastPrinted>2017-11-28T14:12:00Z</cp:lastPrinted>
  <dcterms:created xsi:type="dcterms:W3CDTF">2017-11-28T13:02:00Z</dcterms:created>
  <dcterms:modified xsi:type="dcterms:W3CDTF">2017-12-13T10:44:00Z</dcterms:modified>
</cp:coreProperties>
</file>