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39D9AC93"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401430" w:rsidRPr="003A7AE2">
        <w:rPr>
          <w:rFonts w:asciiTheme="minorHAnsi" w:hAnsiTheme="minorHAnsi" w:cs="Calibri"/>
          <w:b/>
          <w:szCs w:val="22"/>
        </w:rPr>
        <w:t>5.</w:t>
      </w:r>
      <w:r w:rsidR="00D9145D">
        <w:rPr>
          <w:rFonts w:asciiTheme="minorHAnsi" w:hAnsiTheme="minorHAnsi" w:cs="Calibri"/>
          <w:b/>
          <w:szCs w:val="22"/>
        </w:rPr>
        <w:t>2</w:t>
      </w:r>
      <w:r w:rsidR="000E5C5E" w:rsidRPr="003A7AE2">
        <w:rPr>
          <w:rFonts w:asciiTheme="minorHAnsi" w:hAnsiTheme="minorHAnsi" w:cs="Calibri"/>
          <w:b/>
          <w:szCs w:val="22"/>
        </w:rPr>
        <w:t xml:space="preserve"> </w:t>
      </w:r>
      <w:r w:rsidR="00D9145D">
        <w:rPr>
          <w:rFonts w:asciiTheme="minorHAnsi" w:hAnsiTheme="minorHAnsi" w:cs="Calibri"/>
          <w:b/>
          <w:color w:val="000000"/>
          <w:szCs w:val="22"/>
        </w:rPr>
        <w:t>System transportu kolejowego</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2E0F943E" w14:textId="77777777" w:rsidR="00000BE9" w:rsidRPr="00000BE9" w:rsidRDefault="00000BE9" w:rsidP="00000BE9">
      <w:pPr>
        <w:autoSpaceDE w:val="0"/>
        <w:autoSpaceDN w:val="0"/>
        <w:adjustRightInd w:val="0"/>
        <w:spacing w:before="0" w:after="120" w:line="240" w:lineRule="auto"/>
        <w:jc w:val="both"/>
        <w:rPr>
          <w:rFonts w:asciiTheme="minorHAnsi" w:hAnsiTheme="minorHAnsi"/>
          <w:szCs w:val="22"/>
        </w:rPr>
      </w:pPr>
      <w:r w:rsidRPr="00000BE9">
        <w:rPr>
          <w:rFonts w:asciiTheme="minorHAnsi" w:hAnsiTheme="minorHAnsi"/>
          <w:szCs w:val="22"/>
        </w:rPr>
        <w:t xml:space="preserve">W ramach Działania 5.2 określono poniższe wskaźniki </w:t>
      </w:r>
      <w:r w:rsidRPr="00000BE9">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1"/>
        <w:gridCol w:w="784"/>
        <w:gridCol w:w="4741"/>
        <w:gridCol w:w="1486"/>
      </w:tblGrid>
      <w:tr w:rsidR="00000BE9" w:rsidRPr="00000BE9" w14:paraId="71068CCB" w14:textId="77777777" w:rsidTr="00000BE9">
        <w:trPr>
          <w:cantSplit/>
          <w:trHeight w:val="20"/>
          <w:jc w:val="center"/>
        </w:trPr>
        <w:tc>
          <w:tcPr>
            <w:tcW w:w="1127" w:type="pct"/>
            <w:shd w:val="clear" w:color="auto" w:fill="auto"/>
          </w:tcPr>
          <w:p w14:paraId="26B6CED0"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sz w:val="18"/>
                <w:szCs w:val="18"/>
              </w:rPr>
              <w:t>Nazwa wskaźnika produktu</w:t>
            </w:r>
          </w:p>
        </w:tc>
        <w:tc>
          <w:tcPr>
            <w:tcW w:w="433" w:type="pct"/>
          </w:tcPr>
          <w:p w14:paraId="4E28D58E"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Jednostka miary</w:t>
            </w:r>
          </w:p>
        </w:tc>
        <w:tc>
          <w:tcPr>
            <w:tcW w:w="2619" w:type="pct"/>
            <w:shd w:val="clear" w:color="auto" w:fill="auto"/>
          </w:tcPr>
          <w:p w14:paraId="0F959A2E" w14:textId="77777777" w:rsidR="00000BE9" w:rsidRPr="00000BE9" w:rsidRDefault="00000BE9" w:rsidP="00000BE9">
            <w:pPr>
              <w:autoSpaceDE w:val="0"/>
              <w:autoSpaceDN w:val="0"/>
              <w:adjustRightInd w:val="0"/>
              <w:spacing w:before="0" w:after="120" w:line="240" w:lineRule="auto"/>
              <w:jc w:val="both"/>
              <w:rPr>
                <w:rFonts w:asciiTheme="minorHAnsi" w:hAnsiTheme="minorHAnsi"/>
                <w:b/>
                <w:sz w:val="18"/>
                <w:szCs w:val="18"/>
              </w:rPr>
            </w:pPr>
            <w:r w:rsidRPr="00000BE9">
              <w:rPr>
                <w:rFonts w:asciiTheme="minorHAnsi" w:hAnsiTheme="minorHAnsi"/>
                <w:b/>
                <w:bCs/>
                <w:sz w:val="18"/>
                <w:szCs w:val="18"/>
              </w:rPr>
              <w:t>Definicja wskaźnika</w:t>
            </w:r>
          </w:p>
        </w:tc>
        <w:tc>
          <w:tcPr>
            <w:tcW w:w="821" w:type="pct"/>
          </w:tcPr>
          <w:p w14:paraId="79489845" w14:textId="77777777" w:rsidR="00000BE9" w:rsidRPr="00000BE9" w:rsidRDefault="00000BE9" w:rsidP="00000BE9">
            <w:pPr>
              <w:autoSpaceDE w:val="0"/>
              <w:autoSpaceDN w:val="0"/>
              <w:adjustRightInd w:val="0"/>
              <w:spacing w:before="0" w:after="120" w:line="240" w:lineRule="auto"/>
              <w:jc w:val="both"/>
              <w:rPr>
                <w:rFonts w:asciiTheme="minorHAnsi" w:hAnsiTheme="minorHAnsi"/>
                <w:b/>
                <w:bCs/>
                <w:sz w:val="18"/>
                <w:szCs w:val="18"/>
              </w:rPr>
            </w:pPr>
            <w:r w:rsidRPr="00000BE9">
              <w:rPr>
                <w:rFonts w:asciiTheme="minorHAnsi" w:hAnsiTheme="minorHAnsi"/>
                <w:b/>
                <w:bCs/>
                <w:sz w:val="18"/>
                <w:szCs w:val="18"/>
              </w:rPr>
              <w:t>Rodzaj dokumentu, w którym określono wskaźnik</w:t>
            </w:r>
          </w:p>
        </w:tc>
      </w:tr>
      <w:tr w:rsidR="00000BE9" w:rsidRPr="00000BE9" w14:paraId="7CFC118B" w14:textId="77777777" w:rsidTr="00000BE9">
        <w:trPr>
          <w:cantSplit/>
          <w:trHeight w:val="20"/>
          <w:jc w:val="center"/>
        </w:trPr>
        <w:tc>
          <w:tcPr>
            <w:tcW w:w="1127" w:type="pct"/>
            <w:shd w:val="clear" w:color="auto" w:fill="auto"/>
            <w:vAlign w:val="center"/>
          </w:tcPr>
          <w:p w14:paraId="2354402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Całkowita długość przebudowanych lub zmodernizowanych linii kolejowych</w:t>
            </w:r>
          </w:p>
        </w:tc>
        <w:tc>
          <w:tcPr>
            <w:tcW w:w="433" w:type="pct"/>
            <w:vAlign w:val="center"/>
          </w:tcPr>
          <w:p w14:paraId="722E147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km</w:t>
            </w:r>
          </w:p>
        </w:tc>
        <w:tc>
          <w:tcPr>
            <w:tcW w:w="2619" w:type="pct"/>
            <w:shd w:val="clear" w:color="auto" w:fill="auto"/>
          </w:tcPr>
          <w:p w14:paraId="6CD44CE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Tłumaczenie robocze:</w:t>
            </w:r>
          </w:p>
          <w:p w14:paraId="2797504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72F062BA"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Wybrane podejście polega na wykluczeniu instalacji systemów sygnalizacyjnych, które zniekształcałyby wartości wskaźnika. Systemy sygnalizacji powinny być traktowane w oddzielnym (specyficznym dla programu) wskaźniku.</w:t>
            </w:r>
          </w:p>
          <w:p w14:paraId="0B0861B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5B99BC4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Metoda pomiaru:</w:t>
            </w:r>
          </w:p>
          <w:p w14:paraId="33D8502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Łączna długość wszystkich przebudowanych lub zmodernizowanych odcinków linii kolejowych. </w:t>
            </w:r>
          </w:p>
          <w:p w14:paraId="0C888F2A"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zrehabilitowanych linii kolejowych.</w:t>
            </w:r>
          </w:p>
          <w:p w14:paraId="6DE8F64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1D3DE31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proofErr w:type="spellStart"/>
            <w:r w:rsidRPr="00000BE9">
              <w:rPr>
                <w:rFonts w:asciiTheme="minorHAnsi" w:hAnsiTheme="minorHAnsi"/>
                <w:sz w:val="18"/>
                <w:szCs w:val="18"/>
                <w:lang w:val="en-US"/>
              </w:rPr>
              <w:t>Definicja</w:t>
            </w:r>
            <w:proofErr w:type="spellEnd"/>
            <w:r w:rsidRPr="00000BE9">
              <w:rPr>
                <w:rFonts w:asciiTheme="minorHAnsi" w:hAnsiTheme="minorHAnsi"/>
                <w:sz w:val="18"/>
                <w:szCs w:val="18"/>
                <w:lang w:val="en-US"/>
              </w:rPr>
              <w:t>:</w:t>
            </w:r>
          </w:p>
          <w:p w14:paraId="6A3D60E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000BE9">
              <w:rPr>
                <w:rFonts w:asciiTheme="minorHAnsi" w:hAnsiTheme="minorHAnsi"/>
                <w:sz w:val="18"/>
                <w:szCs w:val="18"/>
                <w:lang w:val="en-US"/>
              </w:rPr>
              <w:t>signalling</w:t>
            </w:r>
            <w:proofErr w:type="spellEnd"/>
            <w:r w:rsidRPr="00000BE9">
              <w:rPr>
                <w:rFonts w:asciiTheme="minorHAnsi" w:hAnsiTheme="minorHAnsi"/>
                <w:sz w:val="18"/>
                <w:szCs w:val="18"/>
                <w:lang w:val="en-US"/>
              </w:rPr>
              <w:t xml:space="preserve"> systems (incl. ensuring ERTMS (European Rail Traffic Management System) compatibility).</w:t>
            </w:r>
          </w:p>
          <w:p w14:paraId="4FBAD083"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 xml:space="preserve">The approach chosen here is to exclude </w:t>
            </w:r>
            <w:proofErr w:type="spellStart"/>
            <w:r w:rsidRPr="00000BE9">
              <w:rPr>
                <w:rFonts w:asciiTheme="minorHAnsi" w:hAnsiTheme="minorHAnsi"/>
                <w:sz w:val="18"/>
                <w:szCs w:val="18"/>
                <w:lang w:val="en-US"/>
              </w:rPr>
              <w:t>signalling</w:t>
            </w:r>
            <w:proofErr w:type="spellEnd"/>
            <w:r w:rsidRPr="00000BE9">
              <w:rPr>
                <w:rFonts w:asciiTheme="minorHAnsi" w:hAnsiTheme="minorHAnsi"/>
                <w:sz w:val="18"/>
                <w:szCs w:val="18"/>
                <w:lang w:val="en-US"/>
              </w:rPr>
              <w:t xml:space="preserve"> systems as they distort the values. </w:t>
            </w:r>
            <w:proofErr w:type="spellStart"/>
            <w:r w:rsidRPr="00000BE9">
              <w:rPr>
                <w:rFonts w:asciiTheme="minorHAnsi" w:hAnsiTheme="minorHAnsi"/>
                <w:sz w:val="18"/>
                <w:szCs w:val="18"/>
                <w:lang w:val="en-US"/>
              </w:rPr>
              <w:t>Signalling</w:t>
            </w:r>
            <w:proofErr w:type="spellEnd"/>
            <w:r w:rsidRPr="00000BE9">
              <w:rPr>
                <w:rFonts w:asciiTheme="minorHAnsi" w:hAnsiTheme="minorHAnsi"/>
                <w:sz w:val="18"/>
                <w:szCs w:val="18"/>
                <w:lang w:val="en-US"/>
              </w:rPr>
              <w:t xml:space="preserve"> systems should be treated in a separate (</w:t>
            </w:r>
            <w:proofErr w:type="spellStart"/>
            <w:r w:rsidRPr="00000BE9">
              <w:rPr>
                <w:rFonts w:asciiTheme="minorHAnsi" w:hAnsiTheme="minorHAnsi"/>
                <w:sz w:val="18"/>
                <w:szCs w:val="18"/>
                <w:lang w:val="en-US"/>
              </w:rPr>
              <w:t>programme</w:t>
            </w:r>
            <w:proofErr w:type="spellEnd"/>
            <w:r w:rsidRPr="00000BE9">
              <w:rPr>
                <w:rFonts w:asciiTheme="minorHAnsi" w:hAnsiTheme="minorHAnsi"/>
                <w:sz w:val="18"/>
                <w:szCs w:val="18"/>
                <w:lang w:val="en-US"/>
              </w:rPr>
              <w:t>-specific) indicator.</w:t>
            </w:r>
          </w:p>
        </w:tc>
        <w:tc>
          <w:tcPr>
            <w:tcW w:w="821" w:type="pct"/>
          </w:tcPr>
          <w:p w14:paraId="4CDE089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lang w:val="en-US"/>
              </w:rPr>
            </w:pPr>
            <w:r w:rsidRPr="00000BE9">
              <w:rPr>
                <w:rFonts w:asciiTheme="minorHAnsi" w:hAnsiTheme="minorHAnsi"/>
                <w:sz w:val="18"/>
                <w:szCs w:val="18"/>
                <w:lang w:val="en-US"/>
              </w:rPr>
              <w:t>SZOOP</w:t>
            </w:r>
          </w:p>
        </w:tc>
      </w:tr>
      <w:tr w:rsidR="00000BE9" w:rsidRPr="00000BE9" w14:paraId="68478BFF" w14:textId="77777777" w:rsidTr="00000BE9">
        <w:trPr>
          <w:cantSplit/>
          <w:trHeight w:val="20"/>
          <w:jc w:val="center"/>
        </w:trPr>
        <w:tc>
          <w:tcPr>
            <w:tcW w:w="1127" w:type="pct"/>
            <w:shd w:val="clear" w:color="auto" w:fill="auto"/>
            <w:vAlign w:val="center"/>
          </w:tcPr>
          <w:p w14:paraId="6D3A046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Liczba wspartych osobowych przystanków kolejowych</w:t>
            </w:r>
          </w:p>
        </w:tc>
        <w:tc>
          <w:tcPr>
            <w:tcW w:w="433" w:type="pct"/>
            <w:vAlign w:val="center"/>
          </w:tcPr>
          <w:p w14:paraId="65C77D1E"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3117CD6D"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Definicja IZ RPO WD:</w:t>
            </w:r>
          </w:p>
          <w:p w14:paraId="7930AD27"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5B6FBA3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SZOOP</w:t>
            </w:r>
          </w:p>
        </w:tc>
      </w:tr>
      <w:tr w:rsidR="00000BE9" w:rsidRPr="00000BE9" w14:paraId="1F3C2CB3" w14:textId="77777777" w:rsidTr="00000BE9">
        <w:trPr>
          <w:trHeight w:val="20"/>
          <w:jc w:val="center"/>
        </w:trPr>
        <w:tc>
          <w:tcPr>
            <w:tcW w:w="1127" w:type="pct"/>
            <w:shd w:val="clear" w:color="auto" w:fill="auto"/>
            <w:vAlign w:val="center"/>
          </w:tcPr>
          <w:p w14:paraId="1BD2A26F"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obiektów dostosowanych do potrzeb osób z niepełnosprawnościami</w:t>
            </w:r>
          </w:p>
        </w:tc>
        <w:tc>
          <w:tcPr>
            <w:tcW w:w="433" w:type="pct"/>
            <w:vAlign w:val="center"/>
          </w:tcPr>
          <w:p w14:paraId="7AAE4C45"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0BB0EC01"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odnosi się do liczby obiektów, które zaopatrzono w specjalne podjazdy, windy, urządzenia głośnomówiące, bądź inne udogodnienia (tj. usunięcie barier w dostępie, </w:t>
            </w:r>
            <w:r w:rsidRPr="00000BE9">
              <w:rPr>
                <w:rFonts w:asciiTheme="minorHAnsi" w:hAnsiTheme="minorHAnsi"/>
                <w:sz w:val="18"/>
                <w:szCs w:val="18"/>
              </w:rPr>
              <w:br/>
              <w:t>w szczególności barier architektonicznych) ułatwiające dostęp do tych obiektów i poruszanie się po nich osobom niepełnosprawnym ruchowo czy sensorycznie.</w:t>
            </w:r>
          </w:p>
          <w:p w14:paraId="1D5A9C6F"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Jako obiekty budowlane należy rozumieć konstrukcje połączone z gruntem w sposób trwały, wykonane z materiałów budowlanych i elementów składowych, będące wynikiem prac budowlanych (wg. def. PKOB).</w:t>
            </w:r>
          </w:p>
          <w:p w14:paraId="38301F6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Należy podać liczbę obiektów, a nie sprzętów, urządzeń itp., w które obiekty zaopatrzono.</w:t>
            </w:r>
          </w:p>
          <w:p w14:paraId="2931541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Jeśli instytucja, zakład itp. składa się z kilku obiektów, należy zliczyć wszystkie, które dostosowano do potrzeb osób niepełnosprawnych.</w:t>
            </w:r>
          </w:p>
        </w:tc>
        <w:tc>
          <w:tcPr>
            <w:tcW w:w="821" w:type="pct"/>
          </w:tcPr>
          <w:p w14:paraId="6472B2A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27A3ACEC" w14:textId="77777777" w:rsidTr="00000BE9">
        <w:trPr>
          <w:cantSplit/>
          <w:trHeight w:val="20"/>
          <w:jc w:val="center"/>
        </w:trPr>
        <w:tc>
          <w:tcPr>
            <w:tcW w:w="1127" w:type="pct"/>
            <w:shd w:val="clear" w:color="auto" w:fill="auto"/>
          </w:tcPr>
          <w:p w14:paraId="628B90D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podmiotów wykorzystujących technologie informacyjno-komunikacyjne (TIK)</w:t>
            </w:r>
          </w:p>
        </w:tc>
        <w:tc>
          <w:tcPr>
            <w:tcW w:w="433" w:type="pct"/>
          </w:tcPr>
          <w:p w14:paraId="1F3F67D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szt.</w:t>
            </w:r>
          </w:p>
        </w:tc>
        <w:tc>
          <w:tcPr>
            <w:tcW w:w="2619" w:type="pct"/>
            <w:shd w:val="clear" w:color="auto" w:fill="auto"/>
          </w:tcPr>
          <w:p w14:paraId="5E7F424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505C707E"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12FBF45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p>
          <w:p w14:paraId="490D22F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r w:rsidR="00000BE9" w:rsidRPr="00000BE9" w14:paraId="119BFA4B" w14:textId="77777777" w:rsidTr="00000BE9">
        <w:trPr>
          <w:trHeight w:val="20"/>
          <w:jc w:val="center"/>
        </w:trPr>
        <w:tc>
          <w:tcPr>
            <w:tcW w:w="1127" w:type="pct"/>
            <w:shd w:val="clear" w:color="auto" w:fill="auto"/>
          </w:tcPr>
          <w:p w14:paraId="4D2D9E9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Liczba osób objętych szkoleniami / </w:t>
            </w:r>
            <w:r w:rsidRPr="00000BE9">
              <w:rPr>
                <w:rFonts w:asciiTheme="minorHAnsi" w:hAnsiTheme="minorHAnsi"/>
                <w:sz w:val="18"/>
                <w:szCs w:val="18"/>
              </w:rPr>
              <w:lastRenderedPageBreak/>
              <w:t>doradztwem w zakresie kompetencji cyfrowych O/K/M</w:t>
            </w:r>
          </w:p>
        </w:tc>
        <w:tc>
          <w:tcPr>
            <w:tcW w:w="433" w:type="pct"/>
          </w:tcPr>
          <w:p w14:paraId="6A2A0448"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os.</w:t>
            </w:r>
          </w:p>
        </w:tc>
        <w:tc>
          <w:tcPr>
            <w:tcW w:w="2619" w:type="pct"/>
            <w:shd w:val="clear" w:color="auto" w:fill="auto"/>
          </w:tcPr>
          <w:p w14:paraId="68F340E7"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Wskaźnik mierzy liczbę osób objętych szkoleniami / doradztwem w zakresie nabywania / doskonalenia </w:t>
            </w:r>
            <w:r w:rsidRPr="00000BE9">
              <w:rPr>
                <w:rFonts w:asciiTheme="minorHAnsi" w:hAnsiTheme="minorHAnsi"/>
                <w:sz w:val="18"/>
                <w:szCs w:val="18"/>
              </w:rPr>
              <w:lastRenderedPageBreak/>
              <w:t xml:space="preserve">umiejętności warunkujących efektywne korzystanie z mediów elektronicznych tj. m.in. korzystania z komputera, różnych rodzajów oprogramowania, </w:t>
            </w:r>
            <w:proofErr w:type="spellStart"/>
            <w:r w:rsidRPr="00000BE9">
              <w:rPr>
                <w:rFonts w:asciiTheme="minorHAnsi" w:hAnsiTheme="minorHAnsi"/>
                <w:sz w:val="18"/>
                <w:szCs w:val="18"/>
              </w:rPr>
              <w:t>internetu</w:t>
            </w:r>
            <w:proofErr w:type="spellEnd"/>
            <w:r w:rsidRPr="00000BE9">
              <w:rPr>
                <w:rFonts w:asciiTheme="minorHAnsi" w:hAnsiTheme="minorHAnsi"/>
                <w:sz w:val="18"/>
                <w:szCs w:val="18"/>
              </w:rPr>
              <w:t xml:space="preserve"> oraz kompetencji ściśle informatycznych (np. programowanie, zarządzanie bazami danych, administracja sieciami, administracja witrynami internetowymi). </w:t>
            </w:r>
          </w:p>
          <w:p w14:paraId="570DDCB2"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000BE9">
              <w:rPr>
                <w:rFonts w:asciiTheme="minorHAnsi" w:hAnsiTheme="minorHAnsi"/>
                <w:sz w:val="18"/>
                <w:szCs w:val="18"/>
              </w:rPr>
              <w:t>financingu</w:t>
            </w:r>
            <w:proofErr w:type="spellEnd"/>
            <w:r w:rsidRPr="00000BE9">
              <w:rPr>
                <w:rFonts w:asciiTheme="minorHAnsi" w:hAnsiTheme="minorHAnsi"/>
                <w:sz w:val="18"/>
                <w:szCs w:val="18"/>
              </w:rPr>
              <w:t xml:space="preserve"> RPO dotyczących e-usług publicznych, ale również przy okazji wdrażania inteligentnych systemów transportowych.</w:t>
            </w:r>
          </w:p>
        </w:tc>
        <w:tc>
          <w:tcPr>
            <w:tcW w:w="821" w:type="pct"/>
          </w:tcPr>
          <w:p w14:paraId="49D87F6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lastRenderedPageBreak/>
              <w:t>horyzontalny</w:t>
            </w:r>
          </w:p>
        </w:tc>
      </w:tr>
      <w:tr w:rsidR="00000BE9" w:rsidRPr="00000BE9" w14:paraId="4C0B04C8" w14:textId="77777777" w:rsidTr="00000BE9">
        <w:trPr>
          <w:cantSplit/>
          <w:trHeight w:val="20"/>
          <w:jc w:val="center"/>
        </w:trPr>
        <w:tc>
          <w:tcPr>
            <w:tcW w:w="1127" w:type="pct"/>
            <w:shd w:val="clear" w:color="auto" w:fill="auto"/>
          </w:tcPr>
          <w:p w14:paraId="27DDD65B"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Liczba projektów, w których sfinansowano koszty racjonalnych usprawnień dla osób z niepełnosprawnościami</w:t>
            </w:r>
          </w:p>
        </w:tc>
        <w:tc>
          <w:tcPr>
            <w:tcW w:w="433" w:type="pct"/>
          </w:tcPr>
          <w:p w14:paraId="04752300"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szt. </w:t>
            </w:r>
          </w:p>
        </w:tc>
        <w:tc>
          <w:tcPr>
            <w:tcW w:w="2619" w:type="pct"/>
            <w:shd w:val="clear" w:color="auto" w:fill="auto"/>
          </w:tcPr>
          <w:p w14:paraId="1CCC647C"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Racjonalne usprawnienie oznacza konieczne </w:t>
            </w:r>
            <w:r w:rsidRPr="00000BE9">
              <w:rPr>
                <w:rFonts w:asciiTheme="minorHAnsi" w:hAnsiTheme="minorHAnsi"/>
                <w:sz w:val="18"/>
                <w:szCs w:val="18"/>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 xml:space="preserve">Definicja na podstawie </w:t>
            </w:r>
            <w:r w:rsidRPr="00000BE9">
              <w:rPr>
                <w:rFonts w:asciiTheme="minorHAnsi" w:hAnsiTheme="minorHAnsi"/>
                <w:i/>
                <w:iCs/>
                <w:sz w:val="18"/>
                <w:szCs w:val="18"/>
              </w:rPr>
              <w:t xml:space="preserve">Wytycznych w zakresie realizacji zasady równości szans </w:t>
            </w:r>
            <w:r w:rsidRPr="00000BE9">
              <w:rPr>
                <w:rFonts w:asciiTheme="minorHAnsi" w:hAnsiTheme="minorHAnsi"/>
                <w:i/>
                <w:iCs/>
                <w:sz w:val="18"/>
                <w:szCs w:val="18"/>
              </w:rPr>
              <w:br/>
              <w:t xml:space="preserve">i niedyskryminacji, w tym dostępności dla osób </w:t>
            </w:r>
            <w:r w:rsidRPr="00000BE9">
              <w:rPr>
                <w:rFonts w:asciiTheme="minorHAnsi" w:hAnsiTheme="minorHAnsi"/>
                <w:i/>
                <w:iCs/>
                <w:sz w:val="18"/>
                <w:szCs w:val="18"/>
              </w:rPr>
              <w:br/>
              <w:t>z niepełnosprawnościami oraz równości szans kobiet i mężczyzn w ramach funduszy unijnych na lata 2014-2020</w:t>
            </w:r>
            <w:r w:rsidRPr="00000BE9">
              <w:rPr>
                <w:rFonts w:asciiTheme="minorHAnsi" w:hAnsiTheme="minorHAnsi"/>
                <w:sz w:val="18"/>
                <w:szCs w:val="18"/>
              </w:rPr>
              <w:t>.</w:t>
            </w:r>
          </w:p>
        </w:tc>
        <w:tc>
          <w:tcPr>
            <w:tcW w:w="821" w:type="pct"/>
          </w:tcPr>
          <w:p w14:paraId="0C0F8FC4" w14:textId="77777777" w:rsidR="00000BE9" w:rsidRPr="00000BE9" w:rsidRDefault="00000BE9" w:rsidP="00000BE9">
            <w:pPr>
              <w:autoSpaceDE w:val="0"/>
              <w:autoSpaceDN w:val="0"/>
              <w:adjustRightInd w:val="0"/>
              <w:spacing w:before="0" w:after="120" w:line="240" w:lineRule="auto"/>
              <w:jc w:val="both"/>
              <w:rPr>
                <w:rFonts w:asciiTheme="minorHAnsi" w:hAnsiTheme="minorHAnsi"/>
                <w:sz w:val="18"/>
                <w:szCs w:val="18"/>
              </w:rPr>
            </w:pPr>
            <w:r w:rsidRPr="00000BE9">
              <w:rPr>
                <w:rFonts w:asciiTheme="minorHAnsi" w:hAnsiTheme="minorHAnsi"/>
                <w:sz w:val="18"/>
                <w:szCs w:val="18"/>
              </w:rPr>
              <w:t>horyzontalny</w:t>
            </w:r>
          </w:p>
        </w:tc>
      </w:tr>
    </w:tbl>
    <w:p w14:paraId="7B778909" w14:textId="77777777" w:rsidR="00000BE9" w:rsidRPr="003A7AE2" w:rsidRDefault="00000BE9"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783A5F0A" w14:textId="24AD6CC6" w:rsidR="006069D8" w:rsidRDefault="00000BE9" w:rsidP="006069D8">
      <w:pPr>
        <w:autoSpaceDE w:val="0"/>
        <w:autoSpaceDN w:val="0"/>
        <w:adjustRightInd w:val="0"/>
        <w:spacing w:before="120" w:after="120" w:line="240" w:lineRule="auto"/>
        <w:jc w:val="both"/>
        <w:rPr>
          <w:rFonts w:asciiTheme="minorHAnsi" w:hAnsiTheme="minorHAnsi"/>
          <w:szCs w:val="22"/>
        </w:rPr>
      </w:pPr>
      <w:r w:rsidRPr="00000BE9">
        <w:rPr>
          <w:rFonts w:asciiTheme="minorHAnsi" w:hAnsiTheme="minorHAnsi"/>
          <w:szCs w:val="22"/>
        </w:rPr>
        <w:t>W ramach Działania 5.2 nie planuje się wskaźników o charakterze rezultatu bezpośredniego dotyczących bezpośrednio przedmiotu projektu. Mogą jednak znaleźć zastosowanie poniższe wskaźniki horyzontalne:</w:t>
      </w:r>
    </w:p>
    <w:p w14:paraId="43EFBE0B" w14:textId="60964A3A" w:rsidR="00890482" w:rsidRDefault="00890482" w:rsidP="006069D8">
      <w:pPr>
        <w:autoSpaceDE w:val="0"/>
        <w:autoSpaceDN w:val="0"/>
        <w:adjustRightInd w:val="0"/>
        <w:spacing w:before="120" w:after="120" w:line="240" w:lineRule="auto"/>
        <w:jc w:val="both"/>
        <w:rPr>
          <w:rFonts w:asciiTheme="minorHAnsi" w:hAnsiTheme="minorHAnsi"/>
          <w:szCs w:val="22"/>
        </w:rPr>
      </w:pPr>
    </w:p>
    <w:p w14:paraId="00AA7B60" w14:textId="45BA1C47" w:rsidR="00890482" w:rsidRDefault="00890482" w:rsidP="006069D8">
      <w:pPr>
        <w:autoSpaceDE w:val="0"/>
        <w:autoSpaceDN w:val="0"/>
        <w:adjustRightInd w:val="0"/>
        <w:spacing w:before="120" w:after="120" w:line="240" w:lineRule="auto"/>
        <w:jc w:val="both"/>
        <w:rPr>
          <w:rFonts w:asciiTheme="minorHAnsi" w:hAnsiTheme="minorHAnsi"/>
          <w:szCs w:val="22"/>
        </w:rPr>
      </w:pPr>
    </w:p>
    <w:p w14:paraId="0FDBB9F8" w14:textId="374B700F" w:rsidR="00890482" w:rsidRDefault="00890482" w:rsidP="006069D8">
      <w:pPr>
        <w:autoSpaceDE w:val="0"/>
        <w:autoSpaceDN w:val="0"/>
        <w:adjustRightInd w:val="0"/>
        <w:spacing w:before="120" w:after="120" w:line="240" w:lineRule="auto"/>
        <w:jc w:val="both"/>
        <w:rPr>
          <w:rFonts w:asciiTheme="minorHAnsi" w:hAnsiTheme="minorHAnsi"/>
          <w:szCs w:val="22"/>
        </w:rPr>
      </w:pPr>
    </w:p>
    <w:p w14:paraId="6416C192" w14:textId="02176825" w:rsidR="00890482" w:rsidRDefault="00890482" w:rsidP="006069D8">
      <w:pPr>
        <w:autoSpaceDE w:val="0"/>
        <w:autoSpaceDN w:val="0"/>
        <w:adjustRightInd w:val="0"/>
        <w:spacing w:before="120" w:after="120" w:line="240" w:lineRule="auto"/>
        <w:jc w:val="both"/>
        <w:rPr>
          <w:rFonts w:asciiTheme="minorHAnsi" w:hAnsiTheme="minorHAnsi"/>
          <w:szCs w:val="22"/>
        </w:rPr>
      </w:pPr>
    </w:p>
    <w:p w14:paraId="57030B56" w14:textId="77777777" w:rsidR="00890482" w:rsidRDefault="00890482"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3A7AE2" w:rsidRPr="00890482" w14:paraId="3FE098FD" w14:textId="77777777" w:rsidTr="00CE32DE">
        <w:trPr>
          <w:trHeight w:val="20"/>
          <w:jc w:val="center"/>
        </w:trPr>
        <w:tc>
          <w:tcPr>
            <w:tcW w:w="1189" w:type="pct"/>
            <w:shd w:val="clear" w:color="auto" w:fill="auto"/>
            <w:vAlign w:val="center"/>
          </w:tcPr>
          <w:p w14:paraId="725D0BAD" w14:textId="77777777" w:rsidR="006069D8" w:rsidRPr="00890482" w:rsidRDefault="006069D8" w:rsidP="00CE32DE">
            <w:pPr>
              <w:spacing w:before="0" w:line="240" w:lineRule="auto"/>
              <w:jc w:val="center"/>
              <w:rPr>
                <w:rFonts w:asciiTheme="minorHAnsi" w:hAnsiTheme="minorHAnsi"/>
                <w:b/>
                <w:sz w:val="20"/>
              </w:rPr>
            </w:pPr>
            <w:r w:rsidRPr="00890482">
              <w:rPr>
                <w:rFonts w:asciiTheme="minorHAnsi" w:hAnsiTheme="minorHAnsi"/>
                <w:b/>
                <w:sz w:val="20"/>
              </w:rPr>
              <w:t>Nazwa wskaźnika rezultatu bezpośredniego</w:t>
            </w:r>
          </w:p>
        </w:tc>
        <w:tc>
          <w:tcPr>
            <w:tcW w:w="701" w:type="pct"/>
          </w:tcPr>
          <w:p w14:paraId="7695CE3A"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Jednostka miary</w:t>
            </w:r>
          </w:p>
        </w:tc>
        <w:tc>
          <w:tcPr>
            <w:tcW w:w="2061" w:type="pct"/>
            <w:shd w:val="clear" w:color="auto" w:fill="auto"/>
            <w:vAlign w:val="center"/>
          </w:tcPr>
          <w:p w14:paraId="6C1573F0" w14:textId="77777777" w:rsidR="006069D8" w:rsidRPr="00890482" w:rsidRDefault="006069D8" w:rsidP="00CE32DE">
            <w:pPr>
              <w:suppressAutoHyphens/>
              <w:spacing w:before="0" w:line="240" w:lineRule="auto"/>
              <w:jc w:val="center"/>
              <w:rPr>
                <w:rFonts w:asciiTheme="minorHAnsi" w:hAnsiTheme="minorHAnsi"/>
                <w:b/>
                <w:sz w:val="20"/>
              </w:rPr>
            </w:pPr>
            <w:r w:rsidRPr="00890482">
              <w:rPr>
                <w:rFonts w:asciiTheme="minorHAnsi" w:hAnsiTheme="minorHAnsi"/>
                <w:b/>
                <w:bCs/>
                <w:sz w:val="20"/>
              </w:rPr>
              <w:t>Definicja wskaźnika</w:t>
            </w:r>
          </w:p>
        </w:tc>
        <w:tc>
          <w:tcPr>
            <w:tcW w:w="1049" w:type="pct"/>
          </w:tcPr>
          <w:p w14:paraId="0E0DBB8C" w14:textId="77777777" w:rsidR="006069D8" w:rsidRPr="00890482" w:rsidRDefault="006069D8" w:rsidP="00CE32DE">
            <w:pPr>
              <w:suppressAutoHyphens/>
              <w:spacing w:before="0" w:line="240" w:lineRule="auto"/>
              <w:jc w:val="center"/>
              <w:rPr>
                <w:rFonts w:asciiTheme="minorHAnsi" w:hAnsiTheme="minorHAnsi"/>
                <w:b/>
                <w:bCs/>
                <w:sz w:val="20"/>
              </w:rPr>
            </w:pPr>
            <w:r w:rsidRPr="00890482">
              <w:rPr>
                <w:rFonts w:asciiTheme="minorHAnsi" w:hAnsiTheme="minorHAnsi"/>
                <w:b/>
                <w:bCs/>
                <w:sz w:val="20"/>
              </w:rPr>
              <w:t>Rodzaj dokumentu, w którym określono wskaźnik</w:t>
            </w:r>
          </w:p>
        </w:tc>
      </w:tr>
      <w:tr w:rsidR="003A7AE2" w:rsidRPr="00890482" w14:paraId="05A2C981"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5BA0BFA" w14:textId="77777777" w:rsidR="00890482" w:rsidRPr="00890482" w:rsidRDefault="00890482" w:rsidP="00890482">
            <w:pPr>
              <w:pStyle w:val="Default"/>
              <w:rPr>
                <w:rFonts w:asciiTheme="minorHAnsi" w:hAnsiTheme="minorHAnsi" w:cs="ArialNarrow"/>
              </w:rPr>
            </w:pPr>
            <w:r w:rsidRPr="00890482">
              <w:rPr>
                <w:rFonts w:asciiTheme="minorHAnsi" w:hAnsiTheme="minorHAnsi" w:cs="ArialNarrow"/>
              </w:rPr>
              <w:t>Wzrost zatrudnienia we wspieranych podmiotach (innych niż przedsiębiorstwa)</w:t>
            </w:r>
          </w:p>
          <w:p w14:paraId="0507D480" w14:textId="5D6A488B" w:rsidR="006069D8" w:rsidRPr="00890482" w:rsidRDefault="00890482" w:rsidP="00890482">
            <w:pPr>
              <w:pStyle w:val="Default"/>
              <w:rPr>
                <w:rFonts w:asciiTheme="minorHAnsi" w:hAnsiTheme="minorHAnsi" w:cs="ArialNarrow"/>
              </w:rPr>
            </w:pPr>
            <w:r w:rsidRPr="00890482">
              <w:rPr>
                <w:rFonts w:asciiTheme="minorHAnsi" w:hAnsiTheme="minorHAnsi" w:cs="ArialNarrow"/>
              </w:rPr>
              <w:t>Ogółem/Kobiety/Mężczyźni</w:t>
            </w:r>
            <w:bookmarkStart w:id="3" w:name="_GoBack"/>
            <w:bookmarkEnd w:id="3"/>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50849A23" w:rsidR="006069D8" w:rsidRPr="00890482" w:rsidRDefault="00890482"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38463C"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Nowe miejsca pracy brutto we wspartych  podmiotach (innych niż przedsiębiorstwa) wyrażone w ekwiwalencie pełnego czasu pracy (EPC). </w:t>
            </w:r>
          </w:p>
          <w:p w14:paraId="2CF64678" w14:textId="3DD2DCC1"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3FAF392B" w14:textId="636DEFE2"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4030EFE7" w14:textId="77777777" w:rsidR="00890482" w:rsidRPr="00890482" w:rsidRDefault="00890482" w:rsidP="003A178D">
            <w:pPr>
              <w:spacing w:line="240" w:lineRule="auto"/>
              <w:jc w:val="both"/>
              <w:rPr>
                <w:rFonts w:asciiTheme="minorHAnsi" w:hAnsiTheme="minorHAnsi"/>
                <w:sz w:val="20"/>
              </w:rPr>
            </w:pPr>
            <w:r w:rsidRPr="00890482">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8B98F47" w14:textId="30703D1F" w:rsidR="006069D8" w:rsidRPr="00890482" w:rsidRDefault="00890482" w:rsidP="003A178D">
            <w:pPr>
              <w:spacing w:line="240" w:lineRule="auto"/>
              <w:jc w:val="both"/>
              <w:rPr>
                <w:rFonts w:asciiTheme="minorHAnsi" w:hAnsiTheme="minorHAnsi"/>
                <w:sz w:val="20"/>
              </w:rPr>
            </w:pPr>
            <w:r w:rsidRPr="00890482">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480DD878" w:rsidR="006069D8" w:rsidRPr="00890482" w:rsidRDefault="00890482"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890482" w:rsidRDefault="006069D8" w:rsidP="00CE32DE">
            <w:pPr>
              <w:pStyle w:val="Default"/>
              <w:rPr>
                <w:rFonts w:asciiTheme="minorHAnsi" w:hAnsiTheme="minorHAnsi" w:cs="ArialNarrow"/>
              </w:rPr>
            </w:pPr>
            <w:r w:rsidRPr="00890482">
              <w:rPr>
                <w:rFonts w:asciiTheme="minorHAnsi" w:hAnsiTheme="minorHAnsi" w:cs="ArialNarrow"/>
              </w:rPr>
              <w:t>Liczba utrzymanych miejsc pracy</w:t>
            </w:r>
            <w:r w:rsidR="00890482" w:rsidRPr="00890482">
              <w:t xml:space="preserve">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890482">
              <w:rPr>
                <w:rFonts w:asciiTheme="minorHAnsi" w:eastAsiaTheme="minorHAnsi" w:hAnsiTheme="minorHAnsi" w:cstheme="minorBidi"/>
                <w:sz w:val="20"/>
                <w:lang w:eastAsia="en-US"/>
              </w:rPr>
              <w:t>Miejsca pracy utworzone w wyniku realizacji projektu, lecz nie powodują wzrostu zatrudnienia w organizacji</w:t>
            </w:r>
          </w:p>
          <w:p w14:paraId="13EC8DD8"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r w:rsidR="003A7AE2" w:rsidRPr="0089048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890482" w:rsidRDefault="006069D8" w:rsidP="00CE32DE">
            <w:pPr>
              <w:pStyle w:val="Default"/>
              <w:rPr>
                <w:rFonts w:asciiTheme="minorHAnsi" w:hAnsiTheme="minorHAnsi" w:cs="ArialNarrow"/>
              </w:rPr>
            </w:pPr>
            <w:r w:rsidRPr="00890482">
              <w:rPr>
                <w:rFonts w:asciiTheme="minorHAnsi" w:hAnsiTheme="minorHAnsi" w:cs="ArialNarrow"/>
              </w:rPr>
              <w:lastRenderedPageBreak/>
              <w:t xml:space="preserve">Liczba nowo utworzonych miejsc pracy - pozostałe formy </w:t>
            </w:r>
            <w:r w:rsidR="00890482" w:rsidRPr="00890482">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890482" w:rsidRDefault="006069D8" w:rsidP="00CE32DE">
            <w:pPr>
              <w:spacing w:before="0" w:line="240" w:lineRule="auto"/>
              <w:rPr>
                <w:rFonts w:asciiTheme="minorHAnsi" w:hAnsiTheme="minorHAnsi" w:cs="ArialNarrow"/>
                <w:sz w:val="20"/>
              </w:rPr>
            </w:pPr>
            <w:r w:rsidRPr="00890482">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890482"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890482">
              <w:rPr>
                <w:rFonts w:asciiTheme="minorHAnsi" w:eastAsiaTheme="minorHAnsi" w:hAnsiTheme="minorHAnsi" w:cstheme="minorBidi"/>
                <w:iCs/>
                <w:sz w:val="20"/>
                <w:lang w:eastAsia="en-US"/>
              </w:rPr>
              <w:t>Pozostałe formy</w:t>
            </w:r>
            <w:r w:rsidRPr="00890482">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890482"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890482" w:rsidRDefault="006069D8" w:rsidP="00CE32DE">
            <w:pPr>
              <w:spacing w:line="240" w:lineRule="auto"/>
              <w:jc w:val="both"/>
              <w:rPr>
                <w:rFonts w:asciiTheme="minorHAnsi" w:hAnsiTheme="minorHAnsi"/>
                <w:sz w:val="20"/>
              </w:rPr>
            </w:pPr>
            <w:r w:rsidRPr="00890482">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3376D017" w:rsidR="006069D8" w:rsidRPr="00273447" w:rsidRDefault="006069D8" w:rsidP="0066034E">
      <w:pPr>
        <w:pStyle w:val="Akapitzlist"/>
        <w:numPr>
          <w:ilvl w:val="0"/>
          <w:numId w:val="6"/>
        </w:numPr>
        <w:spacing w:before="0" w:after="200" w:line="240" w:lineRule="auto"/>
        <w:ind w:left="1080"/>
        <w:contextualSpacing/>
        <w:jc w:val="both"/>
        <w:rPr>
          <w:rFonts w:asciiTheme="minorHAnsi" w:hAnsiTheme="minorHAnsi"/>
          <w:color w:val="FF0000"/>
          <w:szCs w:val="22"/>
        </w:rPr>
      </w:pPr>
      <w:r w:rsidRPr="00273447">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sectPr w:rsidR="006069D8" w:rsidRPr="00273447" w:rsidSect="00D9145D">
      <w:footerReference w:type="default" r:id="rId8"/>
      <w:headerReference w:type="first" r:id="rId9"/>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1906"/>
      <w:docPartObj>
        <w:docPartGallery w:val="Page Numbers (Bottom of Page)"/>
        <w:docPartUnique/>
      </w:docPartObj>
    </w:sdtPr>
    <w:sdtEndPr/>
    <w:sdtContent>
      <w:p w14:paraId="454D656A" w14:textId="3032A52E" w:rsidR="00743204" w:rsidRDefault="00D173BC">
        <w:pPr>
          <w:pStyle w:val="Stopka"/>
          <w:jc w:val="right"/>
        </w:pPr>
        <w:r>
          <w:fldChar w:fldCharType="begin"/>
        </w:r>
        <w:r w:rsidR="00743204">
          <w:instrText>PAGE   \* MERGEFORMAT</w:instrText>
        </w:r>
        <w:r>
          <w:fldChar w:fldCharType="separate"/>
        </w:r>
        <w:r w:rsidR="00000BE9">
          <w:rPr>
            <w:noProof/>
          </w:rPr>
          <w:t>6</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36F8" w14:textId="77777777"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Pr>
        <w:rFonts w:asciiTheme="minorHAnsi" w:hAnsiTheme="minorHAnsi"/>
        <w:b/>
        <w:sz w:val="20"/>
        <w:szCs w:val="28"/>
      </w:rPr>
      <w:t>ów</w:t>
    </w:r>
    <w:r w:rsidRPr="00795339">
      <w:rPr>
        <w:rFonts w:asciiTheme="minorHAnsi" w:hAnsiTheme="minorHAnsi"/>
        <w:b/>
        <w:sz w:val="20"/>
        <w:szCs w:val="28"/>
      </w:rPr>
      <w:t xml:space="preserve"> nr</w:t>
    </w:r>
    <w:r>
      <w:rPr>
        <w:rFonts w:asciiTheme="minorHAnsi" w:hAnsiTheme="minorHAnsi"/>
        <w:b/>
        <w:sz w:val="20"/>
        <w:szCs w:val="28"/>
      </w:rPr>
      <w:t>:</w:t>
    </w:r>
  </w:p>
  <w:p w14:paraId="43FA7653" w14:textId="77777777"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RPDS.05.02.02-IZ.00-02-285/17</w:t>
    </w:r>
  </w:p>
  <w:p w14:paraId="7A9A2AC3" w14:textId="77777777"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 xml:space="preserve">RPDS.05.02.02-IZ.00-02-286/17 </w:t>
    </w:r>
  </w:p>
  <w:p w14:paraId="0767682A" w14:textId="77777777"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RPDS.05.02.02-IZ.00-02-287/17</w:t>
    </w:r>
  </w:p>
  <w:p w14:paraId="3F7CBBEE" w14:textId="77777777" w:rsidR="00D9145D" w:rsidRDefault="00D91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60D5F"/>
    <w:rsid w:val="001711EA"/>
    <w:rsid w:val="0017324E"/>
    <w:rsid w:val="00173709"/>
    <w:rsid w:val="001933BD"/>
    <w:rsid w:val="0019343C"/>
    <w:rsid w:val="00195912"/>
    <w:rsid w:val="001962F1"/>
    <w:rsid w:val="001A3060"/>
    <w:rsid w:val="001C0B15"/>
    <w:rsid w:val="001F6BE0"/>
    <w:rsid w:val="00204DF9"/>
    <w:rsid w:val="0022505F"/>
    <w:rsid w:val="00243514"/>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7E66"/>
    <w:rsid w:val="003A178D"/>
    <w:rsid w:val="003A1B87"/>
    <w:rsid w:val="003A7AE2"/>
    <w:rsid w:val="003B0F33"/>
    <w:rsid w:val="003B6ECB"/>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4440"/>
    <w:rsid w:val="006069D8"/>
    <w:rsid w:val="00610669"/>
    <w:rsid w:val="00636AF7"/>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77F3B"/>
    <w:rsid w:val="00890482"/>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C320F"/>
    <w:rsid w:val="009C48DB"/>
    <w:rsid w:val="009C5E72"/>
    <w:rsid w:val="009D3C56"/>
    <w:rsid w:val="009D7559"/>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5DFF"/>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848C5"/>
    <w:rsid w:val="00E90CA0"/>
    <w:rsid w:val="00E91B8F"/>
    <w:rsid w:val="00E944F3"/>
    <w:rsid w:val="00EB6FAC"/>
    <w:rsid w:val="00ED5DD7"/>
    <w:rsid w:val="00EF6053"/>
    <w:rsid w:val="00F11756"/>
    <w:rsid w:val="00F137F5"/>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7C1B"/>
  <w15:docId w15:val="{2CEBD5C4-CE9F-42B3-A046-0B14240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Siatkatabeli">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E235-D49A-4C57-A445-46E7EBBF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2047</Words>
  <Characters>12285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15</cp:revision>
  <cp:lastPrinted>2015-11-05T11:07:00Z</cp:lastPrinted>
  <dcterms:created xsi:type="dcterms:W3CDTF">2017-10-30T09:35:00Z</dcterms:created>
  <dcterms:modified xsi:type="dcterms:W3CDTF">2017-11-28T08:56:00Z</dcterms:modified>
</cp:coreProperties>
</file>