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8" w:rsidRDefault="00440A48" w:rsidP="00440A48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</w:p>
    <w:p w:rsidR="009D3C56" w:rsidRPr="00F02218" w:rsidRDefault="00422DE9" w:rsidP="00440A48">
      <w:pPr>
        <w:autoSpaceDE w:val="0"/>
        <w:autoSpaceDN w:val="0"/>
        <w:adjustRightInd w:val="0"/>
        <w:spacing w:before="0" w:line="240" w:lineRule="auto"/>
        <w:jc w:val="center"/>
        <w:rPr>
          <w:b/>
          <w:sz w:val="24"/>
          <w:szCs w:val="24"/>
        </w:rPr>
      </w:pPr>
      <w:r w:rsidRPr="00422DE9">
        <w:rPr>
          <w:rFonts w:ascii="Calibri" w:hAnsi="Calibri" w:cs="Calibri"/>
          <w:b/>
          <w:color w:val="000000"/>
          <w:sz w:val="24"/>
          <w:szCs w:val="24"/>
        </w:rPr>
        <w:t>Lista wskaźników na poziom</w:t>
      </w:r>
      <w:r w:rsidR="00A44A6F">
        <w:rPr>
          <w:rFonts w:ascii="Calibri" w:hAnsi="Calibri" w:cs="Calibri"/>
          <w:b/>
          <w:color w:val="000000"/>
          <w:sz w:val="24"/>
          <w:szCs w:val="24"/>
        </w:rPr>
        <w:t xml:space="preserve">ie projektu </w:t>
      </w:r>
      <w:r w:rsidR="00E313C3">
        <w:rPr>
          <w:rFonts w:ascii="Calibri" w:hAnsi="Calibri" w:cs="Calibri"/>
          <w:b/>
          <w:color w:val="000000"/>
          <w:sz w:val="24"/>
          <w:szCs w:val="24"/>
        </w:rPr>
        <w:t>dla D</w:t>
      </w:r>
      <w:r w:rsidR="00A44A6F">
        <w:rPr>
          <w:rFonts w:ascii="Calibri" w:hAnsi="Calibri" w:cs="Calibri"/>
          <w:b/>
          <w:color w:val="000000"/>
          <w:sz w:val="24"/>
          <w:szCs w:val="24"/>
        </w:rPr>
        <w:t>ziałania 6.3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A44A6F">
        <w:rPr>
          <w:rFonts w:ascii="Calibri" w:hAnsi="Calibri" w:cs="Calibri"/>
          <w:b/>
          <w:color w:val="000000"/>
          <w:sz w:val="24"/>
          <w:szCs w:val="24"/>
        </w:rPr>
        <w:t xml:space="preserve">Rewitalizacja zdegradowanych obszarów 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w ramach RPO WD 2014-2020</w:t>
      </w: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Główną funkcją wskaźników jest zmierzenie, na ile cel główny projektu zostały zrealizowany</w:t>
      </w:r>
      <w:r>
        <w:rPr>
          <w:rFonts w:asciiTheme="minorHAnsi" w:eastAsiaTheme="minorHAnsi" w:hAnsiTheme="minorHAnsi" w:cs="Calibri"/>
          <w:szCs w:val="22"/>
          <w:lang w:eastAsia="en-US"/>
        </w:rPr>
        <w:t xml:space="preserve">. Wskaźniki służą ilościowej prezentacji działań podjętych w ramach projektu i ich rezultatów.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 trakcie realizacji projektu wskaźniki powinny umożliwiać mierzenie jego postępu względem celów projektu. </w:t>
      </w: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Wybór wskaźników projektu powinien być powiązany z typem realizowanego przedsięwzięcia i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planowanymi działaniami, które </w:t>
      </w:r>
      <w:r w:rsidR="00221D32">
        <w:rPr>
          <w:rFonts w:asciiTheme="minorHAnsi" w:eastAsiaTheme="minorHAnsi" w:hAnsiTheme="minorHAnsi" w:cs="Calibri"/>
          <w:szCs w:val="22"/>
          <w:lang w:eastAsia="en-US"/>
        </w:rPr>
        <w:t>w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nioskodawca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zamierza podjąć w ramach projektu. 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Do celu głównego projektu </w:t>
      </w:r>
      <w:r w:rsidR="00221D32">
        <w:rPr>
          <w:rFonts w:asciiTheme="minorHAnsi" w:eastAsiaTheme="minorHAnsi" w:hAnsiTheme="minorHAnsi" w:cs="Calibri"/>
          <w:bCs/>
          <w:szCs w:val="22"/>
          <w:lang w:eastAsia="en-US"/>
        </w:rPr>
        <w:t>w</w:t>
      </w:r>
      <w:r w:rsidR="008E3F0D">
        <w:rPr>
          <w:rFonts w:asciiTheme="minorHAnsi" w:eastAsiaTheme="minorHAnsi" w:hAnsiTheme="minorHAnsi" w:cs="Calibri"/>
          <w:bCs/>
          <w:szCs w:val="22"/>
          <w:lang w:eastAsia="en-US"/>
        </w:rPr>
        <w:t>nioskodawca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 powinien dobrać odpowiednie wskaźniki, produktu i rezultatu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bezpośredniego</w:t>
      </w:r>
      <w:r>
        <w:rPr>
          <w:rFonts w:asciiTheme="minorHAnsi" w:eastAsiaTheme="minorHAnsi" w:hAnsiTheme="minorHAnsi" w:cs="Calibri"/>
          <w:szCs w:val="22"/>
          <w:lang w:eastAsia="en-US"/>
        </w:rPr>
        <w:t>. Muszą być logicznie powiązane z projektem i spójne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</w:t>
      </w:r>
    </w:p>
    <w:p w:rsidR="00620A45" w:rsidRPr="00911273" w:rsidRDefault="00620A45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>
        <w:rPr>
          <w:rFonts w:asciiTheme="minorHAnsi" w:hAnsiTheme="minorHAnsi"/>
          <w:szCs w:val="22"/>
        </w:rPr>
        <w:t>Każdy ze wskaźników powinien posiadać następujące cechy: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mierzalność – wskaźnik powinien być kwantyfikowalny, tj. wyrażony w wartościach liczbowych</w:t>
      </w:r>
      <w:r w:rsidR="008E3F0D">
        <w:rPr>
          <w:rFonts w:asciiTheme="minorHAnsi" w:hAnsiTheme="minorHAnsi"/>
          <w:szCs w:val="22"/>
        </w:rPr>
        <w:t xml:space="preserve"> bądź finansowych</w:t>
      </w:r>
      <w:r>
        <w:rPr>
          <w:rFonts w:asciiTheme="minorHAnsi" w:hAnsiTheme="minorHAnsi"/>
          <w:szCs w:val="22"/>
        </w:rPr>
        <w:t>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określony w czasie –</w:t>
      </w:r>
      <w:r w:rsidR="00422DE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wartość wskaźnika powinna zostać określona w czasie, tj. określony rok osiągnięcia wartości docelowej wskaźnika</w:t>
      </w:r>
      <w:r w:rsidR="00370466">
        <w:rPr>
          <w:rFonts w:asciiTheme="minorHAnsi" w:hAnsiTheme="minorHAnsi"/>
          <w:szCs w:val="22"/>
        </w:rPr>
        <w:t xml:space="preserve"> oraz okres</w:t>
      </w:r>
      <w:r>
        <w:rPr>
          <w:rFonts w:asciiTheme="minorHAnsi" w:hAnsiTheme="minorHAnsi"/>
          <w:szCs w:val="22"/>
        </w:rPr>
        <w:t xml:space="preserve">, w którym będzie </w:t>
      </w:r>
      <w:r w:rsidR="00370466">
        <w:rPr>
          <w:rFonts w:asciiTheme="minorHAnsi" w:hAnsiTheme="minorHAnsi"/>
          <w:szCs w:val="22"/>
        </w:rPr>
        <w:t>mierzony wskaźnik</w:t>
      </w:r>
      <w:r w:rsidR="00422DE9">
        <w:rPr>
          <w:rFonts w:asciiTheme="minorHAnsi" w:hAnsiTheme="minorHAnsi"/>
          <w:szCs w:val="22"/>
        </w:rPr>
        <w:t>.</w:t>
      </w:r>
    </w:p>
    <w:p w:rsidR="005657D8" w:rsidRDefault="005657D8" w:rsidP="00422DE9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</w:t>
      </w:r>
      <w:r w:rsidR="00370466">
        <w:rPr>
          <w:rFonts w:asciiTheme="minorHAnsi" w:eastAsiaTheme="minorHAnsi" w:hAnsiTheme="minorHAnsi" w:cs="Calibri"/>
          <w:szCs w:val="22"/>
          <w:lang w:eastAsia="en-US"/>
        </w:rPr>
        <w:t xml:space="preserve">o dofinansowanie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należy określić, w jaki sposób mierzona będzie realizacja ce</w:t>
      </w:r>
      <w:r w:rsidR="00B7566F">
        <w:rPr>
          <w:rFonts w:asciiTheme="minorHAnsi" w:eastAsiaTheme="minorHAnsi" w:hAnsiTheme="minorHAnsi" w:cs="Calibri"/>
          <w:szCs w:val="22"/>
          <w:lang w:eastAsia="en-US"/>
        </w:rPr>
        <w:t>lu poprzez ustalenie wskaźników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. Należy określić, co najmniej jeden podstawowy i mierzalny wskaźnik, który w sposób precyzyjny umożliwi weryfikację stopnia realizacji celu głównego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 xml:space="preserve"> projektu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370466" w:rsidRDefault="00370466" w:rsidP="007650AC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RPO WD 2014-2020 rozróżnia się następujące wskaźniki: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obligatoryjne – wskaźniki ujęte w RPO WD 2014-2020,</w:t>
      </w:r>
      <w:r w:rsidR="008E3F0D">
        <w:rPr>
          <w:rFonts w:asciiTheme="minorHAnsi" w:hAnsiTheme="minorHAnsi"/>
          <w:b/>
          <w:szCs w:val="22"/>
        </w:rPr>
        <w:t xml:space="preserve"> SZOOP RPO </w:t>
      </w:r>
      <w:r w:rsidR="00B40F0F">
        <w:rPr>
          <w:rFonts w:asciiTheme="minorHAnsi" w:hAnsiTheme="minorHAnsi"/>
          <w:b/>
          <w:szCs w:val="22"/>
        </w:rPr>
        <w:t>W</w:t>
      </w:r>
      <w:r w:rsidR="008E3F0D">
        <w:rPr>
          <w:rFonts w:asciiTheme="minorHAnsi" w:hAnsiTheme="minorHAnsi"/>
          <w:b/>
          <w:szCs w:val="22"/>
        </w:rPr>
        <w:t>D 2014-2020</w:t>
      </w:r>
      <w:r w:rsidR="00422DE9">
        <w:rPr>
          <w:rFonts w:asciiTheme="minorHAnsi" w:hAnsiTheme="minorHAnsi"/>
          <w:b/>
          <w:szCs w:val="22"/>
        </w:rPr>
        <w:t>;</w:t>
      </w:r>
    </w:p>
    <w:p w:rsidR="00370466" w:rsidRDefault="00422DE9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horyzontalne;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dodatkowe </w:t>
      </w:r>
      <w:r w:rsidR="0015486C">
        <w:rPr>
          <w:rFonts w:asciiTheme="minorHAnsi" w:hAnsiTheme="minorHAnsi"/>
          <w:b/>
          <w:szCs w:val="22"/>
        </w:rPr>
        <w:t>– wskaźniki projektowe</w:t>
      </w:r>
      <w:r w:rsidR="00422DE9">
        <w:rPr>
          <w:rFonts w:asciiTheme="minorHAnsi" w:hAnsiTheme="minorHAnsi"/>
          <w:b/>
          <w:szCs w:val="22"/>
        </w:rPr>
        <w:t>.</w:t>
      </w:r>
    </w:p>
    <w:p w:rsidR="008C495E" w:rsidRPr="00911273" w:rsidRDefault="008C495E" w:rsidP="007650AC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11273">
        <w:rPr>
          <w:rFonts w:asciiTheme="minorHAnsi" w:hAnsiTheme="minorHAnsi"/>
          <w:sz w:val="22"/>
          <w:szCs w:val="22"/>
        </w:rPr>
        <w:t>Wymagania w zakresie wskaźników w projekcie</w:t>
      </w:r>
      <w:bookmarkEnd w:id="0"/>
      <w:bookmarkEnd w:id="1"/>
      <w:bookmarkEnd w:id="2"/>
      <w:r w:rsidR="00422DE9">
        <w:rPr>
          <w:rFonts w:asciiTheme="minorHAnsi" w:hAnsiTheme="minorHAnsi"/>
          <w:sz w:val="22"/>
          <w:szCs w:val="22"/>
        </w:rPr>
        <w:t>:</w:t>
      </w:r>
    </w:p>
    <w:p w:rsidR="00A459F4" w:rsidRDefault="008C495E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W ramach wni</w:t>
      </w:r>
      <w:r w:rsidR="00221D32">
        <w:rPr>
          <w:rFonts w:asciiTheme="minorHAnsi" w:eastAsiaTheme="minorHAnsi" w:hAnsiTheme="minorHAnsi" w:cs="Calibri"/>
          <w:szCs w:val="22"/>
          <w:lang w:eastAsia="en-US"/>
        </w:rPr>
        <w:t>osku o dofinansowanie projektu w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nioskodawca określa 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wskaźniki służące pomiarowi działań i</w:t>
      </w:r>
      <w:r w:rsidR="00422DE9">
        <w:rPr>
          <w:rFonts w:asciiTheme="minorHAnsi" w:eastAsiaTheme="minorHAnsi" w:hAnsiTheme="minorHAnsi" w:cs="Calibri"/>
          <w:b/>
          <w:bCs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celów założonych w projekcie.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Wskaźniki w ramach projektu należy określić mając w szczególności na uwadze zapisy niniejszego 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R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egulaminu</w:t>
      </w:r>
      <w:r w:rsidR="00A459F4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A459F4" w:rsidRDefault="00A459F4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9D3C56" w:rsidRPr="00A459F4" w:rsidRDefault="00A459F4" w:rsidP="00440A4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8A09D1">
        <w:rPr>
          <w:rFonts w:asciiTheme="minorHAnsi" w:hAnsiTheme="minorHAnsi"/>
          <w:b/>
          <w:sz w:val="22"/>
          <w:szCs w:val="22"/>
        </w:rPr>
        <w:t xml:space="preserve">W przypadku, gdy w ramach danego </w:t>
      </w:r>
      <w:r>
        <w:rPr>
          <w:rFonts w:asciiTheme="minorHAnsi" w:hAnsiTheme="minorHAnsi"/>
          <w:b/>
          <w:sz w:val="22"/>
          <w:szCs w:val="22"/>
        </w:rPr>
        <w:t>D</w:t>
      </w:r>
      <w:r w:rsidRPr="008A09D1">
        <w:rPr>
          <w:rFonts w:asciiTheme="minorHAnsi" w:hAnsiTheme="minorHAnsi"/>
          <w:b/>
          <w:sz w:val="22"/>
          <w:szCs w:val="22"/>
        </w:rPr>
        <w:t>ziałania uwzględniony został wskaźnik z RPO</w:t>
      </w:r>
      <w:r w:rsidR="00B40F0F">
        <w:rPr>
          <w:rFonts w:asciiTheme="minorHAnsi" w:hAnsiTheme="minorHAnsi"/>
          <w:b/>
          <w:sz w:val="22"/>
          <w:szCs w:val="22"/>
        </w:rPr>
        <w:t xml:space="preserve"> WD 2014-2020</w:t>
      </w:r>
      <w:r w:rsidRPr="008A09D1">
        <w:rPr>
          <w:rFonts w:asciiTheme="minorHAnsi" w:hAnsiTheme="minorHAnsi"/>
          <w:b/>
          <w:sz w:val="22"/>
          <w:szCs w:val="22"/>
        </w:rPr>
        <w:t xml:space="preserve">, </w:t>
      </w:r>
      <w:r w:rsidR="00912831">
        <w:rPr>
          <w:rFonts w:asciiTheme="minorHAnsi" w:hAnsiTheme="minorHAnsi"/>
          <w:b/>
          <w:sz w:val="22"/>
          <w:szCs w:val="22"/>
        </w:rPr>
        <w:t xml:space="preserve">SZOOP RPO WD 2014-2020, </w:t>
      </w:r>
      <w:r w:rsidRPr="008A09D1">
        <w:rPr>
          <w:rFonts w:asciiTheme="minorHAnsi" w:hAnsiTheme="minorHAnsi"/>
          <w:b/>
          <w:sz w:val="22"/>
          <w:szCs w:val="22"/>
        </w:rPr>
        <w:t>który odzwierciedla zakres projektu, jego w</w:t>
      </w:r>
      <w:r w:rsidR="00221D32">
        <w:rPr>
          <w:rFonts w:asciiTheme="minorHAnsi" w:hAnsiTheme="minorHAnsi"/>
          <w:b/>
          <w:sz w:val="22"/>
          <w:szCs w:val="22"/>
        </w:rPr>
        <w:t>ykazanie dla w</w:t>
      </w:r>
      <w:r w:rsidR="00422DE9">
        <w:rPr>
          <w:rFonts w:asciiTheme="minorHAnsi" w:hAnsiTheme="minorHAnsi"/>
          <w:b/>
          <w:sz w:val="22"/>
          <w:szCs w:val="22"/>
        </w:rPr>
        <w:t>nioskodawcy jest obligatoryjne.</w:t>
      </w:r>
    </w:p>
    <w:p w:rsidR="008A09D1" w:rsidRPr="008A09D1" w:rsidRDefault="008A09D1" w:rsidP="00422DE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  <w:r w:rsidRPr="008A09D1">
        <w:rPr>
          <w:rFonts w:asciiTheme="minorHAnsi" w:hAnsiTheme="minorHAnsi" w:cs="Arial"/>
          <w:b/>
          <w:color w:val="000000"/>
        </w:rPr>
        <w:t>W</w:t>
      </w:r>
      <w:r w:rsidRPr="008A09D1">
        <w:rPr>
          <w:rFonts w:asciiTheme="minorHAnsi" w:hAnsiTheme="minorHAnsi" w:cs="Arial"/>
          <w:b/>
          <w:bCs/>
          <w:color w:val="000000"/>
        </w:rPr>
        <w:t>skaźniki produktu</w:t>
      </w:r>
      <w:r w:rsidRPr="008A09D1">
        <w:rPr>
          <w:rFonts w:asciiTheme="minorHAnsi" w:hAnsiTheme="minorHAnsi" w:cs="Arial"/>
          <w:bCs/>
          <w:color w:val="000000"/>
        </w:rPr>
        <w:t xml:space="preserve"> są to wskaźniki powiązane bezpośrednio z wydatkami ponoszonymi w projekcie</w:t>
      </w:r>
      <w:r w:rsidRPr="008A09D1">
        <w:rPr>
          <w:rFonts w:asciiTheme="minorHAnsi" w:hAnsiTheme="minorHAnsi" w:cs="Arial"/>
          <w:color w:val="000000"/>
        </w:rPr>
        <w:t xml:space="preserve">, mierzone konkretnymi wielkościami. Liczone są w jednostkach fizycznych </w:t>
      </w:r>
      <w:r w:rsidR="00221D32">
        <w:rPr>
          <w:rFonts w:asciiTheme="minorHAnsi" w:hAnsiTheme="minorHAnsi" w:cs="Arial"/>
          <w:color w:val="000000"/>
        </w:rPr>
        <w:t>lub monetarnych. Wybrane przez w</w:t>
      </w:r>
      <w:r w:rsidRPr="008A09D1">
        <w:rPr>
          <w:rFonts w:asciiTheme="minorHAnsi" w:hAnsiTheme="minorHAnsi" w:cs="Arial"/>
          <w:color w:val="000000"/>
        </w:rPr>
        <w:t>nioskodawcę wskaźniki muszą być adekwatne do zakresu projektu oraz mają być powiązane z</w:t>
      </w:r>
      <w:r w:rsidR="00422DE9">
        <w:rPr>
          <w:rFonts w:asciiTheme="minorHAnsi" w:hAnsiTheme="minorHAnsi" w:cs="Arial"/>
          <w:color w:val="000000"/>
        </w:rPr>
        <w:t> </w:t>
      </w:r>
      <w:r w:rsidRPr="008A09D1">
        <w:rPr>
          <w:rFonts w:asciiTheme="minorHAnsi" w:hAnsiTheme="minorHAnsi" w:cs="Arial"/>
          <w:color w:val="000000"/>
        </w:rPr>
        <w:t>głównymi kategoriami wydatków w projekcie.</w:t>
      </w:r>
    </w:p>
    <w:p w:rsid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695"/>
        <w:tblW w:w="5036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519"/>
        <w:gridCol w:w="4714"/>
        <w:gridCol w:w="1519"/>
      </w:tblGrid>
      <w:tr w:rsidR="00D35714" w:rsidRPr="00911273" w:rsidTr="00D35714">
        <w:trPr>
          <w:cantSplit/>
          <w:trHeight w:val="1540"/>
        </w:trPr>
        <w:tc>
          <w:tcPr>
            <w:tcW w:w="1137" w:type="pct"/>
            <w:shd w:val="clear" w:color="auto" w:fill="auto"/>
            <w:vAlign w:val="center"/>
          </w:tcPr>
          <w:p w:rsidR="00D35714" w:rsidRPr="00911273" w:rsidRDefault="00D35714" w:rsidP="00D35714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lastRenderedPageBreak/>
              <w:t>Nazwa wskaźnika produktu</w:t>
            </w:r>
          </w:p>
        </w:tc>
        <w:tc>
          <w:tcPr>
            <w:tcW w:w="757" w:type="pct"/>
            <w:vAlign w:val="center"/>
          </w:tcPr>
          <w:p w:rsidR="00D35714" w:rsidRPr="00911273" w:rsidRDefault="00D35714" w:rsidP="00D3571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Pr="00911273" w:rsidRDefault="00D35714" w:rsidP="00D3571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757" w:type="pct"/>
            <w:vAlign w:val="center"/>
          </w:tcPr>
          <w:p w:rsidR="00D35714" w:rsidRPr="00911273" w:rsidRDefault="00D35714" w:rsidP="00D3571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 którym określono wskaźnik</w:t>
            </w:r>
          </w:p>
        </w:tc>
      </w:tr>
      <w:tr w:rsidR="00D35714" w:rsidRPr="00911273" w:rsidTr="00D35714">
        <w:trPr>
          <w:cantSplit/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175453">
              <w:rPr>
                <w:rFonts w:asciiTheme="minorHAnsi" w:hAnsiTheme="minorHAnsi" w:cs="Arial"/>
              </w:rPr>
              <w:t>Liczba wspartych obiektów infrastruktury zlokalizowanych na rewitalizowanych obszarach [szt.]</w:t>
            </w:r>
          </w:p>
          <w:p w:rsidR="00BF5C51" w:rsidRDefault="00BF5C51" w:rsidP="00BF5C5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  <w:p w:rsidR="00BF5C51" w:rsidRPr="00175453" w:rsidRDefault="00BF5C51" w:rsidP="000215F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</w:p>
        </w:tc>
        <w:tc>
          <w:tcPr>
            <w:tcW w:w="757" w:type="pct"/>
            <w:vAlign w:val="center"/>
          </w:tcPr>
          <w:p w:rsidR="00D35714" w:rsidRDefault="00D35714" w:rsidP="00D35714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[szt.]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790ED5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Nowy obiekt oznacza obiekt wybudowany</w:t>
            </w:r>
            <w:r w:rsidR="00A11346">
              <w:rPr>
                <w:rStyle w:val="Odwoanieprzypisudolnego"/>
                <w:rFonts w:asciiTheme="minorHAnsi" w:eastAsiaTheme="minorHAnsi" w:hAnsiTheme="minorHAnsi" w:cs="Arial"/>
                <w:szCs w:val="22"/>
                <w:lang w:eastAsia="en-US"/>
              </w:rPr>
              <w:footnoteReference w:id="1"/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. Budowa, zgodni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e z prawem budowlanym, oznacza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wykonanie obiektu budowlanego w określonym miejscu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, a także odbudowę, rozbudowę,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nadbudowę obiektu budowlanego. </w:t>
            </w:r>
          </w:p>
          <w:p w:rsidR="00790ED5" w:rsidRDefault="00790ED5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D35714" w:rsidRPr="0000550C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We wskaźniku należy również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wykazać obiekty przebudowane,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przez co należy rozumieć wykonywanie robót budowlanych, w w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yniku których następuje zmiana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parametrów użytkowych lub technicznych istniejącego ob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iektu budowlanego, z wyjątkiem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charakterystycznych parametrów, jak: kubatura, powierzchni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a zabudowy, wysokość, długość,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szerokość bądź liczba kondygnacji. </w:t>
            </w:r>
          </w:p>
          <w:p w:rsidR="00790ED5" w:rsidRDefault="00790ED5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D35714" w:rsidRPr="0000550C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Przekształcenie oznacza zmianę celu 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funkcjonowania danego obiektu.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Przez rewitalizację należy rozumieć kompleksowy, skoordynowany, wieloletni, prowadzony na </w:t>
            </w:r>
          </w:p>
          <w:p w:rsidR="00D35714" w:rsidRPr="0000550C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określonym obszarze proces przemian przestrzennych, technicznych, społecznych </w:t>
            </w:r>
          </w:p>
          <w:p w:rsidR="00790ED5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i ekonomicznych, koordynowany przez samorząd terytorialny (głównie lokalny) w celu wyprowadzenia tego obszaru ze stanu kryzysowego, po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przez nadanie mu nowej jakości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funkcjonalnej i stworzenie warunków do jego rozwoju, w oparciu o charakteryst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yczne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uwarunkowania endogeniczne. </w:t>
            </w:r>
          </w:p>
          <w:p w:rsidR="00790ED5" w:rsidRDefault="00790ED5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D35714" w:rsidRPr="00175453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Zgodnie z powyższym, rewitaliz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acja ma charakter kompleksowy,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tym samym w jej ramach prowadzony jest szereg wielowątkowych,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wzajemnie uzupełniających się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i wzmacniających działań, mających na celu wywołanie jakościowej pozytywnej zmiany na zidentyfikowanym obszarze. </w:t>
            </w:r>
          </w:p>
        </w:tc>
        <w:tc>
          <w:tcPr>
            <w:tcW w:w="757" w:type="pct"/>
            <w:vAlign w:val="center"/>
          </w:tcPr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RPO WD</w:t>
            </w:r>
          </w:p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2014-2020</w:t>
            </w:r>
          </w:p>
        </w:tc>
      </w:tr>
      <w:tr w:rsidR="00D35714" w:rsidRPr="00911273" w:rsidTr="00D35714">
        <w:trPr>
          <w:cantSplit/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0D5DD5" w:rsidRDefault="000D5DD5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</w:p>
          <w:p w:rsidR="000D5DD5" w:rsidRDefault="000D5DD5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</w:p>
          <w:p w:rsidR="000D5DD5" w:rsidRDefault="000D5DD5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</w:p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Cs w:val="22"/>
                <w:lang w:eastAsia="en-US"/>
              </w:rPr>
              <w:t>Wyremontowane budynki mieszkalne na obszarach miejskich</w:t>
            </w:r>
            <w:r w:rsidR="00A11346">
              <w:rPr>
                <w:rStyle w:val="Odwoanieprzypisudolnego"/>
                <w:rFonts w:ascii="Calibri" w:eastAsiaTheme="minorHAnsi" w:hAnsi="Calibri" w:cs="Calibri"/>
                <w:szCs w:val="22"/>
                <w:lang w:eastAsia="en-US"/>
              </w:rPr>
              <w:footnoteReference w:id="2"/>
            </w:r>
          </w:p>
          <w:p w:rsidR="00D35714" w:rsidRDefault="00D35714" w:rsidP="00D3571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  <w:p w:rsidR="00D35714" w:rsidRPr="00911273" w:rsidRDefault="00D35714" w:rsidP="00D3571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D35714" w:rsidRPr="00911273" w:rsidRDefault="00D35714" w:rsidP="000D5DD5">
            <w:pPr>
              <w:spacing w:before="0" w:line="240" w:lineRule="auto"/>
              <w:jc w:val="center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[szt.]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Default="00FF5F88" w:rsidP="00FF5F8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FF5F88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We  wskaźniku  należy wykazać ilość 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wyremontowanych budynków mieszkalnych na obszarach miejskich w sztukach.</w:t>
            </w:r>
          </w:p>
          <w:p w:rsidR="00FF5F88" w:rsidRDefault="00FF5F88" w:rsidP="00FF5F8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FF5F88" w:rsidRDefault="00FF5F88" w:rsidP="00D879B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>Remont</w:t>
            </w:r>
            <w:r w:rsid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, </w:t>
            </w:r>
            <w:r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zgodnie z </w:t>
            </w:r>
            <w:r w:rsidR="00D879B6"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prawem budowlanym </w:t>
            </w:r>
            <w:r w:rsidR="00D879B6" w:rsidRPr="00D879B6">
              <w:rPr>
                <w:rFonts w:asciiTheme="minorHAnsi" w:hAnsiTheme="minorHAnsi"/>
                <w:szCs w:val="22"/>
              </w:rPr>
              <w:t xml:space="preserve"> </w:t>
            </w:r>
            <w:r w:rsidR="00D879B6">
              <w:rPr>
                <w:rFonts w:asciiTheme="minorHAnsi" w:hAnsiTheme="minorHAnsi"/>
                <w:szCs w:val="22"/>
              </w:rPr>
              <w:t>oznacza</w:t>
            </w:r>
            <w:r w:rsidR="00D879B6" w:rsidRPr="00D879B6">
              <w:rPr>
                <w:rFonts w:asciiTheme="minorHAnsi" w:hAnsiTheme="minorHAnsi"/>
                <w:szCs w:val="22"/>
              </w:rPr>
              <w:t xml:space="preserve"> wykonywanie w istniejącym obiekcie budowlanym robót budowlanych polegających na odtworzeniu stanu pierwotnego, a niestanowiących bieżącej konserwacji, przy czym dopuszcza się stosowanie wyrobów budowlanych innyc</w:t>
            </w:r>
            <w:r w:rsidR="00D879B6">
              <w:rPr>
                <w:rFonts w:asciiTheme="minorHAnsi" w:hAnsiTheme="minorHAnsi"/>
                <w:szCs w:val="22"/>
              </w:rPr>
              <w:t>h niż użyto w stanie pierwotnym.</w:t>
            </w:r>
          </w:p>
          <w:p w:rsidR="00CB1388" w:rsidRDefault="00CB1388" w:rsidP="00D879B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CB1388" w:rsidRPr="00D879B6" w:rsidRDefault="00CB1388" w:rsidP="00D879B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CB1388">
              <w:rPr>
                <w:rFonts w:asciiTheme="minorHAnsi" w:hAnsiTheme="minorHAnsi"/>
                <w:color w:val="000000"/>
                <w:szCs w:val="22"/>
              </w:rPr>
              <w:t>Budynek – zgodnie z definicją ujętą w Art. 3 Ustawy z dnia 7 lipca 1994 r. Prawo Budowlane (</w:t>
            </w:r>
            <w:r w:rsidRPr="00CB1388">
              <w:rPr>
                <w:rFonts w:asciiTheme="minorHAnsi" w:hAnsiTheme="minorHAnsi"/>
                <w:bCs/>
                <w:color w:val="000000"/>
                <w:szCs w:val="22"/>
              </w:rPr>
              <w:t>Dz.U. 1994 Nr 89 poz. 414 z późn. zm.</w:t>
            </w:r>
            <w:r w:rsidRPr="00CB1388">
              <w:rPr>
                <w:rFonts w:asciiTheme="minorHAnsi" w:hAnsiTheme="minorHAnsi"/>
                <w:color w:val="000000"/>
                <w:szCs w:val="22"/>
              </w:rPr>
              <w:t>) – to obiekt budowlany, który jest trwale związany z gruntem, wydzielony z przestrzeni za pomocą przegród budowlanych oraz posiada fundamenty i dach</w:t>
            </w:r>
            <w:r w:rsidRPr="00AD5EA6">
              <w:rPr>
                <w:color w:val="000000"/>
                <w:sz w:val="20"/>
              </w:rPr>
              <w:t>;</w:t>
            </w:r>
          </w:p>
        </w:tc>
        <w:tc>
          <w:tcPr>
            <w:tcW w:w="757" w:type="pct"/>
            <w:vAlign w:val="center"/>
          </w:tcPr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RPO WD</w:t>
            </w:r>
          </w:p>
          <w:p w:rsidR="00D35714" w:rsidRPr="00911273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2014-2020</w:t>
            </w:r>
          </w:p>
        </w:tc>
      </w:tr>
      <w:tr w:rsidR="00D35714" w:rsidRPr="00911273" w:rsidTr="00D35714">
        <w:trPr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D35714" w:rsidRDefault="00D35714" w:rsidP="00D3571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Wyremontowane budynki mieszkalne na obszarach miejskich</w:t>
            </w:r>
            <w:r w:rsidR="00A11346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912831" w:rsidRDefault="00912831" w:rsidP="00D3571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D35714" w:rsidRPr="00911273" w:rsidRDefault="00D35714" w:rsidP="00C92D2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D35714" w:rsidRPr="00911273" w:rsidRDefault="00D35714" w:rsidP="00E35F2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[</w:t>
            </w:r>
            <w:r w:rsidR="00C92D25">
              <w:rPr>
                <w:rFonts w:asciiTheme="minorHAnsi" w:hAnsiTheme="minorHAnsi"/>
                <w:szCs w:val="22"/>
              </w:rPr>
              <w:t>jednostki mieszkalne</w:t>
            </w:r>
            <w:r>
              <w:rPr>
                <w:rFonts w:asciiTheme="minorHAnsi" w:hAnsiTheme="minorHAnsi"/>
                <w:szCs w:val="22"/>
              </w:rPr>
              <w:t>]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Default="00D879B6" w:rsidP="00D3571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Wskaźnik odnosi się do liczby jednostek </w:t>
            </w:r>
            <w:r w:rsidR="00DE6EF3">
              <w:rPr>
                <w:rFonts w:asciiTheme="minorHAnsi" w:hAnsiTheme="minorHAnsi"/>
                <w:szCs w:val="22"/>
              </w:rPr>
              <w:t>mieszalnych</w:t>
            </w:r>
            <w:r>
              <w:rPr>
                <w:rFonts w:asciiTheme="minorHAnsi" w:hAnsiTheme="minorHAnsi"/>
                <w:szCs w:val="22"/>
              </w:rPr>
              <w:t xml:space="preserve"> – </w:t>
            </w:r>
            <w:r w:rsidR="00DE6EF3">
              <w:rPr>
                <w:rFonts w:asciiTheme="minorHAnsi" w:hAnsiTheme="minorHAnsi"/>
                <w:szCs w:val="22"/>
              </w:rPr>
              <w:t>mieszkań</w:t>
            </w:r>
            <w:r>
              <w:rPr>
                <w:rFonts w:asciiTheme="minorHAnsi" w:hAnsiTheme="minorHAnsi"/>
                <w:szCs w:val="22"/>
              </w:rPr>
              <w:t xml:space="preserve"> w danym budynku, w projekcie. </w:t>
            </w:r>
          </w:p>
          <w:p w:rsidR="00D879B6" w:rsidRDefault="00FD21DC" w:rsidP="00D3571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Należy wyka</w:t>
            </w:r>
            <w:r w:rsidR="00D879B6">
              <w:rPr>
                <w:rFonts w:asciiTheme="minorHAnsi" w:hAnsiTheme="minorHAnsi"/>
                <w:szCs w:val="22"/>
              </w:rPr>
              <w:t xml:space="preserve">zać liczbę wszystkich jednostek </w:t>
            </w:r>
            <w:r>
              <w:rPr>
                <w:rFonts w:asciiTheme="minorHAnsi" w:hAnsiTheme="minorHAnsi"/>
                <w:szCs w:val="22"/>
              </w:rPr>
              <w:t>mieszkalnych  w budynku.</w:t>
            </w:r>
          </w:p>
          <w:p w:rsidR="00FD21DC" w:rsidRDefault="00FD21DC" w:rsidP="00D3571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CB1388" w:rsidRDefault="00CB1388" w:rsidP="00CB138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>Remont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, </w:t>
            </w:r>
            <w:r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zgodnie z prawem budowlanym </w:t>
            </w:r>
            <w:r w:rsidRPr="00D879B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oznacza</w:t>
            </w:r>
            <w:r w:rsidRPr="00D879B6">
              <w:rPr>
                <w:rFonts w:asciiTheme="minorHAnsi" w:hAnsiTheme="minorHAnsi"/>
                <w:szCs w:val="22"/>
              </w:rPr>
              <w:t xml:space="preserve"> wykonywanie w istniejącym obiekcie budowlanym robót budowlanych polegających na odtworzeniu stanu pierwotnego, a niestanowiących bieżącej konserwacji, przy czym dopuszcza się stosowanie wyrobów budowlanych innyc</w:t>
            </w:r>
            <w:r>
              <w:rPr>
                <w:rFonts w:asciiTheme="minorHAnsi" w:hAnsiTheme="minorHAnsi"/>
                <w:szCs w:val="22"/>
              </w:rPr>
              <w:t>h niż użyto w stanie pierwotnym.</w:t>
            </w:r>
          </w:p>
          <w:p w:rsidR="00FD21DC" w:rsidRDefault="00CB1388" w:rsidP="00CB1388">
            <w:pPr>
              <w:spacing w:line="240" w:lineRule="auto"/>
              <w:jc w:val="both"/>
              <w:rPr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B</w:t>
            </w:r>
            <w:r w:rsidRPr="00CB1388">
              <w:rPr>
                <w:rFonts w:asciiTheme="minorHAnsi" w:hAnsiTheme="minorHAnsi"/>
                <w:color w:val="000000"/>
                <w:szCs w:val="22"/>
              </w:rPr>
              <w:t>udynek – zgodnie z definicją ujętą w Art. 3 Ustawy z dnia 7 lipca 1994 r. Prawo Budowlane (</w:t>
            </w:r>
            <w:r w:rsidRPr="00CB1388">
              <w:rPr>
                <w:rFonts w:asciiTheme="minorHAnsi" w:hAnsiTheme="minorHAnsi"/>
                <w:bCs/>
                <w:color w:val="000000"/>
                <w:szCs w:val="22"/>
              </w:rPr>
              <w:t>Dz.U. 1994 Nr 89 poz. 414 z późn. zm.</w:t>
            </w:r>
            <w:r w:rsidRPr="00CB1388">
              <w:rPr>
                <w:rFonts w:asciiTheme="minorHAnsi" w:hAnsiTheme="minorHAnsi"/>
                <w:color w:val="000000"/>
                <w:szCs w:val="22"/>
              </w:rPr>
              <w:t>) – to obiekt budowlany, który jest trwale związany z gruntem, wydzielony z przestrzeni za pomocą przegród budowlanych oraz posiada fundamenty i dach</w:t>
            </w:r>
            <w:r w:rsidR="00FD21DC">
              <w:rPr>
                <w:color w:val="000000"/>
                <w:sz w:val="20"/>
              </w:rPr>
              <w:t>.</w:t>
            </w:r>
          </w:p>
          <w:p w:rsidR="00FD21DC" w:rsidRPr="00FD21DC" w:rsidRDefault="00FD21DC" w:rsidP="00CB1388">
            <w:pPr>
              <w:spacing w:line="24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757" w:type="pct"/>
            <w:vAlign w:val="center"/>
          </w:tcPr>
          <w:p w:rsidR="00D35714" w:rsidRPr="00AA6B29" w:rsidRDefault="00D35714" w:rsidP="00D35714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 xml:space="preserve">SZOOP </w:t>
            </w:r>
            <w:r w:rsidR="00912831">
              <w:rPr>
                <w:rFonts w:asciiTheme="minorHAnsi" w:hAnsiTheme="minorHAnsi"/>
                <w:szCs w:val="22"/>
              </w:rPr>
              <w:t xml:space="preserve">RPO WD </w:t>
            </w:r>
            <w:r w:rsidRPr="00AA6B29">
              <w:rPr>
                <w:rFonts w:asciiTheme="minorHAnsi" w:hAnsiTheme="minorHAnsi"/>
                <w:szCs w:val="22"/>
              </w:rPr>
              <w:t>2014-2020</w:t>
            </w:r>
          </w:p>
        </w:tc>
      </w:tr>
      <w:tr w:rsidR="00D35714" w:rsidRPr="00911273" w:rsidTr="00D35714">
        <w:trPr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Liczba obiektów dostosowanych do potrzeb osób z niepełnosprawnościami</w:t>
            </w:r>
          </w:p>
        </w:tc>
        <w:tc>
          <w:tcPr>
            <w:tcW w:w="757" w:type="pct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Wskaźnik odnosi się do liczby obiektów, które zaopatrzono w specjalne podjazdy, windy, urządzenia głośnomówiące, bądź inne udogodnienia (tj. usunięcie barier w dostępie, w szczególności barier architektonicznych) ułatwiające dostęp do tych obiektów i poruszanie się po nich osobom niepełnosprawnym ruchowo czy sensorycznie.</w:t>
            </w:r>
          </w:p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Jako obiekty budowlane należy rozumieć konstrukcje połączone z gruntem w sposób trwały, wykonane z materiałów budowlanych i elementów składowych, będące wynikiem prac budowlanych (wg. def. PKOB).</w:t>
            </w:r>
          </w:p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Należy podać liczbę obiektów, a nie sprzętów, urządzeń itp., w które obiekty zaopatrzono.</w:t>
            </w:r>
          </w:p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757" w:type="pct"/>
            <w:vAlign w:val="center"/>
          </w:tcPr>
          <w:p w:rsidR="00D35714" w:rsidRPr="00AA6B29" w:rsidRDefault="002A7D28" w:rsidP="002A7D28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</w:t>
            </w:r>
            <w:r w:rsidR="00D35714" w:rsidRPr="00AA6B29">
              <w:rPr>
                <w:rFonts w:asciiTheme="minorHAnsi" w:hAnsiTheme="minorHAnsi"/>
                <w:szCs w:val="22"/>
              </w:rPr>
              <w:t>oryzontalny</w:t>
            </w:r>
          </w:p>
        </w:tc>
      </w:tr>
      <w:tr w:rsidR="00D25D17" w:rsidRPr="00911273" w:rsidTr="00D35714">
        <w:trPr>
          <w:trHeight w:val="3018"/>
        </w:trPr>
        <w:tc>
          <w:tcPr>
            <w:tcW w:w="1137" w:type="pct"/>
            <w:shd w:val="clear" w:color="auto" w:fill="auto"/>
            <w:vAlign w:val="center"/>
          </w:tcPr>
          <w:p w:rsidR="00D25D17" w:rsidRPr="00AA6B29" w:rsidRDefault="00D25D17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 xml:space="preserve">Liczba podmiotów wykorzystujących technologie </w:t>
            </w:r>
            <w:r w:rsidR="000D5DD5">
              <w:rPr>
                <w:rFonts w:asciiTheme="minorHAnsi" w:eastAsiaTheme="minorHAnsi" w:hAnsiTheme="minorHAnsi"/>
                <w:szCs w:val="22"/>
                <w:lang w:eastAsia="en-US"/>
              </w:rPr>
              <w:t xml:space="preserve">informacyjno-komunikacyjne </w:t>
            </w:r>
          </w:p>
        </w:tc>
        <w:tc>
          <w:tcPr>
            <w:tcW w:w="757" w:type="pct"/>
            <w:vAlign w:val="center"/>
          </w:tcPr>
          <w:p w:rsidR="00D25D17" w:rsidRPr="00AA6B29" w:rsidRDefault="00D25D17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>Wskaźnik mierzy liczbę podmiotów, które w celu realizacji projektu zainwestowały w technologie informacyjno-komunikacyjne, a w przypadku projektów edukacyjno-szkoleniowych, również podmiotów, które podjęły działania upowszechniające wykorzystanie TIK.</w:t>
            </w:r>
          </w:p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>Przez technologie informacyjno-komunikacyjne (ang. ICT – Information and Communications Technology) należy rozumieć technologie pozyskiwania produkcji, gromadzenia, przechowywania, przesyłania, przetwarzania i rozpowszechniania informacji w formie elektronicznej oraz wszelkie działania zawiązane z produkcją i wykorzystaniem urządzeń telekomunikacyjnych i informatycznych oraz usług im towarzyszących działania edukacyjne i szkoleniowe.</w:t>
            </w:r>
          </w:p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>W zakresie EFS podmioty wykorzystujące TIK należy rozumieć jako podmioty (beneficjenci, partnerzy beneficjentów), które w ramach realizowanego przez nie projektu wspierają wykorzystywanie technik poprzez, np. propagowanie: szkolenie/zakup</w:t>
            </w:r>
            <w:r w:rsidR="00E4135C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TIK lub podmioty, które otrzymują wsparcie w tym zakresie (uczestnicy projektów), Podmiotu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</w:t>
            </w:r>
          </w:p>
          <w:p w:rsidR="00E4135C" w:rsidRDefault="00E4135C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E4135C" w:rsidRDefault="00E4135C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>Podmiotami realizującymi projekty TIK mogą być m.in. MŚP, duże przedsiębiorstwa , administracja publiczna, w tym jednostki samorządu terytorialnego, NGO, jednostki naukowe, szkoły, które będą wykorzystywać TIK do usprawnienia swojego działania i do prowadzenia relacji z innymi podmiotami.</w:t>
            </w:r>
          </w:p>
          <w:p w:rsidR="00E4135C" w:rsidRDefault="00E4135C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E4135C" w:rsidRPr="00AA6B29" w:rsidRDefault="00E4135C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 xml:space="preserve">W przypadku, gdy beneficjentem pozostaje jedne podmiot , we wskaźniku należy </w:t>
            </w:r>
            <w:r w:rsidR="002302E0">
              <w:rPr>
                <w:rFonts w:asciiTheme="minorHAnsi" w:eastAsiaTheme="minorHAnsi" w:hAnsiTheme="minorHAnsi"/>
                <w:szCs w:val="22"/>
                <w:lang w:eastAsia="en-US"/>
              </w:rPr>
              <w:t>ująć wartość „1”. W przypadku, gdy projekt jest realizowany przez partnerstwo podmiotów, w wartości wskaźnika należy ująć każdy z podmiotów wchodzących w skład partnerstwa, który wdrożył w swojej działalności narzędzia TIK.</w:t>
            </w:r>
          </w:p>
        </w:tc>
        <w:tc>
          <w:tcPr>
            <w:tcW w:w="757" w:type="pct"/>
            <w:vAlign w:val="center"/>
          </w:tcPr>
          <w:p w:rsidR="00D25D17" w:rsidRPr="00AA6B29" w:rsidRDefault="002A7D28" w:rsidP="002A7D28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</w:t>
            </w:r>
            <w:r w:rsidR="00D25D17">
              <w:rPr>
                <w:rFonts w:asciiTheme="minorHAnsi" w:hAnsiTheme="minorHAnsi"/>
                <w:szCs w:val="22"/>
              </w:rPr>
              <w:t>oryzontalny</w:t>
            </w:r>
          </w:p>
        </w:tc>
      </w:tr>
      <w:tr w:rsidR="00D35714" w:rsidRPr="00911273" w:rsidTr="00D35714">
        <w:trPr>
          <w:trHeight w:val="3018"/>
        </w:trPr>
        <w:tc>
          <w:tcPr>
            <w:tcW w:w="1137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Liczba osób objętych szkoleniami / doradztwem w zakresie kompetencji cyfrowych O</w:t>
            </w:r>
            <w:r w:rsidR="001835B5">
              <w:rPr>
                <w:rFonts w:asciiTheme="minorHAnsi" w:eastAsiaTheme="minorHAnsi" w:hAnsiTheme="minorHAnsi"/>
                <w:szCs w:val="22"/>
                <w:lang w:eastAsia="en-US"/>
              </w:rPr>
              <w:t>gółem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/K</w:t>
            </w:r>
            <w:r w:rsidR="001835B5">
              <w:rPr>
                <w:rFonts w:asciiTheme="minorHAnsi" w:eastAsiaTheme="minorHAnsi" w:hAnsiTheme="minorHAnsi"/>
                <w:szCs w:val="22"/>
                <w:lang w:eastAsia="en-US"/>
              </w:rPr>
              <w:t>obiety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/M</w:t>
            </w:r>
            <w:r w:rsidR="001835B5">
              <w:rPr>
                <w:rFonts w:asciiTheme="minorHAnsi" w:eastAsiaTheme="minorHAnsi" w:hAnsiTheme="minorHAnsi"/>
                <w:szCs w:val="22"/>
                <w:lang w:eastAsia="en-US"/>
              </w:rPr>
              <w:t>ężczyźni</w:t>
            </w:r>
          </w:p>
        </w:tc>
        <w:tc>
          <w:tcPr>
            <w:tcW w:w="757" w:type="pct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osoby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Wskaźnik mierzy liczbę osób objętych szkoleniami/doradztwem w zakresie nabywania /doskonalenia umiejętności warunkujących efektywne korzystanie z mediów elektronicznych tj. m.in. korzystania z komputera, różnych rodzajów oprogramowania, internetu oraz kompetencji ściśle informatycznych (np. programowanie, zarządzanie bazami danych, administracja sieciami, administracja witrynami internetowymi).</w:t>
            </w:r>
          </w:p>
        </w:tc>
        <w:tc>
          <w:tcPr>
            <w:tcW w:w="757" w:type="pct"/>
            <w:vAlign w:val="center"/>
          </w:tcPr>
          <w:p w:rsidR="00D35714" w:rsidRPr="00AA6B29" w:rsidRDefault="002A7D28" w:rsidP="002A7D28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</w:t>
            </w:r>
            <w:r w:rsidR="00D35714" w:rsidRPr="00AA6B29">
              <w:rPr>
                <w:rFonts w:asciiTheme="minorHAnsi" w:hAnsiTheme="minorHAnsi"/>
                <w:szCs w:val="22"/>
              </w:rPr>
              <w:t>oryzontalny</w:t>
            </w:r>
          </w:p>
        </w:tc>
      </w:tr>
      <w:tr w:rsidR="00D35714" w:rsidRPr="00911273" w:rsidTr="00D35714">
        <w:trPr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Liczba projektów, w których sfinansowano koszty racjonalnych usprawnień dla osób z niepełnosprawnościami</w:t>
            </w:r>
          </w:p>
        </w:tc>
        <w:tc>
          <w:tcPr>
            <w:tcW w:w="757" w:type="pct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Pr="00AA6B29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</w:t>
            </w:r>
            <w:r w:rsidR="00ED07F0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 (nie należy wpisywać go do wniosku o dofinansowanie)</w:t>
            </w:r>
            <w:r w:rsidR="009B3E38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 i</w:t>
            </w:r>
            <w:r w:rsidR="009B3E38" w:rsidRPr="009B3E38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 dotyczy usług dostosowawczych lub oddziaływania na szeroko pojętą infrastrukturę, nieprzewidzianych z góry we wniosku o dofinansowanie projektu, lecz uruchamianych wraz z pojawieniem się w projekcie (w charakterze uczestnika lub personelu) osoby z niepełnosprawnością</w:t>
            </w:r>
            <w:r w:rsidR="009B3E38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. </w:t>
            </w:r>
          </w:p>
          <w:p w:rsidR="009F5A31" w:rsidRPr="007614FD" w:rsidRDefault="00D35714" w:rsidP="009F5A31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Przykłady racjonalnych usprawnień: tłumacz języka migowego, transport niskopodłogowy, dostosowanie infrastruktury (nie tylko budynku ale też dostosowanie infrastruktury komputerowej np. programy powiększające, mówiące, drukarki materiałów w alfabecie B</w:t>
            </w:r>
            <w:r w:rsidRPr="007614FD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raille'a), osoby asystujące, odpowiednie dostosowanie wyżywienia.</w:t>
            </w:r>
          </w:p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7614FD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Definicja na podstawie </w:t>
            </w:r>
            <w:r w:rsidRPr="007614FD">
              <w:rPr>
                <w:rFonts w:asciiTheme="minorHAnsi" w:eastAsiaTheme="minorHAnsi" w:hAnsiTheme="minorHAnsi" w:cs="Arial"/>
                <w:iCs/>
                <w:color w:val="000000"/>
                <w:szCs w:val="22"/>
                <w:lang w:eastAsia="en-US"/>
              </w:rPr>
              <w:t>Wytycznych w zakresie realizacji zasady równości szans i niedyskryminacji, w tym dostępności dla osób z niepełnosprawnościami oraz równości szans kobiet i mężczyzn w ramach funduszy unijnych na lata 2014-2020</w:t>
            </w:r>
            <w:r w:rsidRPr="007614FD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57" w:type="pct"/>
            <w:vAlign w:val="center"/>
          </w:tcPr>
          <w:p w:rsidR="00D35714" w:rsidRPr="0061737E" w:rsidRDefault="002A7D28" w:rsidP="00D35714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</w:t>
            </w:r>
            <w:r w:rsidR="00D35714" w:rsidRPr="000B05C7">
              <w:rPr>
                <w:rFonts w:asciiTheme="minorHAnsi" w:hAnsiTheme="minorHAnsi"/>
                <w:szCs w:val="22"/>
              </w:rPr>
              <w:t>oryzontalny</w:t>
            </w:r>
          </w:p>
        </w:tc>
      </w:tr>
    </w:tbl>
    <w:p w:rsidR="009119D9" w:rsidRDefault="009119D9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119D9" w:rsidRPr="00E9798A" w:rsidRDefault="009119D9" w:rsidP="009119D9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E9798A">
        <w:rPr>
          <w:rFonts w:asciiTheme="minorHAnsi" w:hAnsiTheme="minorHAnsi"/>
          <w:b/>
          <w:szCs w:val="22"/>
        </w:rPr>
        <w:t>Zgodnie z załącznikiem nr 2 „Lista Wskaźników do wykonania cel</w:t>
      </w:r>
      <w:r w:rsidR="00E3488B">
        <w:rPr>
          <w:rFonts w:asciiTheme="minorHAnsi" w:hAnsiTheme="minorHAnsi"/>
          <w:b/>
          <w:szCs w:val="22"/>
        </w:rPr>
        <w:t xml:space="preserve">ów pośrednich oraz końcowych” </w:t>
      </w:r>
      <w:bookmarkStart w:id="3" w:name="_GoBack"/>
      <w:bookmarkEnd w:id="3"/>
      <w:r w:rsidRPr="00E9798A">
        <w:rPr>
          <w:rFonts w:asciiTheme="minorHAnsi" w:hAnsiTheme="minorHAnsi"/>
          <w:b/>
          <w:szCs w:val="22"/>
        </w:rPr>
        <w:t xml:space="preserve"> </w:t>
      </w:r>
      <w:r w:rsidR="00E3488B" w:rsidRPr="00E3488B">
        <w:rPr>
          <w:rFonts w:asciiTheme="minorHAnsi" w:hAnsiTheme="minorHAnsi"/>
          <w:b/>
          <w:szCs w:val="22"/>
        </w:rPr>
        <w:t>Aneks</w:t>
      </w:r>
      <w:r w:rsidR="00E3488B">
        <w:rPr>
          <w:rFonts w:asciiTheme="minorHAnsi" w:hAnsiTheme="minorHAnsi"/>
          <w:b/>
          <w:szCs w:val="22"/>
        </w:rPr>
        <w:t>u</w:t>
      </w:r>
      <w:r w:rsidR="00E3488B" w:rsidRPr="00E3488B">
        <w:rPr>
          <w:rFonts w:asciiTheme="minorHAnsi" w:hAnsiTheme="minorHAnsi"/>
          <w:b/>
          <w:szCs w:val="22"/>
        </w:rPr>
        <w:t xml:space="preserve"> Nr 2</w:t>
      </w:r>
      <w:r w:rsidR="00E3488B">
        <w:rPr>
          <w:rFonts w:asciiTheme="minorHAnsi" w:hAnsiTheme="minorHAnsi"/>
          <w:b/>
          <w:szCs w:val="22"/>
        </w:rPr>
        <w:t xml:space="preserve"> (z dnia 26 maja 2017 r.) do </w:t>
      </w:r>
      <w:r w:rsidRPr="00E9798A">
        <w:rPr>
          <w:rFonts w:asciiTheme="minorHAnsi" w:hAnsiTheme="minorHAnsi"/>
          <w:b/>
          <w:szCs w:val="22"/>
        </w:rPr>
        <w:t>Porozumienia nr DEF-Z/986/15 z dnia 9 czerwca 2015 r. zawartego pomiędzy Województwem Dolnośl</w:t>
      </w:r>
      <w:r w:rsidR="00140414" w:rsidRPr="00E9798A">
        <w:rPr>
          <w:rFonts w:asciiTheme="minorHAnsi" w:hAnsiTheme="minorHAnsi"/>
          <w:b/>
          <w:szCs w:val="22"/>
        </w:rPr>
        <w:t xml:space="preserve">ąskim – Zarządem Województwa Dolnośląskiego, pełniącym funkcję IZ </w:t>
      </w:r>
      <w:r w:rsidRPr="00E9798A">
        <w:rPr>
          <w:rFonts w:asciiTheme="minorHAnsi" w:hAnsiTheme="minorHAnsi"/>
          <w:b/>
          <w:szCs w:val="22"/>
        </w:rPr>
        <w:t>a Gminą Wrocław pełniącą funkcję Instytucji Pośredniczącej, wskaźniki produktu weryfikowane na etapie oceny zgodności ze Strategią ZIT WrOF są tożsame z wyżej wskazanymi tj.:</w:t>
      </w:r>
    </w:p>
    <w:p w:rsidR="009119D9" w:rsidRPr="00E9798A" w:rsidRDefault="009119D9" w:rsidP="009119D9">
      <w:pPr>
        <w:spacing w:before="0" w:line="276" w:lineRule="auto"/>
        <w:jc w:val="both"/>
        <w:rPr>
          <w:rFonts w:asciiTheme="minorHAnsi" w:hAnsiTheme="minorHAnsi" w:cs="Arial"/>
          <w:szCs w:val="22"/>
        </w:rPr>
      </w:pPr>
    </w:p>
    <w:p w:rsidR="009119D9" w:rsidRPr="00E9798A" w:rsidRDefault="00E9798A" w:rsidP="00E9798A">
      <w:pPr>
        <w:spacing w:before="0" w:line="240" w:lineRule="auto"/>
        <w:jc w:val="both"/>
        <w:rPr>
          <w:rFonts w:asciiTheme="minorHAnsi" w:hAnsiTheme="minorHAnsi" w:cs="Arial"/>
          <w:i/>
          <w:szCs w:val="22"/>
        </w:rPr>
      </w:pPr>
      <w:r w:rsidRPr="00E9798A">
        <w:rPr>
          <w:rFonts w:asciiTheme="minorHAnsi" w:hAnsiTheme="minorHAnsi" w:cs="Arial"/>
          <w:i/>
          <w:szCs w:val="22"/>
        </w:rPr>
        <w:t>„</w:t>
      </w:r>
      <w:r w:rsidR="009119D9" w:rsidRPr="00E9798A">
        <w:rPr>
          <w:rFonts w:asciiTheme="minorHAnsi" w:hAnsiTheme="minorHAnsi" w:cs="Arial"/>
          <w:i/>
          <w:szCs w:val="22"/>
        </w:rPr>
        <w:t>Liczba wspartych obiektów infrastruktury zlokalizowanych na rewitalizowanych obszar</w:t>
      </w:r>
      <w:r w:rsidR="00D373A3">
        <w:rPr>
          <w:rFonts w:asciiTheme="minorHAnsi" w:hAnsiTheme="minorHAnsi" w:cs="Arial"/>
          <w:i/>
          <w:szCs w:val="22"/>
        </w:rPr>
        <w:t>ach</w:t>
      </w:r>
      <w:r w:rsidR="009119D9" w:rsidRPr="00E9798A">
        <w:rPr>
          <w:rFonts w:asciiTheme="minorHAnsi" w:hAnsiTheme="minorHAnsi" w:cs="Arial"/>
          <w:i/>
          <w:szCs w:val="22"/>
        </w:rPr>
        <w:t xml:space="preserve"> [szt.]</w:t>
      </w:r>
      <w:r w:rsidRPr="00E9798A">
        <w:rPr>
          <w:rFonts w:asciiTheme="minorHAnsi" w:hAnsiTheme="minorHAnsi" w:cs="Arial"/>
          <w:i/>
          <w:szCs w:val="22"/>
        </w:rPr>
        <w:t>”</w:t>
      </w:r>
    </w:p>
    <w:p w:rsidR="009119D9" w:rsidRPr="00E9798A" w:rsidRDefault="009119D9" w:rsidP="00E9798A">
      <w:pPr>
        <w:spacing w:before="0" w:line="240" w:lineRule="auto"/>
        <w:jc w:val="both"/>
        <w:rPr>
          <w:rFonts w:asciiTheme="minorHAnsi" w:hAnsiTheme="minorHAnsi" w:cs="Tahoma"/>
          <w:i/>
          <w:kern w:val="1"/>
        </w:rPr>
      </w:pPr>
    </w:p>
    <w:p w:rsidR="009119D9" w:rsidRPr="00E9798A" w:rsidRDefault="00E9798A" w:rsidP="00E9798A">
      <w:pPr>
        <w:spacing w:before="0" w:line="240" w:lineRule="auto"/>
        <w:jc w:val="both"/>
        <w:rPr>
          <w:rFonts w:asciiTheme="minorHAnsi" w:hAnsiTheme="minorHAnsi" w:cs="Tahoma"/>
          <w:i/>
          <w:kern w:val="1"/>
        </w:rPr>
      </w:pPr>
      <w:r w:rsidRPr="00E9798A">
        <w:rPr>
          <w:rFonts w:asciiTheme="minorHAnsi" w:hAnsiTheme="minorHAnsi" w:cs="Tahoma"/>
          <w:i/>
          <w:kern w:val="1"/>
        </w:rPr>
        <w:t>„</w:t>
      </w:r>
      <w:r w:rsidR="009119D9" w:rsidRPr="00E9798A">
        <w:rPr>
          <w:rFonts w:asciiTheme="minorHAnsi" w:hAnsiTheme="minorHAnsi" w:cs="Tahoma"/>
          <w:i/>
          <w:kern w:val="1"/>
        </w:rPr>
        <w:t>Rozwój obszarów miejskich: wyremontowane budynki mieszkalne na obszarach miejskich [szt.]</w:t>
      </w:r>
      <w:r w:rsidRPr="00E9798A">
        <w:rPr>
          <w:rFonts w:asciiTheme="minorHAnsi" w:hAnsiTheme="minorHAnsi" w:cs="Tahoma"/>
          <w:i/>
          <w:kern w:val="1"/>
        </w:rPr>
        <w:t>”</w:t>
      </w:r>
      <w:r w:rsidR="009119D9" w:rsidRPr="00E9798A">
        <w:rPr>
          <w:rFonts w:asciiTheme="minorHAnsi" w:hAnsiTheme="minorHAnsi" w:cs="Tahoma"/>
          <w:i/>
          <w:kern w:val="1"/>
        </w:rPr>
        <w:t xml:space="preserve"> </w:t>
      </w:r>
    </w:p>
    <w:p w:rsidR="00E9798A" w:rsidRDefault="00E9798A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12831" w:rsidRPr="00E9798A" w:rsidRDefault="00912831" w:rsidP="00912831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Theme="minorHAnsi" w:hAnsi="Calibri" w:cs="Calibri"/>
          <w:b/>
          <w:szCs w:val="22"/>
          <w:lang w:eastAsia="en-US"/>
        </w:rPr>
      </w:pPr>
      <w:r w:rsidRPr="00E9798A">
        <w:rPr>
          <w:rFonts w:asciiTheme="minorHAnsi" w:hAnsiTheme="minorHAnsi"/>
          <w:b/>
          <w:szCs w:val="22"/>
        </w:rPr>
        <w:t>W przypadku wskaźników „</w:t>
      </w:r>
      <w:r w:rsidRPr="00E9798A">
        <w:rPr>
          <w:rFonts w:ascii="Calibri" w:eastAsiaTheme="minorHAnsi" w:hAnsi="Calibri" w:cs="Calibri"/>
          <w:b/>
          <w:szCs w:val="22"/>
          <w:lang w:eastAsia="en-US"/>
        </w:rPr>
        <w:t>Wyremontowane budynki mieszkalne na obszarach miejskich” wnioskodawca  zobowiązany jest do wskazania zarówno budynków oraz jednostek mieszkalnych</w:t>
      </w:r>
      <w:r w:rsidR="000E7DD8" w:rsidRPr="00E9798A">
        <w:rPr>
          <w:rFonts w:ascii="Calibri" w:eastAsiaTheme="minorHAnsi" w:hAnsi="Calibri" w:cs="Calibri"/>
          <w:b/>
          <w:szCs w:val="22"/>
          <w:lang w:eastAsia="en-US"/>
        </w:rPr>
        <w:t>.</w:t>
      </w:r>
      <w:r w:rsidRPr="00E9798A">
        <w:rPr>
          <w:rFonts w:ascii="Calibri" w:eastAsiaTheme="minorHAnsi" w:hAnsi="Calibri" w:cs="Calibri"/>
          <w:b/>
          <w:szCs w:val="22"/>
          <w:lang w:eastAsia="en-US"/>
        </w:rPr>
        <w:t xml:space="preserve"> </w:t>
      </w:r>
    </w:p>
    <w:p w:rsidR="00912831" w:rsidRDefault="00912831" w:rsidP="00912831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„Wyremontowane budynki mieszkalne na obszarach miejskich”</w:t>
      </w:r>
      <w:r w:rsidR="002A7D28">
        <w:rPr>
          <w:rFonts w:ascii="Calibri" w:eastAsiaTheme="minorHAnsi" w:hAnsi="Calibri" w:cs="Calibri"/>
          <w:szCs w:val="22"/>
          <w:lang w:eastAsia="en-US"/>
        </w:rPr>
        <w:t xml:space="preserve"> [szt.]</w:t>
      </w:r>
      <w:r w:rsidRPr="005A1857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 xml:space="preserve"> wskaźnik programowy RPO WD –  w tym wypadku należy określić wskaźnik wyrażony liczbowo w postaci budynków w projekcie. Natomiast we wskaźniku „</w:t>
      </w:r>
      <w:r>
        <w:rPr>
          <w:rFonts w:ascii="Calibri" w:eastAsiaTheme="minorHAnsi" w:hAnsi="Calibri" w:cs="Calibri"/>
          <w:szCs w:val="22"/>
          <w:lang w:eastAsia="en-US"/>
        </w:rPr>
        <w:t xml:space="preserve">Wyremontowane budynki mieszkalne na obszarach miejskich” liczony w jednostkach mieszkalnych należy podać liczbę mieszkań w rewitalizowanych budynkach. </w:t>
      </w:r>
    </w:p>
    <w:p w:rsidR="00912831" w:rsidRDefault="00912831" w:rsidP="00912831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Theme="minorHAnsi" w:hAnsi="Calibri" w:cs="Calibri"/>
          <w:szCs w:val="22"/>
          <w:lang w:eastAsia="en-US"/>
        </w:rPr>
      </w:pPr>
    </w:p>
    <w:p w:rsidR="00912831" w:rsidRPr="00B80AE7" w:rsidRDefault="00912831" w:rsidP="00912831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 xml:space="preserve">Wnioskodawca zobligowany  jest do wskazania </w:t>
      </w:r>
      <w:r w:rsidR="000E7DD8">
        <w:rPr>
          <w:rFonts w:ascii="Calibri" w:eastAsiaTheme="minorHAnsi" w:hAnsi="Calibri" w:cs="Calibri"/>
          <w:szCs w:val="22"/>
          <w:lang w:eastAsia="en-US"/>
        </w:rPr>
        <w:t xml:space="preserve">obu </w:t>
      </w:r>
      <w:r>
        <w:rPr>
          <w:rFonts w:ascii="Calibri" w:eastAsiaTheme="minorHAnsi" w:hAnsi="Calibri" w:cs="Calibri"/>
          <w:szCs w:val="22"/>
          <w:lang w:eastAsia="en-US"/>
        </w:rPr>
        <w:t>powyższych wskaźników</w:t>
      </w:r>
      <w:r w:rsidRPr="00EE68A6">
        <w:rPr>
          <w:rFonts w:ascii="Calibri" w:eastAsiaTheme="minorHAnsi" w:hAnsi="Calibri" w:cs="Calibri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Cs w:val="22"/>
          <w:lang w:eastAsia="en-US"/>
        </w:rPr>
        <w:t>„</w:t>
      </w:r>
      <w:r w:rsidRPr="00EE68A6">
        <w:rPr>
          <w:rFonts w:ascii="Calibri" w:eastAsiaTheme="minorHAnsi" w:hAnsi="Calibri" w:cs="Calibri"/>
          <w:i/>
          <w:szCs w:val="22"/>
          <w:lang w:eastAsia="en-US"/>
        </w:rPr>
        <w:t>Wyremontowane budynki mieszkalne na obszarach miejskich</w:t>
      </w:r>
      <w:r>
        <w:rPr>
          <w:rFonts w:ascii="Calibri" w:eastAsiaTheme="minorHAnsi" w:hAnsi="Calibri" w:cs="Calibri"/>
          <w:i/>
          <w:szCs w:val="22"/>
          <w:lang w:eastAsia="en-US"/>
        </w:rPr>
        <w:t>”</w:t>
      </w:r>
      <w:r>
        <w:rPr>
          <w:rFonts w:ascii="Calibri" w:eastAsiaTheme="minorHAnsi" w:hAnsi="Calibri" w:cs="Calibri"/>
          <w:szCs w:val="22"/>
          <w:lang w:eastAsia="en-US"/>
        </w:rPr>
        <w:t xml:space="preserve">, raz liczonego w sztukach, tzn. należy  określić ilość budynków, a w drugim przypadku podać liczbę jednostek mieszkalnych we wskazanym wcześniej budynku. </w:t>
      </w:r>
    </w:p>
    <w:p w:rsidR="00912831" w:rsidRPr="00D96D24" w:rsidRDefault="00912831" w:rsidP="00912831">
      <w:pPr>
        <w:pStyle w:val="Default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912831" w:rsidRPr="00E313C3" w:rsidRDefault="00912831" w:rsidP="0091283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E313C3">
        <w:rPr>
          <w:rFonts w:asciiTheme="minorHAnsi" w:hAnsiTheme="minorHAnsi"/>
          <w:b/>
          <w:sz w:val="22"/>
          <w:szCs w:val="22"/>
        </w:rPr>
        <w:t>Należy traktować powyższe („</w:t>
      </w:r>
      <w:r w:rsidRPr="00E313C3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Wyremontowane budynki mieszkalne na obszarach miejskich”)</w:t>
      </w:r>
      <w:r w:rsidRPr="00E313C3">
        <w:rPr>
          <w:rFonts w:asciiTheme="minorHAnsi" w:hAnsiTheme="minorHAnsi"/>
          <w:b/>
          <w:sz w:val="22"/>
          <w:szCs w:val="22"/>
        </w:rPr>
        <w:t xml:space="preserve"> jako dwa odrębne wskaźniki.</w:t>
      </w:r>
    </w:p>
    <w:p w:rsidR="00912831" w:rsidRDefault="0091283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Dla </w:t>
      </w:r>
      <w:r w:rsidR="00221D32">
        <w:rPr>
          <w:rFonts w:asciiTheme="minorHAnsi" w:hAnsiTheme="minorHAnsi"/>
          <w:sz w:val="22"/>
          <w:szCs w:val="22"/>
        </w:rPr>
        <w:t>każdego z wybranych wskaźników w</w:t>
      </w:r>
      <w:r w:rsidRPr="008A09D1">
        <w:rPr>
          <w:rFonts w:asciiTheme="minorHAnsi" w:hAnsiTheme="minorHAnsi"/>
          <w:sz w:val="22"/>
          <w:szCs w:val="22"/>
        </w:rPr>
        <w:t xml:space="preserve">nioskodawca zobowiązany jest do wskazania </w:t>
      </w:r>
      <w:r w:rsidRPr="008A09D1">
        <w:rPr>
          <w:rFonts w:asciiTheme="minorHAnsi" w:hAnsiTheme="minorHAnsi"/>
          <w:i/>
          <w:sz w:val="22"/>
          <w:szCs w:val="22"/>
        </w:rPr>
        <w:t>„Jednostki miary”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bazowej”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8A09D1">
        <w:rPr>
          <w:rFonts w:asciiTheme="minorHAnsi" w:hAnsiTheme="minorHAnsi"/>
          <w:sz w:val="22"/>
          <w:szCs w:val="22"/>
        </w:rPr>
        <w:t xml:space="preserve">, a także </w:t>
      </w:r>
      <w:r w:rsidRPr="008A09D1">
        <w:rPr>
          <w:rFonts w:asciiTheme="minorHAnsi" w:hAnsiTheme="minorHAnsi"/>
          <w:i/>
          <w:sz w:val="22"/>
          <w:szCs w:val="22"/>
        </w:rPr>
        <w:t>„Źródła informacji o</w:t>
      </w:r>
      <w:r w:rsidR="007E025A">
        <w:rPr>
          <w:rFonts w:asciiTheme="minorHAnsi" w:hAnsiTheme="minorHAnsi"/>
          <w:i/>
          <w:sz w:val="22"/>
          <w:szCs w:val="22"/>
        </w:rPr>
        <w:t> </w:t>
      </w:r>
      <w:r w:rsidRPr="008A09D1">
        <w:rPr>
          <w:rFonts w:asciiTheme="minorHAnsi" w:hAnsiTheme="minorHAnsi"/>
          <w:i/>
          <w:sz w:val="22"/>
          <w:szCs w:val="22"/>
        </w:rPr>
        <w:t>wskaźniku”</w:t>
      </w:r>
      <w:r w:rsidRPr="008A09D1">
        <w:rPr>
          <w:rFonts w:asciiTheme="minorHAnsi" w:hAnsiTheme="minorHAnsi"/>
          <w:sz w:val="22"/>
          <w:szCs w:val="22"/>
        </w:rPr>
        <w:t xml:space="preserve">. </w:t>
      </w: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8A09D1">
        <w:rPr>
          <w:rFonts w:asciiTheme="minorHAnsi" w:hAnsiTheme="minorHAnsi"/>
          <w:sz w:val="22"/>
          <w:szCs w:val="22"/>
        </w:rPr>
        <w:t>Jako źródło informacji o wskaźniku wskazać należy odpowiedni dokument (np. protokół odbioru</w:t>
      </w:r>
      <w:r w:rsidR="007E025A">
        <w:rPr>
          <w:rFonts w:asciiTheme="minorHAnsi" w:hAnsiTheme="minorHAnsi"/>
          <w:sz w:val="22"/>
          <w:szCs w:val="22"/>
        </w:rPr>
        <w:t xml:space="preserve"> robót</w:t>
      </w:r>
      <w:r w:rsidRPr="008A09D1">
        <w:rPr>
          <w:rFonts w:asciiTheme="minorHAnsi" w:hAnsiTheme="minorHAnsi"/>
          <w:sz w:val="22"/>
          <w:szCs w:val="22"/>
        </w:rPr>
        <w:t>).</w:t>
      </w:r>
      <w:r w:rsidRPr="008A09D1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B80AE7" w:rsidRDefault="00B80AE7" w:rsidP="00640270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3A6859" w:rsidRDefault="003A6859" w:rsidP="003A68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>W r</w:t>
      </w:r>
      <w:r w:rsidR="00221D32">
        <w:rPr>
          <w:rFonts w:asciiTheme="minorHAnsi" w:eastAsiaTheme="minorHAnsi" w:hAnsiTheme="minorHAnsi" w:cs="Arial"/>
          <w:szCs w:val="22"/>
          <w:lang w:eastAsia="en-US"/>
        </w:rPr>
        <w:t>amach wniosku o dofinansowanie w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z listy przedstawionej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="00D96D24">
        <w:rPr>
          <w:rFonts w:asciiTheme="minorHAnsi" w:eastAsiaTheme="minorHAnsi" w:hAnsiTheme="minorHAnsi" w:cs="Arial"/>
          <w:szCs w:val="22"/>
          <w:lang w:eastAsia="en-US"/>
        </w:rPr>
        <w:t>w powyższej  tabeli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, odpowiadające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</w:p>
    <w:p w:rsidR="008C495E" w:rsidRPr="004E49D6" w:rsidRDefault="008C495E" w:rsidP="00DC184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p w:rsidR="003D3BC5" w:rsidRDefault="008C495E" w:rsidP="00B92427">
      <w:pPr>
        <w:spacing w:line="240" w:lineRule="auto"/>
        <w:jc w:val="both"/>
        <w:rPr>
          <w:rFonts w:asciiTheme="minorHAnsi" w:hAnsiTheme="minorHAnsi" w:cs="Arial"/>
          <w:szCs w:val="22"/>
        </w:rPr>
      </w:pPr>
      <w:r w:rsidRPr="00911273">
        <w:rPr>
          <w:rFonts w:asciiTheme="minorHAnsi" w:hAnsiTheme="minorHAnsi"/>
          <w:b/>
          <w:szCs w:val="22"/>
        </w:rPr>
        <w:t>Wskaźniki rezultatu bezpośredniego</w:t>
      </w:r>
      <w:r w:rsidR="007300ED">
        <w:rPr>
          <w:rFonts w:asciiTheme="minorHAnsi" w:hAnsiTheme="minorHAnsi"/>
          <w:szCs w:val="22"/>
        </w:rPr>
        <w:t xml:space="preserve"> są to </w:t>
      </w:r>
      <w:r w:rsidR="003D3BC5" w:rsidRPr="00911273">
        <w:rPr>
          <w:rFonts w:asciiTheme="minorHAnsi" w:hAnsiTheme="minorHAnsi"/>
          <w:szCs w:val="22"/>
        </w:rPr>
        <w:t>w</w:t>
      </w:r>
      <w:r w:rsidR="003D3BC5" w:rsidRPr="00911273">
        <w:rPr>
          <w:rFonts w:asciiTheme="minorHAnsi" w:hAnsiTheme="minorHAnsi" w:cs="Arial"/>
          <w:szCs w:val="22"/>
        </w:rPr>
        <w:t>ska</w:t>
      </w:r>
      <w:r w:rsidR="003D3BC5" w:rsidRPr="003D3BC5">
        <w:rPr>
          <w:rFonts w:asciiTheme="minorHAnsi" w:hAnsiTheme="minorHAnsi" w:cs="Arial"/>
          <w:szCs w:val="22"/>
        </w:rPr>
        <w:t>źniki odnoszące się</w:t>
      </w:r>
      <w:r w:rsidR="0015486C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do bezpośrednich efektów projektu, </w:t>
      </w:r>
      <w:r w:rsidR="008E3F0D">
        <w:rPr>
          <w:rFonts w:asciiTheme="minorHAnsi" w:hAnsiTheme="minorHAnsi" w:cs="Arial"/>
          <w:szCs w:val="22"/>
        </w:rPr>
        <w:t xml:space="preserve">stanowią </w:t>
      </w:r>
      <w:r w:rsidR="003D3BC5" w:rsidRPr="003D3BC5">
        <w:rPr>
          <w:rFonts w:asciiTheme="minorHAnsi" w:hAnsiTheme="minorHAnsi" w:cs="Arial"/>
          <w:szCs w:val="22"/>
        </w:rPr>
        <w:t>wynik</w:t>
      </w:r>
      <w:r w:rsidR="008E3F0D">
        <w:rPr>
          <w:rFonts w:asciiTheme="minorHAnsi" w:hAnsiTheme="minorHAnsi" w:cs="Arial"/>
          <w:szCs w:val="22"/>
        </w:rPr>
        <w:t xml:space="preserve"> realizacji</w:t>
      </w:r>
      <w:r w:rsidR="003D3BC5" w:rsidRPr="003D3BC5">
        <w:rPr>
          <w:rFonts w:asciiTheme="minorHAnsi" w:hAnsiTheme="minorHAnsi" w:cs="Arial"/>
          <w:szCs w:val="22"/>
        </w:rPr>
        <w:t xml:space="preserve"> projektu, ale mogą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mieć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na ni</w:t>
      </w:r>
      <w:r w:rsidR="008E3F0D">
        <w:rPr>
          <w:rFonts w:asciiTheme="minorHAnsi" w:hAnsiTheme="minorHAnsi" w:cs="Arial"/>
          <w:szCs w:val="22"/>
        </w:rPr>
        <w:t>ego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wpływ także inne zewnętrzne czynniki; niepowiązane bezpośrednio z wydatkami ponoszonymi w projekcie. </w:t>
      </w:r>
      <w:r w:rsidR="007300ED">
        <w:rPr>
          <w:rFonts w:asciiTheme="minorHAnsi" w:hAnsiTheme="minorHAnsi" w:cs="Arial"/>
          <w:szCs w:val="22"/>
        </w:rPr>
        <w:t>Dostarczają informacji o zmianach jakie nastąpiły w wyniku realizacji projektu, w</w:t>
      </w:r>
      <w:r w:rsidR="00141571">
        <w:rPr>
          <w:rFonts w:asciiTheme="minorHAnsi" w:hAnsiTheme="minorHAnsi" w:cs="Arial"/>
          <w:szCs w:val="22"/>
        </w:rPr>
        <w:t> </w:t>
      </w:r>
      <w:r w:rsidR="007300ED">
        <w:rPr>
          <w:rFonts w:asciiTheme="minorHAnsi" w:hAnsiTheme="minorHAnsi" w:cs="Arial"/>
          <w:szCs w:val="22"/>
        </w:rPr>
        <w:t xml:space="preserve">porównaniu z wielkością wyjściową (bazową). Są logicznie powiązane ze wskaźnikami produktu. </w:t>
      </w:r>
      <w:r w:rsidR="000F5C98">
        <w:rPr>
          <w:rFonts w:asciiTheme="minorHAnsi" w:hAnsiTheme="minorHAnsi" w:cs="Arial"/>
          <w:szCs w:val="22"/>
        </w:rPr>
        <w:t xml:space="preserve"> Muszą być adekwatne do celu projektu.</w:t>
      </w:r>
    </w:p>
    <w:p w:rsidR="000F5C98" w:rsidRDefault="000F5C98" w:rsidP="007650AC">
      <w:pPr>
        <w:pStyle w:val="Default"/>
        <w:jc w:val="both"/>
        <w:rPr>
          <w:sz w:val="22"/>
          <w:szCs w:val="22"/>
        </w:rPr>
      </w:pP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F5C98">
        <w:rPr>
          <w:rFonts w:asciiTheme="minorHAnsi" w:hAnsiTheme="minorHAnsi"/>
          <w:sz w:val="22"/>
          <w:szCs w:val="22"/>
        </w:rPr>
        <w:t xml:space="preserve">Dla </w:t>
      </w:r>
      <w:r w:rsidR="00221D32">
        <w:rPr>
          <w:rFonts w:asciiTheme="minorHAnsi" w:hAnsiTheme="minorHAnsi"/>
          <w:sz w:val="22"/>
          <w:szCs w:val="22"/>
        </w:rPr>
        <w:t>każdego z wybranych wskaźników w</w:t>
      </w:r>
      <w:r w:rsidRPr="000F5C98">
        <w:rPr>
          <w:rFonts w:asciiTheme="minorHAnsi" w:hAnsiTheme="minorHAnsi"/>
          <w:sz w:val="22"/>
          <w:szCs w:val="22"/>
        </w:rPr>
        <w:t xml:space="preserve">nioskodawca zobowiązany jest do wskazania </w:t>
      </w:r>
      <w:r w:rsidRPr="000F5C98">
        <w:rPr>
          <w:rFonts w:asciiTheme="minorHAnsi" w:hAnsiTheme="minorHAnsi"/>
          <w:i/>
          <w:sz w:val="22"/>
          <w:szCs w:val="22"/>
        </w:rPr>
        <w:t>„Jednostki miary”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bazowej”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0F5C98">
        <w:rPr>
          <w:rFonts w:asciiTheme="minorHAnsi" w:hAnsiTheme="minorHAnsi"/>
          <w:sz w:val="22"/>
          <w:szCs w:val="22"/>
        </w:rPr>
        <w:t xml:space="preserve">, a także </w:t>
      </w:r>
      <w:r w:rsidR="00141571">
        <w:rPr>
          <w:rFonts w:asciiTheme="minorHAnsi" w:hAnsiTheme="minorHAnsi"/>
          <w:i/>
          <w:sz w:val="22"/>
          <w:szCs w:val="22"/>
        </w:rPr>
        <w:t>„Źródła informacji o </w:t>
      </w:r>
      <w:r w:rsidRPr="000F5C98">
        <w:rPr>
          <w:rFonts w:asciiTheme="minorHAnsi" w:hAnsiTheme="minorHAnsi"/>
          <w:i/>
          <w:sz w:val="22"/>
          <w:szCs w:val="22"/>
        </w:rPr>
        <w:t>wskaźniku”</w:t>
      </w:r>
      <w:r w:rsidRPr="000F5C98">
        <w:rPr>
          <w:rFonts w:asciiTheme="minorHAnsi" w:hAnsiTheme="minorHAnsi"/>
          <w:sz w:val="22"/>
          <w:szCs w:val="22"/>
        </w:rPr>
        <w:t xml:space="preserve">. </w:t>
      </w: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E313C3">
        <w:rPr>
          <w:rFonts w:asciiTheme="minorHAnsi" w:hAnsiTheme="minorHAnsi"/>
          <w:sz w:val="22"/>
          <w:szCs w:val="22"/>
        </w:rPr>
        <w:t>Wartość docelowa dla wskaźnika rezultatu to wyrażony liczbowo stan danego wskaźnika uzyskany w</w:t>
      </w:r>
      <w:r w:rsidR="00141571" w:rsidRPr="00E313C3">
        <w:rPr>
          <w:rFonts w:asciiTheme="minorHAnsi" w:hAnsiTheme="minorHAnsi"/>
          <w:sz w:val="22"/>
          <w:szCs w:val="22"/>
        </w:rPr>
        <w:t> </w:t>
      </w:r>
      <w:r w:rsidR="00B92427" w:rsidRPr="00E313C3">
        <w:rPr>
          <w:rFonts w:asciiTheme="minorHAnsi" w:hAnsiTheme="minorHAnsi"/>
          <w:sz w:val="22"/>
          <w:szCs w:val="22"/>
        </w:rPr>
        <w:t>efekcie realizacji projektu.</w:t>
      </w:r>
    </w:p>
    <w:p w:rsidR="007300ED" w:rsidRDefault="000F5C98" w:rsidP="00485CDD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  <w:r w:rsidRPr="000F5C98">
        <w:rPr>
          <w:rFonts w:asciiTheme="minorHAnsi" w:hAnsiTheme="minorHAnsi"/>
        </w:rPr>
        <w:t>Jako źródło informacji o wskaźniku wskaza</w:t>
      </w:r>
      <w:r w:rsidR="00D80B00">
        <w:rPr>
          <w:rFonts w:asciiTheme="minorHAnsi" w:hAnsiTheme="minorHAnsi"/>
        </w:rPr>
        <w:t>ć należy odpowiedni dokument.</w:t>
      </w:r>
    </w:p>
    <w:p w:rsidR="00D96D24" w:rsidRDefault="00D96D24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Działania 6.3 Rewitalizacja zdegradowanych obszarów –</w:t>
      </w:r>
      <w:r w:rsidR="00CB1388">
        <w:rPr>
          <w:rFonts w:asciiTheme="minorHAnsi" w:hAnsiTheme="minorHAnsi"/>
          <w:b/>
          <w:szCs w:val="22"/>
        </w:rPr>
        <w:t xml:space="preserve"> na poziomie SZOOP </w:t>
      </w:r>
      <w:r w:rsidR="00912831">
        <w:rPr>
          <w:rFonts w:asciiTheme="minorHAnsi" w:hAnsiTheme="minorHAnsi"/>
          <w:b/>
          <w:szCs w:val="22"/>
        </w:rPr>
        <w:t xml:space="preserve">RPO WD 2014-2020 </w:t>
      </w:r>
      <w:r w:rsidR="00CB1388">
        <w:rPr>
          <w:rFonts w:asciiTheme="minorHAnsi" w:hAnsiTheme="minorHAnsi"/>
          <w:b/>
          <w:szCs w:val="22"/>
        </w:rPr>
        <w:t>nie wskazano wskaźników o charakterze rezultatu bezpośredniego.</w:t>
      </w:r>
    </w:p>
    <w:p w:rsidR="00CB1388" w:rsidRDefault="00CB1388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Jednakże wszyscy wnioskodawcy są zobligowani do określenia poniższych wskaźników o charakterze rezultatu bezpośredniego – horyzontalnych</w:t>
      </w:r>
      <w:r w:rsidR="00912831">
        <w:rPr>
          <w:rFonts w:asciiTheme="minorHAnsi" w:hAnsiTheme="minorHAnsi"/>
          <w:b/>
          <w:szCs w:val="22"/>
        </w:rPr>
        <w:t>, jeśli są adekwatne do celu projektu</w:t>
      </w:r>
    </w:p>
    <w:p w:rsidR="00D80B00" w:rsidRDefault="00D80B00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p w:rsidR="00D80B00" w:rsidRPr="00DC184F" w:rsidRDefault="00D80B00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397"/>
        <w:gridCol w:w="4106"/>
        <w:gridCol w:w="2090"/>
      </w:tblGrid>
      <w:tr w:rsidR="00D80B00" w:rsidRPr="003C55C7" w:rsidTr="0022625B">
        <w:trPr>
          <w:trHeight w:val="20"/>
          <w:jc w:val="center"/>
        </w:trPr>
        <w:tc>
          <w:tcPr>
            <w:tcW w:w="1189" w:type="pct"/>
            <w:shd w:val="clear" w:color="auto" w:fill="auto"/>
            <w:vAlign w:val="center"/>
          </w:tcPr>
          <w:p w:rsidR="00D80B00" w:rsidRPr="00911273" w:rsidRDefault="00D80B00" w:rsidP="00BA4FB4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t xml:space="preserve">Nazwa wskaźnika </w:t>
            </w:r>
            <w:r w:rsidRPr="006A09F0">
              <w:rPr>
                <w:rFonts w:asciiTheme="minorHAnsi" w:hAnsiTheme="minorHAnsi"/>
                <w:b/>
                <w:szCs w:val="22"/>
              </w:rPr>
              <w:t>rezultatu bezpośredniego</w:t>
            </w:r>
          </w:p>
        </w:tc>
        <w:tc>
          <w:tcPr>
            <w:tcW w:w="701" w:type="pct"/>
          </w:tcPr>
          <w:p w:rsidR="00D80B00" w:rsidRPr="00911273" w:rsidRDefault="00D80B00" w:rsidP="00BA4FB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80B00" w:rsidRPr="00911273" w:rsidRDefault="00D80B00" w:rsidP="00BA4FB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1049" w:type="pct"/>
          </w:tcPr>
          <w:p w:rsidR="00D80B00" w:rsidRPr="00911273" w:rsidRDefault="00D80B00" w:rsidP="00BA4FB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 którym określono wskaźnik</w:t>
            </w:r>
          </w:p>
        </w:tc>
      </w:tr>
      <w:tr w:rsidR="00D80B00" w:rsidRPr="003C55C7" w:rsidTr="007614FD">
        <w:trPr>
          <w:trHeight w:val="3388"/>
          <w:jc w:val="center"/>
        </w:trPr>
        <w:tc>
          <w:tcPr>
            <w:tcW w:w="1189" w:type="pct"/>
            <w:shd w:val="clear" w:color="auto" w:fill="auto"/>
          </w:tcPr>
          <w:p w:rsidR="00D80B00" w:rsidRDefault="00D80B00" w:rsidP="00BA4FB4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3C55C7">
              <w:rPr>
                <w:rFonts w:asciiTheme="minorHAnsi" w:hAnsiTheme="minorHAnsi" w:cs="ArialNarrow"/>
                <w:sz w:val="22"/>
                <w:szCs w:val="22"/>
              </w:rPr>
              <w:t>Wzrost zatrudnienia we wspieranych podmiotach (innych niż przedsiębiorstwa)</w:t>
            </w:r>
          </w:p>
          <w:p w:rsidR="00D80B00" w:rsidRPr="003C55C7" w:rsidRDefault="001835B5" w:rsidP="00BA4FB4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1835B5">
              <w:rPr>
                <w:rFonts w:asciiTheme="minorHAnsi" w:hAnsiTheme="minorHAnsi" w:cs="ArialNarrow"/>
                <w:sz w:val="22"/>
                <w:szCs w:val="22"/>
              </w:rPr>
              <w:t>Ogółem/Kobiety/Mężczyźni</w:t>
            </w:r>
          </w:p>
        </w:tc>
        <w:tc>
          <w:tcPr>
            <w:tcW w:w="701" w:type="pct"/>
          </w:tcPr>
          <w:p w:rsidR="00D80B00" w:rsidRPr="003C55C7" w:rsidRDefault="00D80B00" w:rsidP="00BA4FB4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3C55C7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96D24" w:rsidRPr="00D96D24" w:rsidRDefault="00D96D24" w:rsidP="00D96D2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D96D24">
              <w:rPr>
                <w:rFonts w:asciiTheme="minorHAnsi" w:hAnsiTheme="minorHAnsi"/>
              </w:rPr>
              <w:t>Nowe miejsca pracy brutto we wspartych  podmiotach</w:t>
            </w:r>
            <w:r w:rsidRPr="00D96D24">
              <w:rPr>
                <w:rFonts w:asciiTheme="minorHAnsi" w:hAnsiTheme="minorHAnsi" w:cs="ArialNarrow"/>
                <w:szCs w:val="22"/>
              </w:rPr>
              <w:t xml:space="preserve"> (innych niż przedsiębiorstwa) </w:t>
            </w:r>
            <w:r w:rsidRPr="00D96D24">
              <w:rPr>
                <w:rFonts w:asciiTheme="minorHAnsi" w:hAnsiTheme="minorHAnsi"/>
              </w:rPr>
              <w:t xml:space="preserve">wyrażone w ekwiwalencie pełnego czasu pracy (EPC). </w:t>
            </w:r>
          </w:p>
          <w:p w:rsidR="00D96D24" w:rsidRPr="00D96D24" w:rsidRDefault="00D96D24" w:rsidP="00D96D2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D96D24">
              <w:rPr>
                <w:rFonts w:asciiTheme="minorHAnsi" w:hAnsiTheme="minorHAnsi"/>
              </w:rPr>
              <w:t xml:space="preserve">Wskaźnik ukazuje zmianę "przed-po" </w:t>
            </w:r>
            <w:r w:rsidRPr="00D96D24">
              <w:rPr>
                <w:rFonts w:asciiTheme="minorHAnsi" w:hAnsiTheme="minorHAnsi"/>
              </w:rPr>
              <w:br/>
              <w:t xml:space="preserve">i obejmuje część wzrostu zatrudnienia </w:t>
            </w:r>
            <w:r w:rsidRPr="00D96D24">
              <w:rPr>
                <w:rFonts w:asciiTheme="minorHAnsi" w:hAnsiTheme="minorHAnsi"/>
              </w:rPr>
              <w:br/>
              <w:t xml:space="preserve">w podmiocie będącego bezpośrednim skutkiem zakończenia realizacji projektu (nie są wliczani pracownicy zatrudnieni do realizacji projektu). </w:t>
            </w:r>
          </w:p>
          <w:p w:rsidR="00D96D24" w:rsidRPr="00D96D24" w:rsidRDefault="00D96D24" w:rsidP="00D96D24">
            <w:pPr>
              <w:spacing w:after="240" w:line="240" w:lineRule="auto"/>
              <w:jc w:val="both"/>
              <w:rPr>
                <w:rFonts w:asciiTheme="minorHAnsi" w:hAnsiTheme="minorHAnsi"/>
              </w:rPr>
            </w:pPr>
            <w:r w:rsidRPr="00D96D24">
              <w:rPr>
                <w:rFonts w:asciiTheme="minorHAnsi" w:hAnsiTheme="minorHAnsi"/>
              </w:rPr>
              <w:t xml:space="preserve">Uwzględnia się obsadzone miejsca pracy (wakaty nie są liczone), które zwiększają łączną liczbę miejsc pracy </w:t>
            </w:r>
            <w:r w:rsidRPr="00D96D24">
              <w:rPr>
                <w:rFonts w:asciiTheme="minorHAnsi" w:hAnsiTheme="minorHAnsi"/>
              </w:rPr>
              <w:br/>
              <w:t xml:space="preserve">w podmiocie </w:t>
            </w:r>
            <w:r w:rsidR="007614FD">
              <w:rPr>
                <w:rFonts w:asciiTheme="minorHAnsi" w:hAnsiTheme="minorHAnsi" w:cs="ArialNarrow"/>
                <w:szCs w:val="22"/>
              </w:rPr>
              <w:t>(innym niż przedsiębiorstwa).</w:t>
            </w:r>
            <w:r w:rsidR="007614FD">
              <w:rPr>
                <w:rFonts w:asciiTheme="minorHAnsi" w:hAnsiTheme="minorHAnsi"/>
              </w:rPr>
              <w:t xml:space="preserve"> Brak wzrostu </w:t>
            </w:r>
            <w:r w:rsidRPr="00D96D24">
              <w:rPr>
                <w:rFonts w:asciiTheme="minorHAnsi" w:hAnsiTheme="minorHAnsi"/>
              </w:rPr>
              <w:t xml:space="preserve">w całkowitym zatrudnieniu </w:t>
            </w:r>
            <w:r w:rsidRPr="00D96D24">
              <w:rPr>
                <w:rFonts w:asciiTheme="minorHAnsi" w:hAnsiTheme="minorHAnsi"/>
              </w:rPr>
              <w:br/>
              <w:t xml:space="preserve">w podmiocie </w:t>
            </w:r>
            <w:r w:rsidRPr="00D96D24">
              <w:rPr>
                <w:rFonts w:asciiTheme="minorHAnsi" w:hAnsiTheme="minorHAnsi" w:cs="ArialNarrow"/>
                <w:szCs w:val="22"/>
              </w:rPr>
              <w:t xml:space="preserve">(innym niż przedsiębiorstwa) </w:t>
            </w:r>
            <w:r w:rsidRPr="00D96D24">
              <w:rPr>
                <w:rFonts w:asciiTheme="minorHAnsi" w:hAnsiTheme="minorHAnsi"/>
              </w:rPr>
              <w:t xml:space="preserve">  oznacza, że wartość wskaźnika jest równa zero, co traktuje się jako wyrównanie miejsc pracy, a nie wzrost. Nie wlicza się miejsc pracy, np. utrzymanych dzięki realizacji projektu.</w:t>
            </w:r>
          </w:p>
          <w:p w:rsidR="00D96D24" w:rsidRPr="00D96D24" w:rsidRDefault="00D96D24" w:rsidP="00D96D24">
            <w:pPr>
              <w:spacing w:after="240" w:line="240" w:lineRule="auto"/>
              <w:jc w:val="both"/>
              <w:rPr>
                <w:rFonts w:asciiTheme="minorHAnsi" w:hAnsiTheme="minorHAnsi"/>
              </w:rPr>
            </w:pPr>
            <w:r w:rsidRPr="00D96D24">
              <w:rPr>
                <w:rFonts w:asciiTheme="minorHAnsi" w:hAnsiTheme="minorHAnsi"/>
              </w:rPr>
              <w:t xml:space="preserve">Brutto: Nie uwzględniamy miejsca pracy otrzymanego w wyniku zmian wewnątrz podmiotu </w:t>
            </w:r>
            <w:r w:rsidRPr="00D96D24">
              <w:rPr>
                <w:rFonts w:asciiTheme="minorHAnsi" w:hAnsiTheme="minorHAnsi" w:cs="ArialNarrow"/>
                <w:szCs w:val="22"/>
              </w:rPr>
              <w:t>(innego niż przedsiębiorstwa)</w:t>
            </w:r>
            <w:r w:rsidRPr="00D96D24">
              <w:rPr>
                <w:rFonts w:asciiTheme="minorHAnsi" w:hAnsiTheme="minorHAnsi"/>
              </w:rPr>
              <w:t xml:space="preserve">, dopóki nie przyczyni się to do całkowitego wzrostu liczby miejsc pracy w podmiocie. Wskaźnik powinien być zastosowany, jeżeli wzrost zatrudnienia może być wiarygodnie </w:t>
            </w:r>
            <w:r w:rsidR="007614FD">
              <w:rPr>
                <w:rFonts w:asciiTheme="minorHAnsi" w:hAnsiTheme="minorHAnsi"/>
              </w:rPr>
              <w:t xml:space="preserve">przypisany do wsparcia </w:t>
            </w:r>
            <w:r w:rsidRPr="00D96D24">
              <w:rPr>
                <w:rFonts w:asciiTheme="minorHAnsi" w:hAnsiTheme="minorHAnsi"/>
              </w:rPr>
              <w:t>w ramach projektu.</w:t>
            </w:r>
          </w:p>
          <w:p w:rsidR="00D80B00" w:rsidRPr="007614FD" w:rsidRDefault="00D96D24" w:rsidP="00BA4FB4">
            <w:pPr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 w:rsidRPr="00D96D24">
              <w:rPr>
                <w:rFonts w:asciiTheme="minorHAnsi" w:hAnsiTheme="minorHAnsi"/>
              </w:rPr>
              <w:t>Ekwiwalent pełnego czasu pracy: miejsca pracy mogą być pełnoetatowe, na część etatu lub sezonowe, przy czym etaty częściowe podlegają sumowaniu lecz nie są zaokrąglane do pełnych jednostek. Zatrudnienie sezonowe i na cz</w:t>
            </w:r>
            <w:r w:rsidR="007614FD">
              <w:rPr>
                <w:rFonts w:asciiTheme="minorHAnsi" w:hAnsiTheme="minorHAnsi"/>
              </w:rPr>
              <w:t xml:space="preserve">ęść etatu przelicza się na EPC </w:t>
            </w:r>
            <w:r w:rsidRPr="00D96D24">
              <w:rPr>
                <w:rFonts w:asciiTheme="minorHAnsi" w:hAnsiTheme="minorHAnsi"/>
              </w:rPr>
              <w:t xml:space="preserve">z wykorzystaniem standardów ILO (Międzynarodowa Organizacja Pracy)/ statystycznych/innych. </w:t>
            </w:r>
          </w:p>
        </w:tc>
        <w:tc>
          <w:tcPr>
            <w:tcW w:w="1049" w:type="pct"/>
          </w:tcPr>
          <w:p w:rsidR="00D80B00" w:rsidRPr="003C55C7" w:rsidRDefault="00D80B00" w:rsidP="00BA4FB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3C55C7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D80B00" w:rsidRPr="003C55C7" w:rsidTr="00BA4FB4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D80B00" w:rsidRPr="003C55C7" w:rsidRDefault="00D80B00" w:rsidP="00BA4FB4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3C55C7">
              <w:rPr>
                <w:rFonts w:asciiTheme="minorHAnsi" w:hAnsiTheme="minorHAnsi" w:cs="ArialNarrow"/>
                <w:sz w:val="22"/>
                <w:szCs w:val="22"/>
              </w:rPr>
              <w:t>Liczba utrzymanych miejsc pracy</w:t>
            </w:r>
          </w:p>
        </w:tc>
        <w:tc>
          <w:tcPr>
            <w:tcW w:w="701" w:type="pct"/>
          </w:tcPr>
          <w:p w:rsidR="00D80B00" w:rsidRPr="003C55C7" w:rsidRDefault="00D80B00" w:rsidP="00BA4FB4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3C55C7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80B00" w:rsidRPr="003C55C7" w:rsidRDefault="00D80B00" w:rsidP="00BA4FB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3C55C7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Miejsca pracy utworzone w wyniku realizacji projektu, lecz nie powodują wzrostu zatrudnienia w organizacji</w:t>
            </w:r>
          </w:p>
          <w:p w:rsidR="00D80B00" w:rsidRPr="008554A8" w:rsidRDefault="00D80B00" w:rsidP="00BA4FB4">
            <w:pPr>
              <w:spacing w:line="240" w:lineRule="auto"/>
              <w:jc w:val="both"/>
              <w:rPr>
                <w:rFonts w:ascii="Arial Narrow" w:hAnsi="Arial Narrow"/>
                <w:color w:val="333399"/>
                <w:sz w:val="18"/>
                <w:szCs w:val="18"/>
              </w:rPr>
            </w:pPr>
          </w:p>
        </w:tc>
        <w:tc>
          <w:tcPr>
            <w:tcW w:w="1049" w:type="pct"/>
          </w:tcPr>
          <w:p w:rsidR="00D80B00" w:rsidRPr="003C55C7" w:rsidRDefault="00D80B00" w:rsidP="00BA4FB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3C55C7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D80B00" w:rsidRPr="003C55C7" w:rsidTr="00BA4FB4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D80B00" w:rsidRPr="003C55C7" w:rsidRDefault="00D80B00" w:rsidP="00BA4FB4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3C55C7">
              <w:rPr>
                <w:rFonts w:asciiTheme="minorHAnsi" w:hAnsiTheme="minorHAnsi" w:cs="ArialNarrow"/>
                <w:sz w:val="22"/>
                <w:szCs w:val="22"/>
              </w:rPr>
              <w:t xml:space="preserve">Liczba nowo utworzonych miejsc pracy - pozostałe formy </w:t>
            </w:r>
          </w:p>
        </w:tc>
        <w:tc>
          <w:tcPr>
            <w:tcW w:w="701" w:type="pct"/>
          </w:tcPr>
          <w:p w:rsidR="00D80B00" w:rsidRPr="003C55C7" w:rsidRDefault="00D80B00" w:rsidP="00BA4FB4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3C55C7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80B00" w:rsidRPr="00471B0C" w:rsidRDefault="00D80B00" w:rsidP="00BA4FB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Verdana"/>
                <w:sz w:val="23"/>
                <w:szCs w:val="23"/>
                <w:lang w:eastAsia="en-US"/>
              </w:rPr>
            </w:pPr>
            <w:r w:rsidRPr="00471B0C">
              <w:rPr>
                <w:rFonts w:asciiTheme="minorHAnsi" w:eastAsiaTheme="minorHAnsi" w:hAnsiTheme="minorHAnsi" w:cstheme="minorBidi"/>
                <w:iCs/>
                <w:sz w:val="23"/>
                <w:szCs w:val="23"/>
                <w:lang w:eastAsia="en-US"/>
              </w:rPr>
              <w:t>Pozostałe formy</w:t>
            </w:r>
            <w:r w:rsidRPr="00471B0C">
              <w:rPr>
                <w:rFonts w:asciiTheme="minorHAnsi" w:eastAsiaTheme="minorHAnsi" w:hAnsiTheme="minorHAnsi" w:cs="Verdana"/>
                <w:sz w:val="23"/>
                <w:szCs w:val="23"/>
                <w:lang w:eastAsia="en-US"/>
              </w:rPr>
              <w:t xml:space="preserve">, np. umowy cywilnoprawne, miejsca pracy do obsługi projektu, nietrwałe miejsca pracy </w:t>
            </w:r>
          </w:p>
          <w:p w:rsidR="00D80B00" w:rsidRPr="008554A8" w:rsidRDefault="00D80B00" w:rsidP="00BA4FB4">
            <w:pPr>
              <w:spacing w:line="240" w:lineRule="auto"/>
              <w:jc w:val="both"/>
              <w:rPr>
                <w:rFonts w:ascii="Arial Narrow" w:hAnsi="Arial Narrow"/>
                <w:color w:val="333399"/>
                <w:sz w:val="18"/>
                <w:szCs w:val="18"/>
              </w:rPr>
            </w:pPr>
          </w:p>
        </w:tc>
        <w:tc>
          <w:tcPr>
            <w:tcW w:w="1049" w:type="pct"/>
          </w:tcPr>
          <w:p w:rsidR="00D80B00" w:rsidRPr="003C55C7" w:rsidRDefault="00D80B00" w:rsidP="00BA4FB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3C55C7">
              <w:rPr>
                <w:rFonts w:asciiTheme="minorHAnsi" w:hAnsiTheme="minorHAnsi"/>
                <w:szCs w:val="22"/>
              </w:rPr>
              <w:t>horyzontalny</w:t>
            </w:r>
          </w:p>
        </w:tc>
      </w:tr>
    </w:tbl>
    <w:p w:rsidR="00335935" w:rsidRDefault="00335935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AA6B29" w:rsidRDefault="008C495E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</w:p>
    <w:p w:rsidR="00415E92" w:rsidRPr="0044238B" w:rsidRDefault="00415E92" w:rsidP="00415E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>W r</w:t>
      </w:r>
      <w:r w:rsidR="00221D32">
        <w:rPr>
          <w:rFonts w:asciiTheme="minorHAnsi" w:eastAsiaTheme="minorHAnsi" w:hAnsiTheme="minorHAnsi" w:cs="Arial"/>
          <w:szCs w:val="22"/>
          <w:lang w:eastAsia="en-US"/>
        </w:rPr>
        <w:t>amach wniosku o dofinansowanie w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oraz </w:t>
      </w:r>
      <w:r w:rsidRPr="00D57D29">
        <w:rPr>
          <w:rFonts w:asciiTheme="minorHAnsi" w:eastAsiaTheme="minorHAnsi" w:hAnsiTheme="minorHAnsi" w:cs="Arial"/>
          <w:szCs w:val="22"/>
          <w:lang w:eastAsia="en-US"/>
        </w:rPr>
        <w:t xml:space="preserve">rezultatu bezpośredniego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z listy przedstawionej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powyższych tabelach, odpowiadające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  <w:r w:rsidRPr="00911273">
        <w:rPr>
          <w:rFonts w:asciiTheme="minorHAnsi" w:hAnsiTheme="minorHAnsi"/>
          <w:szCs w:val="22"/>
        </w:rPr>
        <w:t>Dodatkowo w r</w:t>
      </w:r>
      <w:r w:rsidR="00221D32">
        <w:rPr>
          <w:rFonts w:asciiTheme="minorHAnsi" w:hAnsiTheme="minorHAnsi"/>
          <w:szCs w:val="22"/>
        </w:rPr>
        <w:t>amach wniosku o dofinansowanie w</w:t>
      </w:r>
      <w:r w:rsidRPr="00911273">
        <w:rPr>
          <w:rFonts w:asciiTheme="minorHAnsi" w:hAnsiTheme="minorHAnsi"/>
          <w:szCs w:val="22"/>
        </w:rPr>
        <w:t>nioskodawca może określić inne, dodatkowe wskaźniki specyficzne dla danego projektu, o ile będzie to niezbędne dla prawidłowej realizacji projektu (tzw. wskaźniki projektowe).</w:t>
      </w:r>
    </w:p>
    <w:p w:rsidR="00415E92" w:rsidRPr="0044238B" w:rsidRDefault="00415E92" w:rsidP="00415E92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o dofinansowanie należy określić, w jaki sposób i na jakiej podstawie mierzone będą wskaźniki realizacji celu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projektu </w:t>
      </w: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:rsidR="00415E92" w:rsidRPr="00340A6B" w:rsidRDefault="00415E92" w:rsidP="00415E92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>Wartość bazowa (tzn. wartość w momencie rozpoczęcia realizacji projektu) w przypadku każdego wskaźnika powinna być wykazana na poziomie „0”.</w:t>
      </w:r>
    </w:p>
    <w:p w:rsidR="00415E92" w:rsidRPr="00340A6B" w:rsidRDefault="00415E92" w:rsidP="00415E92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 xml:space="preserve">O ile w umowie o dofinansowanie projektu nie wskazano inaczej, efekt wsparcia na poziomie projektu występuje: </w:t>
      </w:r>
    </w:p>
    <w:p w:rsidR="00415E92" w:rsidRPr="00340A6B" w:rsidRDefault="00415E92" w:rsidP="00415E92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 xml:space="preserve">a) w przypadku wskaźników produktu – w okresie od podpisania umowy o dofinansowanie, przy czym osiągnięte wartości powinny zostać wykazane najpóźniej we wniosku o płatność końcową, </w:t>
      </w:r>
    </w:p>
    <w:p w:rsidR="00415E92" w:rsidRPr="00340A6B" w:rsidRDefault="00415E92" w:rsidP="00415E92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 xml:space="preserve">b) w przypadku wskaźników rezultatu określonych na poziomie projektu: </w:t>
      </w:r>
    </w:p>
    <w:p w:rsidR="00415E92" w:rsidRPr="00340A6B" w:rsidRDefault="00415E92" w:rsidP="00415E92">
      <w:pPr>
        <w:pStyle w:val="Akapitzlist"/>
        <w:numPr>
          <w:ilvl w:val="0"/>
          <w:numId w:val="6"/>
        </w:numPr>
        <w:spacing w:before="0" w:after="200" w:line="240" w:lineRule="auto"/>
        <w:ind w:left="1080"/>
        <w:contextualSpacing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>co do zasady – w okresie 12 miesięcy od zakończenia okresu realizacji projektu określonego w umowie o dofinansowaniu projektu lub, o ile wynika to ze specyfiki projektu, od uruchomienia przedsięwzięcia, przy czym osiągnięte wartości wykazywane są w korekcie do wniosku o płatność końcową.</w:t>
      </w:r>
    </w:p>
    <w:p w:rsidR="0032765F" w:rsidRPr="00911273" w:rsidRDefault="0032765F" w:rsidP="00415E92">
      <w:pPr>
        <w:autoSpaceDE w:val="0"/>
        <w:autoSpaceDN w:val="0"/>
        <w:adjustRightInd w:val="0"/>
        <w:spacing w:before="120" w:after="120" w:line="240" w:lineRule="auto"/>
        <w:jc w:val="both"/>
        <w:rPr>
          <w:szCs w:val="22"/>
        </w:rPr>
      </w:pPr>
    </w:p>
    <w:sectPr w:rsidR="0032765F" w:rsidRPr="00911273" w:rsidSect="00D357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D1" w:rsidRDefault="00F44DD1" w:rsidP="008C495E">
      <w:pPr>
        <w:spacing w:before="0" w:line="240" w:lineRule="auto"/>
      </w:pPr>
      <w:r>
        <w:separator/>
      </w:r>
    </w:p>
  </w:endnote>
  <w:endnote w:type="continuationSeparator" w:id="0">
    <w:p w:rsidR="00F44DD1" w:rsidRDefault="00F44DD1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017"/>
      <w:docPartObj>
        <w:docPartGallery w:val="Page Numbers (Bottom of Page)"/>
        <w:docPartUnique/>
      </w:docPartObj>
    </w:sdtPr>
    <w:sdtEndPr/>
    <w:sdtContent>
      <w:p w:rsidR="00A66C0C" w:rsidRDefault="009843C6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E3488B">
          <w:rPr>
            <w:noProof/>
          </w:rPr>
          <w:t>6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018"/>
      <w:docPartObj>
        <w:docPartGallery w:val="Page Numbers (Bottom of Page)"/>
        <w:docPartUnique/>
      </w:docPartObj>
    </w:sdtPr>
    <w:sdtEndPr/>
    <w:sdtContent>
      <w:p w:rsidR="00B33F83" w:rsidRDefault="009843C6">
        <w:pPr>
          <w:pStyle w:val="Stopka"/>
          <w:jc w:val="right"/>
        </w:pPr>
        <w:r>
          <w:fldChar w:fldCharType="begin"/>
        </w:r>
        <w:r w:rsidR="00B7566F">
          <w:instrText xml:space="preserve"> PAGE   \* MERGEFORMAT </w:instrText>
        </w:r>
        <w:r>
          <w:fldChar w:fldCharType="separate"/>
        </w:r>
        <w:r w:rsidR="00E34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83" w:rsidRDefault="00B33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D1" w:rsidRDefault="00F44DD1" w:rsidP="008C495E">
      <w:pPr>
        <w:spacing w:before="0" w:line="240" w:lineRule="auto"/>
      </w:pPr>
      <w:r>
        <w:separator/>
      </w:r>
    </w:p>
  </w:footnote>
  <w:footnote w:type="continuationSeparator" w:id="0">
    <w:p w:rsidR="00F44DD1" w:rsidRDefault="00F44DD1" w:rsidP="008C495E">
      <w:pPr>
        <w:spacing w:before="0" w:line="240" w:lineRule="auto"/>
      </w:pPr>
      <w:r>
        <w:continuationSeparator/>
      </w:r>
    </w:p>
  </w:footnote>
  <w:footnote w:id="1">
    <w:p w:rsidR="00A11346" w:rsidRPr="00E9798A" w:rsidRDefault="00A11346">
      <w:pPr>
        <w:pStyle w:val="Tekstprzypisudolnego"/>
        <w:rPr>
          <w:rFonts w:asciiTheme="minorHAnsi" w:hAnsiTheme="minorHAnsi"/>
        </w:rPr>
      </w:pPr>
      <w:r w:rsidRPr="00E9798A">
        <w:rPr>
          <w:rStyle w:val="Odwoanieprzypisudolnego"/>
          <w:rFonts w:asciiTheme="minorHAnsi" w:hAnsiTheme="minorHAnsi"/>
        </w:rPr>
        <w:footnoteRef/>
      </w:r>
      <w:r w:rsidRPr="00E9798A">
        <w:rPr>
          <w:rFonts w:asciiTheme="minorHAnsi" w:hAnsiTheme="minorHAnsi"/>
        </w:rPr>
        <w:t xml:space="preserve"> W działaniu 6.3. B nie ma możliwości budowy nowych obiektów.</w:t>
      </w:r>
    </w:p>
  </w:footnote>
  <w:footnote w:id="2">
    <w:p w:rsidR="00A11346" w:rsidRPr="00E9798A" w:rsidRDefault="00A11346" w:rsidP="00E9798A">
      <w:pPr>
        <w:pStyle w:val="Tekstprzypisudolnego"/>
        <w:jc w:val="both"/>
        <w:rPr>
          <w:rFonts w:asciiTheme="minorHAnsi" w:hAnsiTheme="minorHAnsi"/>
        </w:rPr>
      </w:pPr>
      <w:r w:rsidRPr="00E9798A">
        <w:rPr>
          <w:rStyle w:val="Odwoanieprzypisudolnego"/>
          <w:rFonts w:asciiTheme="minorHAnsi" w:hAnsiTheme="minorHAnsi"/>
        </w:rPr>
        <w:footnoteRef/>
      </w:r>
      <w:r w:rsidRPr="00E9798A">
        <w:rPr>
          <w:rFonts w:asciiTheme="minorHAnsi" w:hAnsiTheme="minorHAnsi"/>
        </w:rPr>
        <w:t xml:space="preserve"> </w:t>
      </w:r>
      <w:r w:rsidRPr="00E9798A">
        <w:rPr>
          <w:rFonts w:asciiTheme="minorHAnsi" w:eastAsiaTheme="minorHAnsi" w:hAnsiTheme="minorHAnsi" w:cs="Calibri"/>
          <w:szCs w:val="22"/>
          <w:lang w:eastAsia="en-US"/>
        </w:rPr>
        <w:t>„Wyremontowane budynki mieszkalne na obszarach miejskich” [szt.]</w:t>
      </w:r>
      <w:r w:rsidRPr="00A11346">
        <w:rPr>
          <w:rFonts w:asciiTheme="minorHAnsi" w:hAnsiTheme="minorHAnsi"/>
          <w:szCs w:val="22"/>
        </w:rPr>
        <w:t xml:space="preserve"> wskaźnik programowy RPO WD –  w tym wypadku należy określić wskaźnik wyrażony liczbowo w postaci budynków w projekcie</w:t>
      </w:r>
      <w:r w:rsidRPr="00E9798A">
        <w:rPr>
          <w:rFonts w:asciiTheme="minorHAnsi" w:hAnsiTheme="minorHAnsi"/>
          <w:szCs w:val="22"/>
        </w:rPr>
        <w:t>.</w:t>
      </w:r>
    </w:p>
  </w:footnote>
  <w:footnote w:id="3">
    <w:p w:rsidR="00A11346" w:rsidRDefault="00A11346" w:rsidP="00E9798A">
      <w:pPr>
        <w:pStyle w:val="Tekstprzypisudolnego"/>
        <w:jc w:val="both"/>
      </w:pPr>
      <w:r w:rsidRPr="00E9798A">
        <w:rPr>
          <w:rStyle w:val="Odwoanieprzypisudolnego"/>
          <w:rFonts w:asciiTheme="minorHAnsi" w:hAnsiTheme="minorHAnsi"/>
        </w:rPr>
        <w:footnoteRef/>
      </w:r>
      <w:r w:rsidRPr="00E9798A">
        <w:rPr>
          <w:rFonts w:asciiTheme="minorHAnsi" w:hAnsiTheme="minorHAnsi"/>
        </w:rPr>
        <w:t xml:space="preserve"> </w:t>
      </w:r>
      <w:r w:rsidRPr="00A11346">
        <w:rPr>
          <w:rFonts w:asciiTheme="minorHAnsi" w:hAnsiTheme="minorHAnsi"/>
          <w:szCs w:val="22"/>
        </w:rPr>
        <w:t>„</w:t>
      </w:r>
      <w:r w:rsidRPr="00E9798A">
        <w:rPr>
          <w:rFonts w:asciiTheme="minorHAnsi" w:eastAsiaTheme="minorHAnsi" w:hAnsiTheme="minorHAnsi" w:cs="Calibri"/>
          <w:szCs w:val="22"/>
          <w:lang w:eastAsia="en-US"/>
        </w:rPr>
        <w:t>Wyremontowane budynki mieszkalne na obszarach miejskich” liczony w jednostkach mieszkalnych należy podać liczbę mieszkań w rewitalizowanych budynkach.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83" w:rsidRDefault="00B33F83" w:rsidP="00B33F83">
    <w:pPr>
      <w:pStyle w:val="Nagwek"/>
      <w:tabs>
        <w:tab w:val="left" w:pos="6602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B33F83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52130D22" wp14:editId="3FEBB562">
          <wp:simplePos x="0" y="0"/>
          <wp:positionH relativeFrom="column">
            <wp:posOffset>347980</wp:posOffset>
          </wp:positionH>
          <wp:positionV relativeFrom="paragraph">
            <wp:posOffset>-137795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ab/>
    </w: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E313C3" w:rsidRPr="00FD21DC" w:rsidRDefault="000D5DD5" w:rsidP="000D5DD5">
    <w:pPr>
      <w:tabs>
        <w:tab w:val="center" w:pos="4536"/>
        <w:tab w:val="right" w:pos="9072"/>
      </w:tabs>
      <w:spacing w:before="0" w:line="240" w:lineRule="auto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E313C3" w:rsidRPr="00FD21DC">
      <w:rPr>
        <w:rFonts w:asciiTheme="minorHAnsi" w:hAnsiTheme="minorHAnsi"/>
        <w:sz w:val="18"/>
        <w:szCs w:val="18"/>
      </w:rPr>
      <w:t>Załączn</w:t>
    </w:r>
    <w:r w:rsidR="006C2EE6">
      <w:rPr>
        <w:rFonts w:asciiTheme="minorHAnsi" w:hAnsiTheme="minorHAnsi"/>
        <w:sz w:val="18"/>
        <w:szCs w:val="18"/>
      </w:rPr>
      <w:t>ik  nr 2 do Regulaminu konkursu</w:t>
    </w:r>
  </w:p>
  <w:p w:rsidR="00E313C3" w:rsidRPr="00FD21DC" w:rsidRDefault="00E313C3" w:rsidP="00E313C3">
    <w:pPr>
      <w:spacing w:before="0" w:line="240" w:lineRule="auto"/>
      <w:jc w:val="right"/>
      <w:rPr>
        <w:rFonts w:asciiTheme="minorHAnsi" w:hAnsiTheme="minorHAnsi"/>
        <w:sz w:val="18"/>
        <w:szCs w:val="18"/>
      </w:rPr>
    </w:pPr>
    <w:r w:rsidRPr="000D5DD5">
      <w:rPr>
        <w:rFonts w:asciiTheme="minorHAnsi" w:hAnsiTheme="minorHAnsi"/>
        <w:sz w:val="18"/>
        <w:szCs w:val="18"/>
      </w:rPr>
      <w:t>Nr nabo</w:t>
    </w:r>
    <w:r w:rsidR="00B569A4" w:rsidRPr="000D5DD5">
      <w:rPr>
        <w:rFonts w:asciiTheme="minorHAnsi" w:hAnsiTheme="minorHAnsi"/>
        <w:sz w:val="18"/>
        <w:szCs w:val="18"/>
      </w:rPr>
      <w:t>ru RPDS.06.03.02-IZ.00-02-278</w:t>
    </w:r>
    <w:r w:rsidR="006C2EE6" w:rsidRPr="000D5DD5">
      <w:rPr>
        <w:rFonts w:asciiTheme="minorHAnsi" w:hAnsiTheme="minorHAnsi"/>
        <w:sz w:val="18"/>
        <w:szCs w:val="18"/>
      </w:rPr>
      <w:t>/17</w:t>
    </w:r>
  </w:p>
  <w:p w:rsidR="0083253A" w:rsidRPr="003A3F65" w:rsidRDefault="0083253A" w:rsidP="00E313C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E"/>
    <w:rsid w:val="00002E70"/>
    <w:rsid w:val="0000550C"/>
    <w:rsid w:val="000215F0"/>
    <w:rsid w:val="000253C7"/>
    <w:rsid w:val="000350F4"/>
    <w:rsid w:val="00094C3F"/>
    <w:rsid w:val="000972D6"/>
    <w:rsid w:val="000B05C7"/>
    <w:rsid w:val="000C0A4C"/>
    <w:rsid w:val="000D5DD5"/>
    <w:rsid w:val="000D7D03"/>
    <w:rsid w:val="000E7DD8"/>
    <w:rsid w:val="000F2AC0"/>
    <w:rsid w:val="000F2F7C"/>
    <w:rsid w:val="000F5C98"/>
    <w:rsid w:val="00122EE4"/>
    <w:rsid w:val="001375BD"/>
    <w:rsid w:val="00140414"/>
    <w:rsid w:val="00141571"/>
    <w:rsid w:val="001437C9"/>
    <w:rsid w:val="0015486C"/>
    <w:rsid w:val="00162039"/>
    <w:rsid w:val="00175453"/>
    <w:rsid w:val="001835B5"/>
    <w:rsid w:val="00184A53"/>
    <w:rsid w:val="00191605"/>
    <w:rsid w:val="001A47D2"/>
    <w:rsid w:val="001A7F85"/>
    <w:rsid w:val="001C4F9E"/>
    <w:rsid w:val="001F684D"/>
    <w:rsid w:val="00221D32"/>
    <w:rsid w:val="00222A42"/>
    <w:rsid w:val="002261A4"/>
    <w:rsid w:val="002302E0"/>
    <w:rsid w:val="00237177"/>
    <w:rsid w:val="002408B0"/>
    <w:rsid w:val="00246DFA"/>
    <w:rsid w:val="00253FAA"/>
    <w:rsid w:val="00266D58"/>
    <w:rsid w:val="002855F7"/>
    <w:rsid w:val="002972E4"/>
    <w:rsid w:val="002A7D28"/>
    <w:rsid w:val="002B5DA0"/>
    <w:rsid w:val="002D5507"/>
    <w:rsid w:val="002F6273"/>
    <w:rsid w:val="0032765F"/>
    <w:rsid w:val="00335935"/>
    <w:rsid w:val="00340A6B"/>
    <w:rsid w:val="003517C9"/>
    <w:rsid w:val="00370466"/>
    <w:rsid w:val="00380060"/>
    <w:rsid w:val="00380861"/>
    <w:rsid w:val="00381C30"/>
    <w:rsid w:val="00396F3C"/>
    <w:rsid w:val="003A3F65"/>
    <w:rsid w:val="003A6137"/>
    <w:rsid w:val="003A6859"/>
    <w:rsid w:val="003C55C7"/>
    <w:rsid w:val="003D2C3D"/>
    <w:rsid w:val="003D3BC5"/>
    <w:rsid w:val="003F6A6D"/>
    <w:rsid w:val="0041446A"/>
    <w:rsid w:val="00415E92"/>
    <w:rsid w:val="00421C29"/>
    <w:rsid w:val="00422DE9"/>
    <w:rsid w:val="00440A48"/>
    <w:rsid w:val="0044238B"/>
    <w:rsid w:val="00443051"/>
    <w:rsid w:val="0046263E"/>
    <w:rsid w:val="0046493A"/>
    <w:rsid w:val="00471B0C"/>
    <w:rsid w:val="00476947"/>
    <w:rsid w:val="00484BAB"/>
    <w:rsid w:val="00485CDD"/>
    <w:rsid w:val="004B2948"/>
    <w:rsid w:val="004B303A"/>
    <w:rsid w:val="004E49D6"/>
    <w:rsid w:val="00506413"/>
    <w:rsid w:val="00516B06"/>
    <w:rsid w:val="00522930"/>
    <w:rsid w:val="00530E5D"/>
    <w:rsid w:val="005358BE"/>
    <w:rsid w:val="00535E8F"/>
    <w:rsid w:val="0054318F"/>
    <w:rsid w:val="005506E5"/>
    <w:rsid w:val="00555321"/>
    <w:rsid w:val="005615C8"/>
    <w:rsid w:val="005657D8"/>
    <w:rsid w:val="00572667"/>
    <w:rsid w:val="005A1857"/>
    <w:rsid w:val="005B4ADE"/>
    <w:rsid w:val="005B4F1C"/>
    <w:rsid w:val="0060140B"/>
    <w:rsid w:val="0061737E"/>
    <w:rsid w:val="00620A45"/>
    <w:rsid w:val="00620B41"/>
    <w:rsid w:val="00635DB0"/>
    <w:rsid w:val="00640270"/>
    <w:rsid w:val="00664321"/>
    <w:rsid w:val="0067179E"/>
    <w:rsid w:val="00677786"/>
    <w:rsid w:val="006A09F0"/>
    <w:rsid w:val="006B05A8"/>
    <w:rsid w:val="006C2EE6"/>
    <w:rsid w:val="006C301F"/>
    <w:rsid w:val="006C3827"/>
    <w:rsid w:val="006C652C"/>
    <w:rsid w:val="006E31F1"/>
    <w:rsid w:val="00701E65"/>
    <w:rsid w:val="00704B1F"/>
    <w:rsid w:val="00726AC4"/>
    <w:rsid w:val="007300ED"/>
    <w:rsid w:val="00741B27"/>
    <w:rsid w:val="00752B4A"/>
    <w:rsid w:val="007614FD"/>
    <w:rsid w:val="007650AC"/>
    <w:rsid w:val="00770BD0"/>
    <w:rsid w:val="007805BC"/>
    <w:rsid w:val="00785C6B"/>
    <w:rsid w:val="00787387"/>
    <w:rsid w:val="00790ED5"/>
    <w:rsid w:val="007D1CF1"/>
    <w:rsid w:val="007D2573"/>
    <w:rsid w:val="007D7DE7"/>
    <w:rsid w:val="007E025A"/>
    <w:rsid w:val="007E26CB"/>
    <w:rsid w:val="007E6D53"/>
    <w:rsid w:val="007F2ECD"/>
    <w:rsid w:val="0083253A"/>
    <w:rsid w:val="008554A8"/>
    <w:rsid w:val="0085713F"/>
    <w:rsid w:val="008A09D1"/>
    <w:rsid w:val="008A195C"/>
    <w:rsid w:val="008B21E1"/>
    <w:rsid w:val="008B673D"/>
    <w:rsid w:val="008C495E"/>
    <w:rsid w:val="008D1389"/>
    <w:rsid w:val="008E3F0D"/>
    <w:rsid w:val="008E5735"/>
    <w:rsid w:val="008F6A26"/>
    <w:rsid w:val="009024D3"/>
    <w:rsid w:val="00911273"/>
    <w:rsid w:val="009119D9"/>
    <w:rsid w:val="00912831"/>
    <w:rsid w:val="00916677"/>
    <w:rsid w:val="009449EE"/>
    <w:rsid w:val="009456DB"/>
    <w:rsid w:val="00946665"/>
    <w:rsid w:val="00957260"/>
    <w:rsid w:val="009609F6"/>
    <w:rsid w:val="00982504"/>
    <w:rsid w:val="009843C6"/>
    <w:rsid w:val="00990FCA"/>
    <w:rsid w:val="009926BE"/>
    <w:rsid w:val="009B3E38"/>
    <w:rsid w:val="009B52F7"/>
    <w:rsid w:val="009D3C56"/>
    <w:rsid w:val="009E26D1"/>
    <w:rsid w:val="009E65D0"/>
    <w:rsid w:val="009F5A31"/>
    <w:rsid w:val="00A11346"/>
    <w:rsid w:val="00A1656E"/>
    <w:rsid w:val="00A318E7"/>
    <w:rsid w:val="00A44A6F"/>
    <w:rsid w:val="00A459F4"/>
    <w:rsid w:val="00A656DD"/>
    <w:rsid w:val="00A66C0C"/>
    <w:rsid w:val="00A7445E"/>
    <w:rsid w:val="00A804DB"/>
    <w:rsid w:val="00A91D14"/>
    <w:rsid w:val="00A92980"/>
    <w:rsid w:val="00AA6B29"/>
    <w:rsid w:val="00AD14C1"/>
    <w:rsid w:val="00AD2437"/>
    <w:rsid w:val="00B145AE"/>
    <w:rsid w:val="00B17F26"/>
    <w:rsid w:val="00B204DD"/>
    <w:rsid w:val="00B235B0"/>
    <w:rsid w:val="00B32BB7"/>
    <w:rsid w:val="00B33F83"/>
    <w:rsid w:val="00B37870"/>
    <w:rsid w:val="00B40F0F"/>
    <w:rsid w:val="00B569A4"/>
    <w:rsid w:val="00B61B7A"/>
    <w:rsid w:val="00B7566F"/>
    <w:rsid w:val="00B80AE7"/>
    <w:rsid w:val="00B840A9"/>
    <w:rsid w:val="00B92427"/>
    <w:rsid w:val="00BC03CE"/>
    <w:rsid w:val="00BC6350"/>
    <w:rsid w:val="00BE7424"/>
    <w:rsid w:val="00BF5C51"/>
    <w:rsid w:val="00C0278F"/>
    <w:rsid w:val="00C10532"/>
    <w:rsid w:val="00C26DB6"/>
    <w:rsid w:val="00C3556E"/>
    <w:rsid w:val="00C40E8D"/>
    <w:rsid w:val="00C528BA"/>
    <w:rsid w:val="00C7207B"/>
    <w:rsid w:val="00C77744"/>
    <w:rsid w:val="00C90F5E"/>
    <w:rsid w:val="00C9174F"/>
    <w:rsid w:val="00C92D25"/>
    <w:rsid w:val="00C96A75"/>
    <w:rsid w:val="00CA1C6D"/>
    <w:rsid w:val="00CB1388"/>
    <w:rsid w:val="00CB645C"/>
    <w:rsid w:val="00CC7758"/>
    <w:rsid w:val="00CF5466"/>
    <w:rsid w:val="00CF57DB"/>
    <w:rsid w:val="00CF69D1"/>
    <w:rsid w:val="00D03CAB"/>
    <w:rsid w:val="00D11CB4"/>
    <w:rsid w:val="00D11E26"/>
    <w:rsid w:val="00D25D17"/>
    <w:rsid w:val="00D35714"/>
    <w:rsid w:val="00D373A3"/>
    <w:rsid w:val="00D5098A"/>
    <w:rsid w:val="00D57D29"/>
    <w:rsid w:val="00D80B00"/>
    <w:rsid w:val="00D879B6"/>
    <w:rsid w:val="00D93881"/>
    <w:rsid w:val="00D96D24"/>
    <w:rsid w:val="00DA2DDC"/>
    <w:rsid w:val="00DB617A"/>
    <w:rsid w:val="00DC184F"/>
    <w:rsid w:val="00DE6EF3"/>
    <w:rsid w:val="00E03CFC"/>
    <w:rsid w:val="00E232BD"/>
    <w:rsid w:val="00E313C3"/>
    <w:rsid w:val="00E32822"/>
    <w:rsid w:val="00E32B6F"/>
    <w:rsid w:val="00E33D9D"/>
    <w:rsid w:val="00E3488B"/>
    <w:rsid w:val="00E35F2F"/>
    <w:rsid w:val="00E4135C"/>
    <w:rsid w:val="00E6017F"/>
    <w:rsid w:val="00E61834"/>
    <w:rsid w:val="00E72468"/>
    <w:rsid w:val="00E90CA0"/>
    <w:rsid w:val="00E9798A"/>
    <w:rsid w:val="00EA265F"/>
    <w:rsid w:val="00ED07F0"/>
    <w:rsid w:val="00EE1015"/>
    <w:rsid w:val="00EE68A6"/>
    <w:rsid w:val="00EF50B5"/>
    <w:rsid w:val="00F02218"/>
    <w:rsid w:val="00F11106"/>
    <w:rsid w:val="00F1167A"/>
    <w:rsid w:val="00F17083"/>
    <w:rsid w:val="00F35B91"/>
    <w:rsid w:val="00F44DD1"/>
    <w:rsid w:val="00F56AFD"/>
    <w:rsid w:val="00F66AA4"/>
    <w:rsid w:val="00F72230"/>
    <w:rsid w:val="00F75C9C"/>
    <w:rsid w:val="00FC6B1D"/>
    <w:rsid w:val="00FD21DC"/>
    <w:rsid w:val="00FD40E1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1985-6300-4F2A-B298-7456CD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2534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7</cp:revision>
  <cp:lastPrinted>2017-11-07T08:05:00Z</cp:lastPrinted>
  <dcterms:created xsi:type="dcterms:W3CDTF">2017-10-20T10:33:00Z</dcterms:created>
  <dcterms:modified xsi:type="dcterms:W3CDTF">2017-11-07T08:06:00Z</dcterms:modified>
</cp:coreProperties>
</file>