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4D0988" w:rsidRDefault="004D0988" w:rsidP="004D09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Default="004D0988" w:rsidP="004D0988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4D0988" w:rsidRDefault="004D0988" w:rsidP="004D0988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D82D0E" w:rsidRDefault="004D0988" w:rsidP="004D0988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Gmina Wrocław</w:t>
      </w:r>
    </w:p>
    <w:p w:rsidR="004D0988" w:rsidRPr="00D82D0E" w:rsidRDefault="004D0988" w:rsidP="004D0988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4D0988" w:rsidRPr="00D82D0E" w:rsidRDefault="004D0988" w:rsidP="004D0988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 xml:space="preserve">dniczącej w ramach instrumentu 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>Zinte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>growane Inwestycje Terytorialne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 Regionalnego Programu Operacyjnego Województwa Dolnośląskiego 2014–2020</w:t>
      </w:r>
    </w:p>
    <w:p w:rsidR="004D0988" w:rsidRPr="00AB703A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Pr="00116E8E" w:rsidRDefault="00E41DCD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4D0988" w:rsidRPr="00C14D22" w:rsidRDefault="004D0988" w:rsidP="004D0988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  Infrastruktura spójności społecznej</w:t>
      </w:r>
    </w:p>
    <w:p w:rsidR="004D0988" w:rsidRDefault="004D0988" w:rsidP="004D0988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:rsidR="004D0988" w:rsidRPr="00AB703A" w:rsidRDefault="004D0988" w:rsidP="004D0988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6.3 Rewitalizacja zdegradowanych obszarów</w:t>
      </w:r>
    </w:p>
    <w:bookmarkEnd w:id="0"/>
    <w:bookmarkEnd w:id="1"/>
    <w:p w:rsidR="004D0988" w:rsidRDefault="004D0988" w:rsidP="004D0988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:rsidR="004D0988" w:rsidRPr="00E0529A" w:rsidRDefault="004D0988" w:rsidP="004D0988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6.3.2</w:t>
      </w:r>
      <w:r w:rsidRPr="00E0529A">
        <w:rPr>
          <w:rFonts w:cs="Arial"/>
          <w:b/>
          <w:sz w:val="32"/>
          <w:szCs w:val="36"/>
        </w:rPr>
        <w:t xml:space="preserve"> </w:t>
      </w:r>
      <w:r w:rsidRPr="00E0529A">
        <w:rPr>
          <w:rFonts w:cs="Arial"/>
          <w:b/>
          <w:sz w:val="32"/>
          <w:szCs w:val="32"/>
        </w:rPr>
        <w:t xml:space="preserve">Rewitalizacja zdegradowanych obszarów </w:t>
      </w:r>
      <w:r>
        <w:rPr>
          <w:rFonts w:cs="Arial"/>
          <w:b/>
          <w:sz w:val="32"/>
          <w:szCs w:val="36"/>
        </w:rPr>
        <w:t>– ZIT WrOF</w:t>
      </w:r>
    </w:p>
    <w:p w:rsidR="004D0988" w:rsidRDefault="004D0988" w:rsidP="004D0988">
      <w:pPr>
        <w:spacing w:after="0"/>
        <w:jc w:val="center"/>
      </w:pPr>
    </w:p>
    <w:p w:rsidR="004D0988" w:rsidRDefault="004D0988" w:rsidP="004D0988">
      <w:pPr>
        <w:spacing w:after="0"/>
        <w:jc w:val="center"/>
        <w:rPr>
          <w:b/>
          <w:sz w:val="28"/>
          <w:szCs w:val="28"/>
        </w:rPr>
      </w:pPr>
    </w:p>
    <w:p w:rsidR="004D0988" w:rsidRPr="00AB703A" w:rsidRDefault="003E3AC9" w:rsidP="004D0988">
      <w:pPr>
        <w:spacing w:after="0"/>
        <w:jc w:val="center"/>
        <w:rPr>
          <w:b/>
          <w:sz w:val="28"/>
          <w:szCs w:val="28"/>
        </w:rPr>
      </w:pPr>
      <w:r w:rsidRPr="00E41DCD">
        <w:rPr>
          <w:b/>
          <w:sz w:val="28"/>
          <w:szCs w:val="28"/>
        </w:rPr>
        <w:t>RPDS.06.03.02-IZ.00-02-278/17</w:t>
      </w: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276AA7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276AA7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>wa Dolnośląskiego 2014-2020 Oś P</w:t>
      </w:r>
      <w:r w:rsidRPr="00276AA7">
        <w:rPr>
          <w:rFonts w:cs="Calibri"/>
          <w:color w:val="000000"/>
          <w:sz w:val="24"/>
          <w:szCs w:val="24"/>
        </w:rPr>
        <w:t>riorytetowa 6 Infrastruktura spójności społecznej, Działanie 6.3 Rewitalizacja zdegradowanych obszarów:</w:t>
      </w:r>
    </w:p>
    <w:p w:rsidR="00276AA7" w:rsidRPr="00276AA7" w:rsidRDefault="00276AA7" w:rsidP="00C22866">
      <w:pPr>
        <w:pStyle w:val="Nagwek"/>
        <w:spacing w:before="120" w:after="120" w:line="360" w:lineRule="auto"/>
        <w:rPr>
          <w:rFonts w:cs="Calibri"/>
          <w:b/>
          <w:color w:val="000000"/>
          <w:sz w:val="24"/>
          <w:szCs w:val="24"/>
        </w:rPr>
      </w:pPr>
      <w:r w:rsidRPr="00276AA7">
        <w:rPr>
          <w:rFonts w:cs="Calibri"/>
          <w:b/>
          <w:color w:val="000000"/>
          <w:sz w:val="24"/>
          <w:szCs w:val="24"/>
        </w:rPr>
        <w:t>Poddziałanie 6.3.2 Rewitalizacja zdegradowanych obszarów – ZIT WrOF</w:t>
      </w:r>
    </w:p>
    <w:p w:rsidR="00276AA7" w:rsidRPr="00CE42E2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276AA7">
        <w:rPr>
          <w:rFonts w:asciiTheme="minorHAnsi" w:hAnsiTheme="minorHAnsi" w:cs="Calibri"/>
          <w:b/>
          <w:color w:val="000000"/>
          <w:sz w:val="24"/>
          <w:szCs w:val="24"/>
        </w:rPr>
        <w:t>Nabór w trybie konkursowym – dla wnioskodawców realizujących przedsięwzięcia na terenie Wrocławskiego Obszaru Funkcjonalnego określonego w Strategii ZIT WrOF 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 w:cs="Calibr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 xml:space="preserve">W skład </w:t>
      </w:r>
      <w:r w:rsidRPr="00C22866">
        <w:rPr>
          <w:rFonts w:asciiTheme="minorHAnsi" w:hAnsiTheme="minorHAnsi" w:cs="Arial"/>
          <w:sz w:val="24"/>
          <w:szCs w:val="24"/>
        </w:rPr>
        <w:t>Wrocławskiego Obszaru Funkcjonalnego określonego w Strategii ZIT WrOF</w:t>
      </w:r>
      <w:r w:rsidRPr="00276AA7">
        <w:rPr>
          <w:rFonts w:asciiTheme="minorHAnsi" w:hAnsiTheme="minorHAnsi" w:cs="Calibri"/>
          <w:sz w:val="24"/>
          <w:szCs w:val="24"/>
        </w:rPr>
        <w:t xml:space="preserve">  wchodzą Gminy: Gmina Wrocław, Gmina Jelcz-Laskowice, Miasto i Gmina Kąty Wrocławskie, Gmina Siec</w:t>
      </w:r>
      <w:r w:rsidR="008A515C">
        <w:rPr>
          <w:rFonts w:asciiTheme="minorHAnsi" w:hAnsiTheme="minorHAnsi" w:cs="Calibri"/>
          <w:sz w:val="24"/>
          <w:szCs w:val="24"/>
        </w:rPr>
        <w:t xml:space="preserve">hnice, Gmina Trzebnica, Miasto </w:t>
      </w:r>
      <w:r w:rsidRPr="00276AA7">
        <w:rPr>
          <w:rFonts w:asciiTheme="minorHAnsi" w:hAnsiTheme="minorHAnsi" w:cs="Calibri"/>
          <w:sz w:val="24"/>
          <w:szCs w:val="24"/>
        </w:rPr>
        <w:t>i Gmina Sobótka, Miasto Oleśnica, Gmina Długołęka, Gmina Czernica, Gmina Kobierzyce, Gmina Miękinia, Gmina Oleśnica, Gmina Wisznia Mała, Gmina Żórawina, Miasto i Gmina Oborniki Śląskie.</w:t>
      </w:r>
    </w:p>
    <w:p w:rsidR="00276AA7" w:rsidRPr="00276AA7" w:rsidRDefault="00276AA7" w:rsidP="00CE42E2">
      <w:pPr>
        <w:suppressAutoHyphens/>
        <w:spacing w:line="360" w:lineRule="auto"/>
        <w:rPr>
          <w:rFonts w:cs="Calibri"/>
          <w:b/>
          <w:color w:val="000000"/>
          <w:sz w:val="24"/>
          <w:szCs w:val="24"/>
        </w:rPr>
      </w:pP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polityki spójności finansowanych w perspektywie finansowej 2014-2020.</w:t>
      </w:r>
    </w:p>
    <w:p w:rsidR="00276AA7" w:rsidRPr="00C22866" w:rsidRDefault="00276AA7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276AA7" w:rsidRPr="00C22866" w:rsidRDefault="00276AA7" w:rsidP="00C22866">
      <w:pPr>
        <w:spacing w:before="120" w:after="120" w:line="360" w:lineRule="auto"/>
        <w:rPr>
          <w:sz w:val="24"/>
          <w:szCs w:val="24"/>
        </w:rPr>
      </w:pPr>
      <w:r w:rsidRPr="00C22866">
        <w:rPr>
          <w:sz w:val="24"/>
          <w:szCs w:val="24"/>
        </w:rPr>
        <w:t xml:space="preserve">Konkurs ogłasza Instytucja Zarządzająca Regionalnym Programem Operacyjnym Województwa Dolnośląskiego 2014-2020  oraz Gmina Wrocław pełniąca funkcję IP w ramach instrumentu Zintegrowane Inwestycje Terytorialne Wrocławskiego Obszaru Funkcjonalnego (ZIT WrOF) pełniące role Instytucji Organizującej Konkurs.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Funkcję Instytucji Zarządzającej pełni Zarząd Województwa Dolnośląskiego.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</w:t>
      </w:r>
      <w:r w:rsidRPr="00C22866">
        <w:rPr>
          <w:rFonts w:asciiTheme="minorHAnsi" w:hAnsiTheme="minorHAnsi"/>
          <w:sz w:val="24"/>
          <w:szCs w:val="24"/>
        </w:rPr>
        <w:br/>
        <w:t xml:space="preserve">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276AA7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  <w:r w:rsidRPr="00C22866">
        <w:rPr>
          <w:bCs/>
          <w:sz w:val="24"/>
          <w:szCs w:val="24"/>
        </w:rPr>
        <w:t>oraz</w:t>
      </w:r>
      <w:r w:rsidRPr="00C22866">
        <w:rPr>
          <w:rFonts w:ascii="Calibri" w:hAnsi="Calibri"/>
          <w:bCs/>
          <w:sz w:val="24"/>
          <w:szCs w:val="24"/>
        </w:rPr>
        <w:t xml:space="preserve"> Gmina Wrocław pełniąca funkcję Instytucji Pośredniczącej, pl. Nowy Targ 1-8, Wrocław</w:t>
      </w:r>
    </w:p>
    <w:p w:rsidR="008A515C" w:rsidRPr="00C22866" w:rsidRDefault="008A515C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</w:p>
    <w:p w:rsidR="00276AA7" w:rsidRDefault="00D65C66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lastRenderedPageBreak/>
        <w:t>Przedmiot konkursu, w tym typy projektów podlegających dofinansowaniu:</w:t>
      </w:r>
    </w:p>
    <w:p w:rsidR="00A67469" w:rsidRPr="005043BF" w:rsidRDefault="00A67469" w:rsidP="00A67469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5043BF">
        <w:rPr>
          <w:rFonts w:cs="Calibri"/>
          <w:color w:val="000000"/>
          <w:sz w:val="24"/>
          <w:szCs w:val="24"/>
        </w:rPr>
        <w:t>Przedmiotem konkursu jest typ projektu określony dla działania 6.3 Rewitalizacja zdegradowanyc</w:t>
      </w:r>
      <w:r>
        <w:rPr>
          <w:rFonts w:cs="Calibri"/>
          <w:color w:val="000000"/>
          <w:sz w:val="24"/>
          <w:szCs w:val="24"/>
        </w:rPr>
        <w:t xml:space="preserve">h obszarów w Osi Priorytetowej </w:t>
      </w:r>
      <w:r w:rsidRPr="005043BF">
        <w:rPr>
          <w:rFonts w:cs="Calibri"/>
          <w:color w:val="000000"/>
          <w:sz w:val="24"/>
          <w:szCs w:val="24"/>
        </w:rPr>
        <w:t>6 Infrastruktura spójności społecznej, tj.:</w:t>
      </w:r>
    </w:p>
    <w:p w:rsidR="00A67469" w:rsidRDefault="00A67469" w:rsidP="00A67469">
      <w:pPr>
        <w:spacing w:before="40" w:after="40" w:line="360" w:lineRule="auto"/>
        <w:rPr>
          <w:rFonts w:eastAsia="Times New Roman" w:cs="Arial"/>
          <w:sz w:val="24"/>
          <w:szCs w:val="24"/>
          <w:lang w:eastAsia="pl-PL"/>
        </w:rPr>
      </w:pPr>
      <w:r w:rsidRPr="005043BF">
        <w:rPr>
          <w:rFonts w:eastAsia="Times New Roman" w:cs="Arial"/>
          <w:b/>
          <w:sz w:val="24"/>
          <w:szCs w:val="24"/>
          <w:lang w:eastAsia="pl-PL"/>
        </w:rPr>
        <w:t xml:space="preserve">6.3.B </w:t>
      </w:r>
      <w:r w:rsidRPr="005043BF">
        <w:rPr>
          <w:rFonts w:eastAsia="Times New Roman" w:cs="Arial"/>
          <w:sz w:val="24"/>
          <w:szCs w:val="24"/>
          <w:lang w:eastAsia="pl-PL"/>
        </w:rPr>
        <w:t xml:space="preserve">Remont, odnowa części wspólnych wielorodzinnych budynków mieszkalnych (nie ma możliwości budowy nowych obiektów). </w:t>
      </w:r>
    </w:p>
    <w:p w:rsidR="00A67469" w:rsidRPr="00E51C6F" w:rsidRDefault="00A67469" w:rsidP="00A67469">
      <w:pPr>
        <w:spacing w:before="40" w:after="40" w:line="360" w:lineRule="auto"/>
        <w:rPr>
          <w:rFonts w:eastAsia="Times New Roman" w:cs="Arial"/>
          <w:sz w:val="24"/>
          <w:szCs w:val="24"/>
          <w:lang w:eastAsia="pl-PL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Części wspólne budynku – części </w:t>
      </w:r>
      <w:r w:rsidRPr="005043BF">
        <w:rPr>
          <w:rFonts w:asciiTheme="minorHAnsi" w:hAnsiTheme="minorHAnsi"/>
        </w:rPr>
        <w:t xml:space="preserve">budynku (i istniejących w nim urządzeń), które nie służą wyłącznie do użytku poszczególnych właścicieli lokali, oraz grunt na którym wzniesiono budynek. Co do zasady za części wspólne uznaje się: ściany zewnętrzne, fundamenty, dach, strychy, korytarze, kominy, pralnie, suszarnie, przechowalnie wózków dziecięcych, instalacje centralnego ogrzewania, kanalizacyjne, czy elektryczne, ściany nośne, windy. </w:t>
      </w:r>
    </w:p>
    <w:p w:rsidR="00A67469" w:rsidRDefault="00A67469" w:rsidP="00A67469">
      <w:pPr>
        <w:pStyle w:val="Poprawka"/>
        <w:spacing w:line="360" w:lineRule="auto"/>
        <w:rPr>
          <w:rFonts w:asciiTheme="minorHAnsi" w:hAnsiTheme="minorHAnsi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  <w:r w:rsidRPr="005043BF">
        <w:rPr>
          <w:rFonts w:asciiTheme="minorHAnsi" w:hAnsiTheme="minorHAnsi"/>
        </w:rPr>
        <w:t xml:space="preserve">Budynek – zgodnie z definicją ujętą w art. 3 pkt. 2 Ustawy z dnia 7 lipca 1994 r. Prawo Budowlane (tekst jedn.: Dz.U. 2017 poz. </w:t>
      </w:r>
      <w:r w:rsidRPr="005043BF">
        <w:rPr>
          <w:rFonts w:asciiTheme="minorHAnsi" w:hAnsiTheme="minorHAnsi"/>
          <w:bCs/>
        </w:rPr>
        <w:t xml:space="preserve">1332 z późn. zm.) </w:t>
      </w:r>
      <w:r w:rsidRPr="005043BF">
        <w:rPr>
          <w:rFonts w:asciiTheme="minorHAnsi" w:hAnsiTheme="minorHAnsi"/>
        </w:rPr>
        <w:t>– to obiekt budowlany, który jest trwale związany z gruntem, wydzielony z przestrzeni za pomocą przegród budowlanych o</w:t>
      </w:r>
      <w:r>
        <w:rPr>
          <w:rFonts w:asciiTheme="minorHAnsi" w:hAnsiTheme="minorHAnsi"/>
        </w:rPr>
        <w:t>raz posiada fundamenty i dach.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  <w:r w:rsidRPr="005043BF">
        <w:rPr>
          <w:rFonts w:asciiTheme="minorHAnsi" w:hAnsiTheme="minorHAnsi"/>
        </w:rPr>
        <w:t xml:space="preserve">IZ RPO WD nie określa zamkniętego katalogu części wspólnych budynku, o tym co jest częścią wspólną decydują w dużej mierze postanowienia umów o ustanowieniu odrębnej własności lokalu. 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  <w:r w:rsidRPr="005043BF">
        <w:rPr>
          <w:rFonts w:asciiTheme="minorHAnsi" w:hAnsiTheme="minorHAnsi" w:cs="Arial"/>
        </w:rPr>
        <w:t>Możliwe są działania poprawiające efektywność energetyczną, analogiczne do działania 3.3 „Efektywność energetyczna w bud</w:t>
      </w:r>
      <w:r>
        <w:rPr>
          <w:rFonts w:asciiTheme="minorHAnsi" w:hAnsiTheme="minorHAnsi" w:cs="Arial"/>
        </w:rPr>
        <w:t xml:space="preserve">ynkach użyteczności publicznej i </w:t>
      </w:r>
      <w:r w:rsidRPr="005043BF">
        <w:rPr>
          <w:rFonts w:asciiTheme="minorHAnsi" w:hAnsiTheme="minorHAnsi" w:cs="Arial"/>
        </w:rPr>
        <w:t>sektorze mieszkaniowym” (schematy 3.3. A i 3.3. B).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  <w:r w:rsidRPr="005043BF">
        <w:rPr>
          <w:rFonts w:asciiTheme="minorHAnsi" w:hAnsiTheme="minorHAnsi" w:cs="Arial"/>
        </w:rPr>
        <w:t xml:space="preserve">Wartość inwestycji </w:t>
      </w:r>
      <w:r>
        <w:rPr>
          <w:rFonts w:asciiTheme="minorHAnsi" w:hAnsiTheme="minorHAnsi" w:cs="Arial"/>
        </w:rPr>
        <w:t>poprawiających</w:t>
      </w:r>
      <w:r w:rsidRPr="00751C08">
        <w:rPr>
          <w:rFonts w:asciiTheme="minorHAnsi" w:hAnsiTheme="minorHAnsi" w:cs="Arial"/>
        </w:rPr>
        <w:t xml:space="preserve"> efektywność energetyczną </w:t>
      </w:r>
      <w:r w:rsidRPr="005043BF">
        <w:rPr>
          <w:rFonts w:asciiTheme="minorHAnsi" w:hAnsiTheme="minorHAnsi" w:cs="Arial"/>
        </w:rPr>
        <w:t>nie może przekraczać 49% wartości wydatków kwalifikowalnych na pojedynczy budynek w projekcie.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Wszystkie wspierane przedsięwzięcia powinny uwzględniać konieczność dostosowania infrastruktury i wyposażenia do potrzeb osób </w:t>
      </w:r>
      <w:r>
        <w:rPr>
          <w:rFonts w:cs="Arial"/>
          <w:sz w:val="24"/>
          <w:szCs w:val="24"/>
        </w:rPr>
        <w:t xml:space="preserve">z </w:t>
      </w:r>
      <w:r w:rsidRPr="005043BF">
        <w:rPr>
          <w:rFonts w:cs="Arial"/>
          <w:sz w:val="24"/>
          <w:szCs w:val="24"/>
        </w:rPr>
        <w:t>niepełnosprawn</w:t>
      </w:r>
      <w:r>
        <w:rPr>
          <w:rFonts w:cs="Arial"/>
          <w:sz w:val="24"/>
          <w:szCs w:val="24"/>
        </w:rPr>
        <w:t>ościami</w:t>
      </w:r>
      <w:r w:rsidRPr="00796B4B">
        <w:rPr>
          <w:rFonts w:cs="Arial"/>
          <w:sz w:val="24"/>
          <w:szCs w:val="24"/>
        </w:rPr>
        <w:t xml:space="preserve"> (</w:t>
      </w:r>
      <w:r w:rsidRPr="005043BF">
        <w:rPr>
          <w:rFonts w:cs="Arial"/>
          <w:sz w:val="24"/>
          <w:szCs w:val="24"/>
        </w:rPr>
        <w:t>wymóg dotyczy każdego budynku planowanego do rewitalizacji w ramach projektu)</w:t>
      </w:r>
      <w:r>
        <w:rPr>
          <w:rFonts w:cs="Arial"/>
          <w:sz w:val="24"/>
          <w:szCs w:val="24"/>
        </w:rPr>
        <w:t xml:space="preserve">. Jeżeli budynek </w:t>
      </w:r>
      <w:r w:rsidRPr="005043BF">
        <w:rPr>
          <w:rFonts w:cs="Arial"/>
          <w:sz w:val="24"/>
          <w:szCs w:val="24"/>
        </w:rPr>
        <w:t>już jest dostosowany do potrzeb osób z niepełnosprawnościami, wtedy należy to opisać szczegółowo we wniosku o dofinansowanie wskazując jakie konkretne udogodnienia w danym budynku si</w:t>
      </w:r>
      <w:r>
        <w:rPr>
          <w:rFonts w:cs="Arial"/>
          <w:sz w:val="24"/>
          <w:szCs w:val="24"/>
        </w:rPr>
        <w:t xml:space="preserve">ę znajdują. W przypadku, gdy w </w:t>
      </w:r>
      <w:r w:rsidRPr="005043BF">
        <w:rPr>
          <w:rFonts w:cs="Arial"/>
          <w:sz w:val="24"/>
          <w:szCs w:val="24"/>
        </w:rPr>
        <w:t xml:space="preserve">projekcie nie będą realizowane żadne udogodnienia dla osób z niepełnosprawnościami </w:t>
      </w:r>
      <w:r>
        <w:rPr>
          <w:rFonts w:cs="Arial"/>
          <w:sz w:val="24"/>
          <w:szCs w:val="24"/>
        </w:rPr>
        <w:t>(ponieważ</w:t>
      </w:r>
      <w:r w:rsidRPr="00751C08">
        <w:rPr>
          <w:rFonts w:cs="Arial"/>
          <w:sz w:val="24"/>
          <w:szCs w:val="24"/>
        </w:rPr>
        <w:t xml:space="preserve"> budynek już jest dostosowany do potrzeb osób z niepełnosprawnościami) </w:t>
      </w:r>
      <w:r w:rsidRPr="005043BF">
        <w:rPr>
          <w:rFonts w:cs="Arial"/>
          <w:sz w:val="24"/>
          <w:szCs w:val="24"/>
        </w:rPr>
        <w:t xml:space="preserve">należy we wniosku o dofinansowanie wskazać wpływ neutralny na zasadę niedyskryminacji. </w:t>
      </w: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751C08">
        <w:rPr>
          <w:rFonts w:cs="Arial"/>
          <w:sz w:val="24"/>
          <w:szCs w:val="24"/>
        </w:rPr>
        <w:t xml:space="preserve">Należy także zwrócić uwagę </w:t>
      </w:r>
      <w:r>
        <w:rPr>
          <w:rFonts w:cs="Arial"/>
          <w:sz w:val="24"/>
          <w:szCs w:val="24"/>
        </w:rPr>
        <w:t>na to, iż o pozytywnym wpływie</w:t>
      </w:r>
      <w:r w:rsidRPr="00751C08">
        <w:rPr>
          <w:rFonts w:cs="Arial"/>
          <w:sz w:val="24"/>
          <w:szCs w:val="24"/>
        </w:rPr>
        <w:t xml:space="preserve"> na zasadę niedyskryminacji świadczy zastosowanie w zlecanych w ramach projektu zamówieniach publicznych klauzul społecznych (dot. osób z niepełnosprawnościami) a także dostępna dla osób z niepełnosprawnościami strona internetowa.</w:t>
      </w:r>
    </w:p>
    <w:p w:rsidR="00A67469" w:rsidRPr="005043BF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Wypełniając wniosek o dofinansowanie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</w:t>
      </w:r>
      <w:r w:rsidRPr="004F191E">
        <w:rPr>
          <w:rFonts w:cs="Arial"/>
          <w:sz w:val="24"/>
          <w:szCs w:val="24"/>
        </w:rPr>
        <w:t>www.power.gov.pl/dostepnosc</w:t>
      </w:r>
      <w:r>
        <w:rPr>
          <w:rFonts w:cs="Arial"/>
          <w:sz w:val="24"/>
          <w:szCs w:val="24"/>
        </w:rPr>
        <w:t xml:space="preserve"> </w:t>
      </w:r>
      <w:r w:rsidRPr="004F383E">
        <w:rPr>
          <w:rFonts w:cs="Arial"/>
          <w:color w:val="000000" w:themeColor="text1"/>
          <w:sz w:val="24"/>
          <w:szCs w:val="24"/>
        </w:rPr>
        <w:t>oraz w zakładce Poznaj Fundusze Europejskie bez barier znajdującej się na stronie internetowej RPO WD (http://rpo.dolnyslask.pl/o-projekcie/poznaj-fundusze-europejskie-bez-barier/</w:t>
      </w:r>
      <w:r>
        <w:rPr>
          <w:rFonts w:cs="Arial"/>
          <w:color w:val="000000" w:themeColor="text1"/>
          <w:sz w:val="24"/>
          <w:szCs w:val="24"/>
        </w:rPr>
        <w:t>).</w:t>
      </w:r>
      <w:r w:rsidRPr="004F383E">
        <w:rPr>
          <w:rFonts w:cs="Arial"/>
          <w:color w:val="000000" w:themeColor="text1"/>
          <w:sz w:val="24"/>
          <w:szCs w:val="24"/>
        </w:rPr>
        <w:t xml:space="preserve"> </w:t>
      </w:r>
      <w:r w:rsidRPr="005043BF">
        <w:rPr>
          <w:rFonts w:cs="Arial"/>
          <w:sz w:val="24"/>
          <w:szCs w:val="24"/>
        </w:rPr>
        <w:t xml:space="preserve">Na szczególną uwagę </w:t>
      </w:r>
      <w:r>
        <w:rPr>
          <w:rFonts w:cs="Arial"/>
          <w:sz w:val="24"/>
          <w:szCs w:val="24"/>
        </w:rPr>
        <w:t xml:space="preserve">na tej stronie </w:t>
      </w:r>
      <w:r w:rsidRPr="005043BF">
        <w:rPr>
          <w:rFonts w:cs="Arial"/>
          <w:sz w:val="24"/>
          <w:szCs w:val="24"/>
        </w:rPr>
        <w:t>zasługuje Poradnik opublikowany przez Ministerstwo Rozwoju "Realizacja zasady równości szans i niedyskryminacji, w tym dostępności dla osób z niepełnosprawnościami"</w:t>
      </w:r>
      <w:r>
        <w:rPr>
          <w:rFonts w:cs="Arial"/>
          <w:sz w:val="24"/>
          <w:szCs w:val="24"/>
        </w:rPr>
        <w:t>.</w:t>
      </w:r>
      <w:r w:rsidRPr="005043BF">
        <w:rPr>
          <w:sz w:val="24"/>
          <w:szCs w:val="24"/>
        </w:rPr>
        <w:t xml:space="preserve"> </w:t>
      </w:r>
    </w:p>
    <w:p w:rsidR="00A67469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  <w:r w:rsidRPr="005043BF">
        <w:rPr>
          <w:rFonts w:asciiTheme="minorHAnsi" w:hAnsiTheme="minorHAnsi" w:cs="Arial"/>
        </w:rPr>
        <w:t>W ramach działania 6.3 nie ma możliwości wsparcia projektów z zakresu mieszkalnictwa wspomaganego (chronionego, treningowe</w:t>
      </w:r>
      <w:r>
        <w:rPr>
          <w:rFonts w:asciiTheme="minorHAnsi" w:hAnsiTheme="minorHAnsi" w:cs="Arial"/>
        </w:rPr>
        <w:t xml:space="preserve">go, wspieranego) i socjalnego. </w:t>
      </w:r>
    </w:p>
    <w:p w:rsidR="00A67469" w:rsidRPr="00796B4B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  <w:b/>
        </w:rPr>
      </w:pPr>
      <w:r w:rsidRPr="005043BF">
        <w:rPr>
          <w:rFonts w:asciiTheme="minorHAnsi" w:hAnsiTheme="minorHAnsi" w:cs="Arial"/>
          <w:b/>
        </w:rPr>
        <w:t>Wszystkie projekty planowane do realizacji muszą być ujęte w  programie rewitalizacji lub w dokumencie równorzędnym</w:t>
      </w:r>
      <w:r>
        <w:rPr>
          <w:rFonts w:asciiTheme="minorHAnsi" w:hAnsiTheme="minorHAnsi" w:cs="Arial"/>
          <w:b/>
        </w:rPr>
        <w:t xml:space="preserve">. </w:t>
      </w:r>
      <w:r w:rsidRPr="005043BF">
        <w:rPr>
          <w:rFonts w:asciiTheme="minorHAnsi" w:hAnsiTheme="minorHAnsi" w:cs="Arial"/>
        </w:rPr>
        <w:t>Przez dokument równorzędny należy rozumieć lokalny, miejski lub gminny programy rewitalizacji. 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</w:t>
      </w:r>
      <w:r>
        <w:rPr>
          <w:rFonts w:asciiTheme="minorHAnsi" w:hAnsiTheme="minorHAnsi" w:cs="Arial"/>
          <w:b/>
        </w:rPr>
        <w:t>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751C08">
        <w:rPr>
          <w:rFonts w:asciiTheme="minorHAnsi" w:hAnsiTheme="minorHAnsi"/>
        </w:rPr>
        <w:t>godnie z nowelizacją Ustawy wdrożeniowej, wytyczne programowe przestaną obowiązywać trzy miesiące od dnia wejścia w życie Ustawy</w:t>
      </w:r>
      <w:r>
        <w:rPr>
          <w:rFonts w:asciiTheme="minorHAnsi" w:hAnsiTheme="minorHAnsi"/>
        </w:rPr>
        <w:t xml:space="preserve">, tj. po 2 grudnia 2017 r. W przypadku niniejszego naboru obowiązują jeszcze zasady określone w Wytycznych programowych IZ RPO WD dotyczących zasad przygotowania lokalnych programów rewitalizacji (lub dokumentów równorzędnych) w perspektywie finansowej 2014-2020. </w:t>
      </w:r>
    </w:p>
    <w:p w:rsidR="00A67469" w:rsidRPr="005043BF" w:rsidRDefault="00A67469" w:rsidP="00A67469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F191E">
        <w:rPr>
          <w:rFonts w:eastAsia="Calibri" w:cs="Times New Roman"/>
          <w:sz w:val="24"/>
          <w:szCs w:val="24"/>
        </w:rPr>
        <w:t xml:space="preserve">Zgodność projektu złożonego w naborze z projektem w programie rewitalizacji, sprawdzana jest poprzez dane dot. tego projektu zawartymi na „Liście </w:t>
      </w:r>
      <w:r>
        <w:rPr>
          <w:rFonts w:eastAsia="Calibri" w:cs="Times New Roman"/>
          <w:sz w:val="24"/>
          <w:szCs w:val="24"/>
        </w:rPr>
        <w:t xml:space="preserve">A” programu rewitalizacyjnego: 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Liczba porządkowa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 xml:space="preserve">Nazwa projektu 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Nazwa wnioskodawcy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Krótki opis problemu jaki ma rozwiązać realizacja projektu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Cel (cele) projektu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Zakres realizowanych zadań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Miejsce realizacji danego projektu na obszarze rewitalizacji np. adres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Szacowaną (orientacyjną) wartość projektu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Prognozowane produkty i rezultaty wraz ze sposobem ich oceny i zmierzenia w odniesieniu do celów rewitalizacji.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</w:p>
    <w:p w:rsidR="00A67469" w:rsidRPr="00E51C6F" w:rsidRDefault="00A67469" w:rsidP="00A67469">
      <w:pPr>
        <w:pStyle w:val="Poprawka"/>
        <w:spacing w:line="360" w:lineRule="auto"/>
        <w:rPr>
          <w:rFonts w:asciiTheme="minorHAnsi" w:hAnsiTheme="minorHAnsi"/>
          <w:u w:val="single"/>
        </w:rPr>
      </w:pPr>
      <w:r w:rsidRPr="005043BF">
        <w:rPr>
          <w:rFonts w:asciiTheme="minorHAnsi" w:hAnsiTheme="minorHAnsi"/>
          <w:u w:val="single"/>
        </w:rPr>
        <w:t>Zgodność projektu z projektem ujętym w programie rewitalizacji:</w:t>
      </w:r>
    </w:p>
    <w:p w:rsidR="00A67469" w:rsidRDefault="00A67469" w:rsidP="00A67469">
      <w:pPr>
        <w:pStyle w:val="Poprawka"/>
        <w:spacing w:line="360" w:lineRule="auto"/>
      </w:pPr>
      <w:r>
        <w:rPr>
          <w:rFonts w:asciiTheme="minorHAnsi" w:hAnsiTheme="minorHAnsi" w:cs="Arial"/>
        </w:rPr>
        <w:t>N</w:t>
      </w:r>
      <w:r w:rsidRPr="005043BF">
        <w:rPr>
          <w:rFonts w:asciiTheme="minorHAnsi" w:hAnsiTheme="minorHAnsi" w:cs="Arial"/>
        </w:rPr>
        <w:t>a dzień składania wniosku o dofinansowanie projekt rewitalizacyjn</w:t>
      </w:r>
      <w:r>
        <w:rPr>
          <w:rFonts w:asciiTheme="minorHAnsi" w:hAnsiTheme="minorHAnsi" w:cs="Arial"/>
        </w:rPr>
        <w:t>y musi wynikać z obowiązującego</w:t>
      </w:r>
      <w:r w:rsidRPr="005043BF">
        <w:rPr>
          <w:rFonts w:asciiTheme="minorHAnsi" w:hAnsiTheme="minorHAnsi" w:cs="Arial"/>
        </w:rPr>
        <w:t xml:space="preserve"> programu rewitalizacji (Lista A dla projektów w ramach działania 6.3) znajdującego się w prowadzonym przez IZ RPO WD wykazie pozytywnie zweryfikowanych programów rewitalizacji.</w:t>
      </w:r>
      <w:r w:rsidRPr="000F5AAE">
        <w:t xml:space="preserve"> 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  <w:r w:rsidRPr="000F5AAE">
        <w:rPr>
          <w:rFonts w:asciiTheme="minorHAnsi" w:hAnsiTheme="minorHAnsi" w:cs="Arial"/>
        </w:rPr>
        <w:t>IZ RPO WD prowadzi i na bieżąco aktualizuje wykaz dla wszystkich pozytywnie zweryfikowanych programów rewitalizacji</w:t>
      </w:r>
      <w:r>
        <w:rPr>
          <w:rFonts w:asciiTheme="minorHAnsi" w:hAnsiTheme="minorHAnsi" w:cs="Arial"/>
        </w:rPr>
        <w:t>.</w:t>
      </w:r>
      <w:r w:rsidRPr="000F5AAE">
        <w:rPr>
          <w:rFonts w:asciiTheme="minorHAnsi" w:hAnsiTheme="minorHAnsi" w:cs="Arial"/>
        </w:rPr>
        <w:t xml:space="preserve"> Wykaz programów rewitalizacji dla gmin województwa dolnoślą</w:t>
      </w:r>
      <w:r>
        <w:rPr>
          <w:rFonts w:asciiTheme="minorHAnsi" w:hAnsiTheme="minorHAnsi" w:cs="Arial"/>
        </w:rPr>
        <w:t>skiego znajduje się na stronie:</w:t>
      </w:r>
      <w:r w:rsidRPr="000F5AAE">
        <w:rPr>
          <w:rFonts w:asciiTheme="minorHAnsi" w:hAnsiTheme="minorHAnsi" w:cs="Arial"/>
        </w:rPr>
        <w:t xml:space="preserve"> http://rpo.dolnyslask.pl/o-projekcie/dowiedz-sie-wiecej-o-rewitalizacji-2/</w:t>
      </w:r>
      <w:r>
        <w:rPr>
          <w:rFonts w:asciiTheme="minorHAnsi" w:hAnsiTheme="minorHAnsi" w:cs="Arial"/>
        </w:rPr>
        <w:t>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5043BF" w:rsidRDefault="00A67469" w:rsidP="00A67469">
      <w:pPr>
        <w:spacing w:line="360" w:lineRule="auto"/>
        <w:rPr>
          <w:sz w:val="24"/>
          <w:szCs w:val="24"/>
        </w:rPr>
      </w:pPr>
      <w:r w:rsidRPr="004F191E">
        <w:rPr>
          <w:sz w:val="24"/>
          <w:szCs w:val="24"/>
        </w:rPr>
        <w:t>Zakres zadań wskazany we wniosku o dofinansowanie nie może zostać zwiększony w stosunku do zakresu wskazanego w programie rewitalizacji</w:t>
      </w:r>
      <w:r>
        <w:rPr>
          <w:sz w:val="24"/>
          <w:szCs w:val="24"/>
        </w:rPr>
        <w:t xml:space="preserve"> </w:t>
      </w:r>
      <w:r w:rsidRPr="003E58F9">
        <w:rPr>
          <w:sz w:val="24"/>
          <w:szCs w:val="24"/>
        </w:rPr>
        <w:t xml:space="preserve">(dotyczy wydatków </w:t>
      </w:r>
      <w:r>
        <w:rPr>
          <w:sz w:val="24"/>
          <w:szCs w:val="24"/>
        </w:rPr>
        <w:t>kwalifikowalnych)</w:t>
      </w:r>
      <w:r w:rsidRPr="004F191E">
        <w:rPr>
          <w:sz w:val="24"/>
          <w:szCs w:val="24"/>
        </w:rPr>
        <w:t>, ale możliwe jest jego zmniejszenie</w:t>
      </w:r>
      <w:r>
        <w:rPr>
          <w:sz w:val="24"/>
          <w:szCs w:val="24"/>
        </w:rPr>
        <w:t>. Weryfikacja nastąpi zgodnie z kryterium formalnym specyficznym „</w:t>
      </w:r>
      <w:r w:rsidRPr="00E62082">
        <w:rPr>
          <w:sz w:val="24"/>
          <w:szCs w:val="24"/>
        </w:rPr>
        <w:t>Ujęcie projektu w programie rewitalizacji</w:t>
      </w:r>
      <w:r>
        <w:rPr>
          <w:sz w:val="24"/>
          <w:szCs w:val="24"/>
        </w:rPr>
        <w:t>” (niespełnienie oznaczać będzie odrzucenie wniosku o dofinansowanie).</w:t>
      </w:r>
    </w:p>
    <w:p w:rsidR="00A67469" w:rsidRDefault="00A67469" w:rsidP="00A67469">
      <w:pPr>
        <w:spacing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Wnioskodawca we wniosku o dofinansowanie</w:t>
      </w:r>
      <w:r>
        <w:rPr>
          <w:sz w:val="24"/>
          <w:szCs w:val="24"/>
        </w:rPr>
        <w:t xml:space="preserve"> musi być wskazany jako wnioskodawca </w:t>
      </w:r>
      <w:r w:rsidRPr="005043BF">
        <w:rPr>
          <w:sz w:val="24"/>
          <w:szCs w:val="24"/>
        </w:rPr>
        <w:t xml:space="preserve">w </w:t>
      </w:r>
      <w:r>
        <w:rPr>
          <w:sz w:val="24"/>
          <w:szCs w:val="24"/>
        </w:rPr>
        <w:t>programie rewitalizacji w tym samym projekcie.</w:t>
      </w:r>
    </w:p>
    <w:p w:rsidR="00A67469" w:rsidRPr="005043BF" w:rsidRDefault="00A67469" w:rsidP="00A67469">
      <w:pPr>
        <w:spacing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Możliwe jest przystąpienie partnerów do innego partnerstwa wykazanego wcześniej w programie rewitalizacji lub projektu indywidualnego wskazanego w programie rewitalizacji tworząc nowe partnerstwo. Dodatkowo </w:t>
      </w:r>
      <w:r w:rsidRPr="00771567">
        <w:rPr>
          <w:sz w:val="24"/>
          <w:szCs w:val="24"/>
        </w:rPr>
        <w:t>istnieje</w:t>
      </w:r>
      <w:r w:rsidRPr="005043BF">
        <w:rPr>
          <w:sz w:val="24"/>
          <w:szCs w:val="24"/>
        </w:rPr>
        <w:t xml:space="preserve"> również możliwość złożenia wniosku o dofinansowan</w:t>
      </w:r>
      <w:r>
        <w:rPr>
          <w:sz w:val="24"/>
          <w:szCs w:val="24"/>
        </w:rPr>
        <w:t>ie indywidualnie przez podmiot,</w:t>
      </w:r>
      <w:r w:rsidRPr="005043BF">
        <w:rPr>
          <w:sz w:val="24"/>
          <w:szCs w:val="24"/>
        </w:rPr>
        <w:t xml:space="preserve"> np. przez Wspólnotę, która wcześniej w programie rewitalizacji była wpi</w:t>
      </w:r>
      <w:r>
        <w:rPr>
          <w:sz w:val="24"/>
          <w:szCs w:val="24"/>
        </w:rPr>
        <w:t>sana do projektu partnerskiego.</w:t>
      </w:r>
    </w:p>
    <w:p w:rsidR="00A67469" w:rsidRPr="005043BF" w:rsidRDefault="00A67469" w:rsidP="00A67469">
      <w:pPr>
        <w:spacing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 takich wypadkach, we wniosku o dofinansowanie </w:t>
      </w:r>
      <w:r>
        <w:rPr>
          <w:sz w:val="24"/>
          <w:szCs w:val="24"/>
        </w:rPr>
        <w:t xml:space="preserve">należy </w:t>
      </w:r>
      <w:r w:rsidRPr="005043BF">
        <w:rPr>
          <w:sz w:val="24"/>
          <w:szCs w:val="24"/>
        </w:rPr>
        <w:t xml:space="preserve">opisać zaistniałą sytuację (m.in. przyczyny takiej </w:t>
      </w:r>
      <w:r>
        <w:rPr>
          <w:sz w:val="24"/>
          <w:szCs w:val="24"/>
        </w:rPr>
        <w:t>zmiany). Należy ponadto wskazać</w:t>
      </w:r>
      <w:r w:rsidRPr="005043BF">
        <w:rPr>
          <w:sz w:val="24"/>
          <w:szCs w:val="24"/>
        </w:rPr>
        <w:t xml:space="preserve"> pierwotny projekt </w:t>
      </w:r>
      <w:r>
        <w:rPr>
          <w:sz w:val="24"/>
          <w:szCs w:val="24"/>
        </w:rPr>
        <w:t xml:space="preserve">w programie rewitalizacji i/lub </w:t>
      </w:r>
      <w:r w:rsidRPr="005043BF">
        <w:rPr>
          <w:sz w:val="24"/>
          <w:szCs w:val="24"/>
        </w:rPr>
        <w:t xml:space="preserve">ten do którego jest dopisywany. </w:t>
      </w:r>
    </w:p>
    <w:p w:rsidR="00A67469" w:rsidRPr="00E51C6F" w:rsidRDefault="00A67469" w:rsidP="00A67469">
      <w:pPr>
        <w:spacing w:line="360" w:lineRule="auto"/>
        <w:rPr>
          <w:sz w:val="24"/>
          <w:szCs w:val="24"/>
        </w:rPr>
      </w:pPr>
      <w:r w:rsidRPr="00567A78">
        <w:rPr>
          <w:sz w:val="24"/>
          <w:szCs w:val="24"/>
        </w:rPr>
        <w:t>W przypadku „podziału” partnerstwa należy również przedstawić sposób podziału całkowitego kosztu pierwotnego projektu</w:t>
      </w:r>
      <w:r w:rsidRPr="00771567">
        <w:t xml:space="preserve"> </w:t>
      </w:r>
      <w:r w:rsidRPr="00771567">
        <w:rPr>
          <w:sz w:val="24"/>
          <w:szCs w:val="24"/>
        </w:rPr>
        <w:t>partnerskiego ujętego w programie rewitalizacji, na poszczególne projekty powstałe w wyni</w:t>
      </w:r>
      <w:r>
        <w:rPr>
          <w:sz w:val="24"/>
          <w:szCs w:val="24"/>
        </w:rPr>
        <w:t>ku „podziału” partnerstwa</w:t>
      </w:r>
      <w:r w:rsidRPr="00771567">
        <w:rPr>
          <w:sz w:val="24"/>
          <w:szCs w:val="24"/>
        </w:rPr>
        <w:t>.</w:t>
      </w:r>
      <w:r w:rsidRPr="005043BF">
        <w:rPr>
          <w:sz w:val="24"/>
          <w:szCs w:val="24"/>
        </w:rPr>
        <w:t xml:space="preserve"> Tytuł projektu może ulec zmianie wobec zapisanego w programie rewitalizacji, jednakże w taki sposób, aby odzwierciedlał ogólny zakres projektu i jego lokalizacj</w:t>
      </w:r>
      <w:r>
        <w:rPr>
          <w:sz w:val="24"/>
          <w:szCs w:val="24"/>
        </w:rPr>
        <w:t>ę.</w:t>
      </w:r>
    </w:p>
    <w:p w:rsidR="00A67469" w:rsidRDefault="00A67469" w:rsidP="00A67469">
      <w:pPr>
        <w:spacing w:after="120" w:line="360" w:lineRule="auto"/>
        <w:rPr>
          <w:rFonts w:cs="Calibri"/>
          <w:b/>
          <w:color w:val="000000"/>
          <w:sz w:val="24"/>
          <w:szCs w:val="24"/>
        </w:rPr>
      </w:pPr>
      <w:r w:rsidRPr="005043BF">
        <w:rPr>
          <w:rFonts w:cs="Calibri"/>
          <w:b/>
          <w:color w:val="000000"/>
          <w:sz w:val="24"/>
          <w:szCs w:val="24"/>
        </w:rPr>
        <w:t>Preferowane będą projekty:</w:t>
      </w:r>
    </w:p>
    <w:p w:rsidR="00A67469" w:rsidRPr="00E51C6F" w:rsidRDefault="00A67469" w:rsidP="00A67469">
      <w:pPr>
        <w:pStyle w:val="Akapitzlist"/>
        <w:numPr>
          <w:ilvl w:val="0"/>
          <w:numId w:val="41"/>
        </w:numPr>
        <w:spacing w:before="0" w:line="360" w:lineRule="auto"/>
        <w:ind w:left="72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dotyczące zabytków znajdujących się w wykazie zabytków </w:t>
      </w:r>
      <w:r w:rsidRPr="00E51C6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lub/</w:t>
      </w:r>
      <w:r w:rsidRPr="00E51C6F">
        <w:rPr>
          <w:rFonts w:asciiTheme="minorHAnsi" w:hAnsiTheme="minorHAnsi" w:cs="Arial"/>
          <w:sz w:val="24"/>
          <w:szCs w:val="24"/>
        </w:rPr>
        <w:t>oraz na obszarach podlegaj</w:t>
      </w:r>
      <w:r>
        <w:rPr>
          <w:rFonts w:asciiTheme="minorHAnsi" w:hAnsiTheme="minorHAnsi" w:cs="Arial"/>
          <w:sz w:val="24"/>
          <w:szCs w:val="24"/>
        </w:rPr>
        <w:t>ących ochronie konserwatorskiej;</w:t>
      </w:r>
    </w:p>
    <w:p w:rsidR="00A67469" w:rsidRPr="005043BF" w:rsidRDefault="00A67469" w:rsidP="00A67469">
      <w:pPr>
        <w:pStyle w:val="Akapitzlist"/>
        <w:numPr>
          <w:ilvl w:val="0"/>
          <w:numId w:val="41"/>
        </w:numPr>
        <w:spacing w:before="0" w:line="360" w:lineRule="auto"/>
        <w:ind w:left="720"/>
        <w:rPr>
          <w:rFonts w:asciiTheme="minorHAnsi" w:hAnsiTheme="minorHAnsi" w:cs="Calibri"/>
          <w:b/>
          <w:color w:val="000000"/>
          <w:sz w:val="24"/>
          <w:szCs w:val="24"/>
        </w:rPr>
      </w:pPr>
      <w:r w:rsidRPr="005043BF">
        <w:rPr>
          <w:rFonts w:asciiTheme="minorHAnsi" w:hAnsiTheme="minorHAnsi" w:cs="Arial"/>
          <w:sz w:val="24"/>
          <w:szCs w:val="24"/>
        </w:rPr>
        <w:t>realizowane w partnerstwie.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5043BF" w:rsidRDefault="00A67469" w:rsidP="00A67469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5043BF">
        <w:rPr>
          <w:rFonts w:cs="Arial"/>
          <w:b/>
          <w:sz w:val="24"/>
          <w:szCs w:val="24"/>
        </w:rPr>
        <w:t>Nie będą finansowane:</w:t>
      </w:r>
    </w:p>
    <w:p w:rsidR="00A67469" w:rsidRPr="005043BF" w:rsidRDefault="00A67469" w:rsidP="00A67469">
      <w:pPr>
        <w:pStyle w:val="Akapitzlist"/>
        <w:numPr>
          <w:ilvl w:val="0"/>
          <w:numId w:val="41"/>
        </w:numPr>
        <w:spacing w:before="0" w:after="200" w:line="360" w:lineRule="auto"/>
        <w:ind w:left="720"/>
        <w:contextualSpacing/>
        <w:rPr>
          <w:rFonts w:asciiTheme="minorHAnsi" w:hAnsiTheme="minorHAnsi"/>
          <w:b/>
          <w:sz w:val="24"/>
          <w:szCs w:val="24"/>
        </w:rPr>
      </w:pPr>
      <w:r w:rsidRPr="005043BF">
        <w:rPr>
          <w:rFonts w:asciiTheme="minorHAnsi" w:hAnsiTheme="minorHAnsi"/>
          <w:sz w:val="24"/>
          <w:szCs w:val="24"/>
        </w:rPr>
        <w:t>Wydatki na remont, odnowę części usługowej, produkcyjnej itp., związanej z prowadzeniem działalności gospodarczej we wspieranych w projekcie budynkach</w:t>
      </w:r>
      <w:r>
        <w:rPr>
          <w:rFonts w:asciiTheme="minorHAnsi" w:hAnsiTheme="minorHAnsi"/>
          <w:sz w:val="24"/>
          <w:szCs w:val="24"/>
        </w:rPr>
        <w:t xml:space="preserve"> (nie dotyczy OZE)</w:t>
      </w:r>
      <w:r w:rsidRPr="004C7FFC">
        <w:rPr>
          <w:rFonts w:asciiTheme="minorHAnsi" w:hAnsiTheme="minorHAnsi"/>
          <w:sz w:val="24"/>
          <w:szCs w:val="24"/>
        </w:rPr>
        <w:t xml:space="preserve">. </w:t>
      </w:r>
      <w:r w:rsidRPr="005043BF">
        <w:rPr>
          <w:rFonts w:asciiTheme="minorHAnsi" w:hAnsiTheme="minorHAnsi"/>
          <w:sz w:val="24"/>
          <w:szCs w:val="24"/>
        </w:rPr>
        <w:t>Wydatki kwalifikowalne nie obejmują wydatków ponoszonych na część związaną z prowadzeniem działalności gospodarczej. Należy określić procentowy udział powierzchni użytkowej związanej z prowadzeniem działalności gospodarczej w całkowitej powierzchni użytkowej budynku. Następnie należy wg uzyskanej proporcji obniżyć wydatki kwalifikowalne.</w:t>
      </w:r>
    </w:p>
    <w:p w:rsidR="00A67469" w:rsidRPr="005043BF" w:rsidRDefault="00A67469" w:rsidP="00A67469">
      <w:pPr>
        <w:pStyle w:val="Akapitzlist"/>
        <w:numPr>
          <w:ilvl w:val="0"/>
          <w:numId w:val="41"/>
        </w:numPr>
        <w:spacing w:before="0" w:after="200" w:line="360" w:lineRule="auto"/>
        <w:ind w:left="720"/>
        <w:contextualSpacing/>
        <w:rPr>
          <w:rFonts w:asciiTheme="minorHAnsi" w:hAnsiTheme="minorHAnsi"/>
          <w:b/>
          <w:sz w:val="24"/>
          <w:szCs w:val="24"/>
        </w:rPr>
      </w:pPr>
      <w:r w:rsidRPr="005043BF">
        <w:rPr>
          <w:rFonts w:asciiTheme="minorHAnsi" w:hAnsiTheme="minorHAnsi"/>
          <w:sz w:val="24"/>
          <w:szCs w:val="24"/>
        </w:rPr>
        <w:t>Wydatki na remont, odnowę części związanej z prowadzeniem działalności administracyjnej we wspieranych w projekcie budynkach</w:t>
      </w:r>
      <w:r>
        <w:rPr>
          <w:rFonts w:asciiTheme="minorHAnsi" w:hAnsiTheme="minorHAnsi"/>
          <w:sz w:val="24"/>
          <w:szCs w:val="24"/>
        </w:rPr>
        <w:t xml:space="preserve">. </w:t>
      </w:r>
      <w:r w:rsidRPr="005043BF">
        <w:rPr>
          <w:rFonts w:asciiTheme="minorHAnsi" w:hAnsiTheme="minorHAnsi"/>
          <w:sz w:val="24"/>
          <w:szCs w:val="24"/>
        </w:rPr>
        <w:t>Wydatki kwalifikowalne nie obejmują wydatków ponoszonych na część związaną z prowadzeniem działalności administracyjnej. Należy określić procentowy udział powierzchni użytkowej związanej z prowadzeniem działalności administracyjnej w całkowitej powierzchni użytkowej budynku. Następnie należy wg uzyskanej proporcji obniżyć wydatki kwalifikowalne</w:t>
      </w:r>
      <w:r w:rsidR="008A515C">
        <w:rPr>
          <w:rFonts w:asciiTheme="minorHAnsi" w:hAnsiTheme="minorHAnsi"/>
          <w:sz w:val="24"/>
          <w:szCs w:val="24"/>
        </w:rPr>
        <w:t>.</w:t>
      </w:r>
    </w:p>
    <w:p w:rsidR="00A67469" w:rsidRPr="005043BF" w:rsidRDefault="00A67469" w:rsidP="00A67469">
      <w:pPr>
        <w:pStyle w:val="Akapitzlist"/>
        <w:numPr>
          <w:ilvl w:val="0"/>
          <w:numId w:val="41"/>
        </w:numPr>
        <w:spacing w:before="0" w:after="200" w:line="360" w:lineRule="auto"/>
        <w:ind w:left="720"/>
        <w:contextualSpacing/>
        <w:rPr>
          <w:rFonts w:asciiTheme="minorHAnsi" w:hAnsiTheme="minorHAnsi"/>
          <w:b/>
          <w:sz w:val="24"/>
          <w:szCs w:val="24"/>
        </w:rPr>
      </w:pPr>
      <w:r w:rsidRPr="005043BF">
        <w:rPr>
          <w:rFonts w:asciiTheme="minorHAnsi" w:hAnsiTheme="minorHAnsi"/>
          <w:sz w:val="24"/>
          <w:szCs w:val="24"/>
        </w:rPr>
        <w:t>Wydatki na termomodernizację przekraczające 49% wartości całkowitych wydatków kwalifikowalnych na pojedynczy budynek w projekcie.</w:t>
      </w:r>
    </w:p>
    <w:p w:rsidR="00A67469" w:rsidRPr="005043BF" w:rsidRDefault="00A67469" w:rsidP="00A67469">
      <w:pPr>
        <w:pStyle w:val="CM1"/>
        <w:spacing w:line="360" w:lineRule="auto"/>
        <w:rPr>
          <w:rFonts w:asciiTheme="minorHAnsi" w:hAnsiTheme="minorHAnsi"/>
          <w:b/>
        </w:rPr>
      </w:pPr>
      <w:r w:rsidRPr="005043BF">
        <w:rPr>
          <w:rFonts w:asciiTheme="minorHAnsi" w:hAnsiTheme="minorHAnsi" w:cs="Calibri"/>
          <w:b/>
          <w:color w:val="000000"/>
        </w:rPr>
        <w:t xml:space="preserve">Kategoria interwencji dla niniejszego konkursu: </w:t>
      </w:r>
      <w:r w:rsidRPr="005043BF">
        <w:rPr>
          <w:rFonts w:asciiTheme="minorHAnsi" w:hAnsiTheme="minorHAnsi"/>
          <w:b/>
        </w:rPr>
        <w:t xml:space="preserve">054 Infrastruktura mieszkalnictwa. </w:t>
      </w:r>
    </w:p>
    <w:p w:rsidR="00D65C66" w:rsidRDefault="00D65C66" w:rsidP="00D65C66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 xml:space="preserve">O dofinansowanie w ramach konkursów mogą ubiegać się następujące typy wnioskodawców/beneficjentów: 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jednostki samorządu terytorialnego, ich związki i stowarzyszenia;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jednostki organizacyjne jst;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jednostki sektora finansów publicznych, inne niż wymienione powyżej;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wspólnoty i spółdzielnie mieszkaniowe;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towarzystwa budownictwa społecznego;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organizacje pozarządowe.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 xml:space="preserve">O dofinansowanie nie mogą ubiegać się podmioty, które podlegają wykluczeniu </w:t>
      </w:r>
      <w:r w:rsidRPr="00CE42E2">
        <w:rPr>
          <w:rFonts w:cs="Calibri"/>
          <w:color w:val="000000"/>
          <w:sz w:val="24"/>
          <w:szCs w:val="24"/>
        </w:rPr>
        <w:br/>
        <w:t xml:space="preserve">z możliwości otrzymania dofinansowania, w tym wykluczeniu, o którym mowa </w:t>
      </w:r>
      <w:r w:rsidRPr="00CE42E2">
        <w:rPr>
          <w:rFonts w:cs="Calibri"/>
          <w:color w:val="000000"/>
          <w:sz w:val="24"/>
          <w:szCs w:val="24"/>
        </w:rPr>
        <w:br/>
        <w:t>w art. 207 ust. 4 ustawy z dnia 27 sierpnia 2009 r. o finansach publicznych.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D65C66" w:rsidRPr="00CE42E2" w:rsidRDefault="00D65C66" w:rsidP="00CE42E2">
      <w:pPr>
        <w:spacing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Jako partnerzy występować  mogą  tylko podmioty wskazane wyżej jako wnioskodawcy/beneficjenci.</w:t>
      </w:r>
    </w:p>
    <w:p w:rsidR="00D65C66" w:rsidRPr="00D65C66" w:rsidRDefault="00D65C66" w:rsidP="00CE42E2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t xml:space="preserve">Alokacja przeznaczona na konkurs wynosi </w:t>
      </w:r>
      <w:r w:rsidRPr="00B92BB7">
        <w:rPr>
          <w:rFonts w:cs="Calibri"/>
          <w:b/>
          <w:color w:val="000000"/>
          <w:sz w:val="24"/>
          <w:szCs w:val="24"/>
        </w:rPr>
        <w:t>2 347 528 EUR</w:t>
      </w:r>
      <w:r w:rsidRPr="00B92BB7">
        <w:rPr>
          <w:rFonts w:eastAsia="Droid Sans Fallback" w:cs="Calibri"/>
          <w:b/>
          <w:color w:val="00000A"/>
          <w:sz w:val="24"/>
          <w:szCs w:val="24"/>
        </w:rPr>
        <w:t xml:space="preserve">, tj.  9 961 031 PLN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w listopadzie 2017 r., 1 euro = </w:t>
      </w:r>
      <w:r w:rsidRPr="00B92BB7">
        <w:rPr>
          <w:sz w:val="24"/>
          <w:szCs w:val="24"/>
        </w:rPr>
        <w:t xml:space="preserve">4,2432 </w:t>
      </w:r>
      <w:r w:rsidRPr="00B92BB7">
        <w:rPr>
          <w:rFonts w:cs="MS Sans Serif"/>
          <w:color w:val="000000" w:themeColor="text1"/>
          <w:sz w:val="24"/>
          <w:szCs w:val="24"/>
        </w:rPr>
        <w:t>PLN – kurs z dnia 30 października 2017 r.)</w:t>
      </w:r>
      <w:r>
        <w:rPr>
          <w:rFonts w:cs="MS Sans Serif"/>
          <w:color w:val="000000" w:themeColor="text1"/>
          <w:sz w:val="24"/>
          <w:szCs w:val="24"/>
        </w:rPr>
        <w:t xml:space="preserve"> </w:t>
      </w:r>
      <w:r w:rsidRPr="005043BF">
        <w:rPr>
          <w:rFonts w:cs="MS Sans Serif"/>
          <w:color w:val="000000" w:themeColor="text1"/>
          <w:sz w:val="24"/>
          <w:szCs w:val="24"/>
        </w:rPr>
        <w:t>w tym na procedurę odwoławczą 15% kwoty p</w:t>
      </w:r>
      <w:r w:rsidR="00204AFD">
        <w:rPr>
          <w:rFonts w:cs="MS Sans Serif"/>
          <w:color w:val="000000" w:themeColor="text1"/>
          <w:sz w:val="24"/>
          <w:szCs w:val="24"/>
        </w:rPr>
        <w:t>rzeznaczonej na konkurs (tj. 352</w:t>
      </w:r>
      <w:r w:rsidRPr="005043BF">
        <w:rPr>
          <w:rFonts w:cs="MS Sans Serif"/>
          <w:color w:val="000000" w:themeColor="text1"/>
          <w:sz w:val="24"/>
          <w:szCs w:val="24"/>
        </w:rPr>
        <w:t> 129,2 EUR)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2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</w:p>
    <w:p w:rsidR="00A67469" w:rsidRPr="00F11CDD" w:rsidRDefault="00A67469" w:rsidP="00F11CDD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</w:t>
      </w:r>
      <w:r>
        <w:rPr>
          <w:sz w:val="24"/>
          <w:szCs w:val="24"/>
        </w:rPr>
        <w:t>ojektów.</w:t>
      </w:r>
    </w:p>
    <w:p w:rsidR="00A67469" w:rsidRDefault="00A67469" w:rsidP="00A67469">
      <w:pPr>
        <w:autoSpaceDE w:val="0"/>
        <w:autoSpaceDN w:val="0"/>
        <w:adjustRightInd w:val="0"/>
        <w:spacing w:after="0" w:line="360" w:lineRule="auto"/>
        <w:rPr>
          <w:rFonts w:cs="MS Sans Serif"/>
          <w:sz w:val="24"/>
          <w:szCs w:val="24"/>
        </w:rPr>
      </w:pPr>
      <w:r w:rsidRPr="005043BF">
        <w:rPr>
          <w:rFonts w:cs="MS Sans Serif"/>
          <w:sz w:val="24"/>
          <w:szCs w:val="24"/>
        </w:rPr>
        <w:t>Kwota alokacji do czasu rozstrzygnięcia naboru może ulec zmniejszeniu ze względu na pozytywnie</w:t>
      </w:r>
      <w:r>
        <w:rPr>
          <w:rFonts w:cs="MS Sans Serif"/>
          <w:sz w:val="24"/>
          <w:szCs w:val="24"/>
        </w:rPr>
        <w:t xml:space="preserve"> </w:t>
      </w:r>
      <w:r w:rsidRPr="005043BF">
        <w:rPr>
          <w:rFonts w:cs="MS Sans Serif"/>
          <w:sz w:val="24"/>
          <w:szCs w:val="24"/>
        </w:rPr>
        <w:t>rozpatrywane protesty w ramach poddziałania</w:t>
      </w:r>
      <w:bookmarkEnd w:id="2"/>
      <w:r w:rsidRPr="005043BF">
        <w:rPr>
          <w:rFonts w:cs="MS Sans Serif"/>
          <w:sz w:val="24"/>
          <w:szCs w:val="24"/>
        </w:rPr>
        <w:t>.</w:t>
      </w:r>
    </w:p>
    <w:p w:rsidR="00A67469" w:rsidRPr="005043BF" w:rsidRDefault="00A67469" w:rsidP="00A67469">
      <w:pPr>
        <w:autoSpaceDE w:val="0"/>
        <w:autoSpaceDN w:val="0"/>
        <w:adjustRightInd w:val="0"/>
        <w:spacing w:after="0" w:line="360" w:lineRule="auto"/>
        <w:rPr>
          <w:rFonts w:cs="MS Sans Serif"/>
          <w:sz w:val="24"/>
          <w:szCs w:val="24"/>
        </w:rPr>
      </w:pPr>
    </w:p>
    <w:p w:rsidR="00A67469" w:rsidRPr="005043BF" w:rsidRDefault="00A67469" w:rsidP="00A674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>W trakcie trwania naboru lub po rozstrzygnięciu konkursu IOK może zwiększyć kwotę przeznaczoną na dofinansowanie projektów w konkursie, z uwzględnieniem 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Pr="00CE42E2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projektu: </w:t>
      </w:r>
    </w:p>
    <w:p w:rsidR="00FE1176" w:rsidRDefault="00D65C66" w:rsidP="00CE42E2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Minimalna wartość projektu: 100 tys. PLN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035CD">
      <w:pPr>
        <w:pStyle w:val="Akapitzlist"/>
        <w:numPr>
          <w:ilvl w:val="0"/>
          <w:numId w:val="46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projektu:</w:t>
      </w:r>
    </w:p>
    <w:p w:rsidR="00FE1176" w:rsidRDefault="00FE1176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FE1176">
        <w:rPr>
          <w:rFonts w:asciiTheme="minorHAnsi" w:hAnsiTheme="minorHAnsi" w:cs="Calibri"/>
          <w:color w:val="000000"/>
          <w:sz w:val="24"/>
          <w:szCs w:val="24"/>
        </w:rPr>
        <w:t>Nie dotyczy.</w:t>
      </w:r>
    </w:p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 dofinansowania projektu:</w:t>
      </w:r>
    </w:p>
    <w:p w:rsidR="00FE1176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</w:rPr>
      </w:pP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b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Wnioskowana w projekcie wartość dofinansowania (przeliczona po kursie wskazanym w regulaminie konkursu) nie może przekroczyć alokacji przeznaczonej na niniejszy konkurs (nr RPDS.06.03.02-IZ.00-02-278/17</w:t>
      </w:r>
      <w:r w:rsidRPr="008A515C">
        <w:rPr>
          <w:rFonts w:ascii="Calibri" w:eastAsia="Droid Sans Fallback" w:hAnsi="Calibri" w:cs="Calibri"/>
          <w:sz w:val="24"/>
          <w:szCs w:val="24"/>
        </w:rPr>
        <w:t>).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 xml:space="preserve">Maksymalny poziom dofinansowania UE na poziomie projektu wynosi: </w:t>
      </w:r>
    </w:p>
    <w:p w:rsidR="00FE1176" w:rsidRPr="00CE42E2" w:rsidRDefault="00FE1176" w:rsidP="00CE42E2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projektu nieobjętego pomocą publiczną – maksymalnie 85% kosztów kwalifikowalnych;</w:t>
      </w:r>
    </w:p>
    <w:p w:rsidR="00FE1176" w:rsidRPr="00CE42E2" w:rsidRDefault="00FE1176" w:rsidP="00CE42E2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projektu objętego pomocą publiczną – w wysokości wynikającej z reguł pomocy publicznej ale nie więcej niż 85%, a w przypadku projektu objętego pomocą de minimis, maksymalny poziom dofinansowania wyniesie 85%. Całkowita kwota pomocy de minimis nie może przekroczyć 200 000 EUR w okresie trzech lat podatkowych (z uwzględnieniem kwoty pomocy de minimis otrzymanej z innego źródła).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</w:r>
    </w:p>
    <w:p w:rsidR="00FE1176" w:rsidRDefault="00FE1176" w:rsidP="00CE42E2">
      <w:pPr>
        <w:pStyle w:val="Akapitzlist"/>
        <w:spacing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Na podstawie zapisów Kontraktu Terytorialnego, projekty rewitalizacyjne mogą otrzymać dodatkowy wkład z Budżetu Państwa tytułem uzupełnienia wkładu krajowego, za wyjątkiem projektów objętych w całości lub w części regułami pomocy publicznej/pomocy de minimis lub projektów generujących dochód w rozumieniu art. 61 rozporządzenia nr 1303/2013.   Informacja o dostępności środków z BP dla poszczególnych projektów będzie przedstawiana na etapie podpisywania umowy o dofinansowanie projektu</w:t>
      </w:r>
      <w:r w:rsidR="00CE42E2" w:rsidRPr="00CE42E2">
        <w:rPr>
          <w:rFonts w:ascii="Calibri" w:eastAsia="Droid Sans Fallback" w:hAnsi="Calibri" w:cs="Calibri"/>
          <w:sz w:val="24"/>
          <w:szCs w:val="24"/>
        </w:rPr>
        <w:t>.</w:t>
      </w:r>
    </w:p>
    <w:p w:rsidR="00CE42E2" w:rsidRPr="00CE42E2" w:rsidRDefault="00CE42E2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CE42E2">
        <w:rPr>
          <w:rFonts w:asciiTheme="minorHAnsi" w:hAnsiTheme="minorHAnsi"/>
          <w:sz w:val="24"/>
          <w:szCs w:val="24"/>
        </w:rPr>
        <w:t>Minimalny wkład własny beneficjenta na poziomie projektu  wynosi co najmniej 15% na moment składania wniosku o dofinansowanie.</w:t>
      </w:r>
    </w:p>
    <w:p w:rsidR="00255034" w:rsidRPr="00CE42E2" w:rsidRDefault="00255034" w:rsidP="00CE42E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Wnioskodawca wypełnia wniosek o dofinansowanie za pośrednictwem aplikacji – Generator Wniosków o dofinansowanie EFRR – dostępny na stronie </w:t>
      </w:r>
      <w:r w:rsidR="008A515C" w:rsidRPr="008A515C">
        <w:rPr>
          <w:sz w:val="24"/>
          <w:szCs w:val="24"/>
        </w:rPr>
        <w:t>https://snow-umwd.dolnyslask.pl</w:t>
      </w:r>
      <w:r w:rsidR="008A515C">
        <w:rPr>
          <w:sz w:val="24"/>
          <w:szCs w:val="24"/>
        </w:rPr>
        <w:t xml:space="preserve"> </w:t>
      </w:r>
      <w:r w:rsidRPr="005043BF">
        <w:rPr>
          <w:sz w:val="24"/>
          <w:szCs w:val="24"/>
        </w:rPr>
        <w:t xml:space="preserve">i przesyła do IOK w ramach niniejszego konkursu w terminie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b/>
          <w:sz w:val="24"/>
          <w:szCs w:val="24"/>
        </w:rPr>
        <w:t>od godz. 8.00 dnia 19 grudnia 2017 r. do godz. 15.00 dnia 15 lutego 2018 r.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Logowanie do Generatora Wniosków w celu</w:t>
      </w:r>
      <w:r>
        <w:rPr>
          <w:sz w:val="24"/>
          <w:szCs w:val="24"/>
        </w:rPr>
        <w:t xml:space="preserve"> wypełnienia i złożenia wniosku </w:t>
      </w:r>
      <w:r w:rsidRPr="005043BF">
        <w:rPr>
          <w:sz w:val="24"/>
          <w:szCs w:val="24"/>
        </w:rPr>
        <w:t xml:space="preserve">o 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Ponadto w ww. terminie </w:t>
      </w:r>
      <w:r w:rsidRPr="00816AD6">
        <w:rPr>
          <w:b/>
          <w:sz w:val="24"/>
          <w:szCs w:val="24"/>
        </w:rPr>
        <w:t>do godz. 15.00 dnia 15 lutego 2018 r.</w:t>
      </w:r>
      <w:r w:rsidRPr="005043BF">
        <w:rPr>
          <w:sz w:val="24"/>
          <w:szCs w:val="24"/>
        </w:rPr>
        <w:t xml:space="preserve"> do siedziby IOK należy dostarczyć jeden egzemplarz wydrukowanej z aplikacji Generator Wniosków papierowej wersji wniosku, opatrzonej czytelnym podpisem/ami lub parafą i z pieczęcią imienną osoby/ób uprawnionej/ych do reprezentowania wnioskodawcy (wraz z podpisanymi załącznikami).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Jednocześnie, wymaganą analizę finansową (w postaci arkuszy kalkulacyjnych w formacie Excel z aktywnymi formułami) przedłożyć należy na nośniku CD.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b/>
          <w:sz w:val="24"/>
          <w:szCs w:val="24"/>
        </w:rPr>
      </w:pPr>
      <w:r w:rsidRPr="005043BF">
        <w:rPr>
          <w:b/>
          <w:sz w:val="24"/>
          <w:szCs w:val="24"/>
        </w:rPr>
        <w:t>Za datę wpływu do IOK uznaje się datę wpływu wniosku w wersji papierowej.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Papierowa wersja wniosku może zostać dostarczona: 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a) osobiście lub za pośrednictwem kuriera do kancelarii Departamentu Funduszy Europejskich mieszczącej się pod adresem: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Pr="005043BF">
        <w:rPr>
          <w:sz w:val="24"/>
          <w:szCs w:val="24"/>
        </w:rPr>
        <w:t>Mazowiecka 17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II piętro, pokój nr 2019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b) za pośrednictwem polskiego operatora wyznaczonego,  w rozumieniu ustawy z dnia 23 listopada 2012 r. - Prawo pocztowe, na adres: 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ul. Mazowiecka 17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F11CDD" w:rsidRPr="005043BF" w:rsidRDefault="00F11CDD" w:rsidP="00F11CDD">
      <w:pPr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II piętro, pokój nr 2019</w:t>
      </w:r>
    </w:p>
    <w:p w:rsidR="00F11CDD" w:rsidRPr="005043BF" w:rsidRDefault="00F11CDD" w:rsidP="00F11CDD">
      <w:pPr>
        <w:spacing w:after="0" w:line="360" w:lineRule="auto"/>
        <w:rPr>
          <w:sz w:val="24"/>
          <w:szCs w:val="24"/>
        </w:rPr>
      </w:pPr>
    </w:p>
    <w:p w:rsidR="00F11CDD" w:rsidRPr="005043BF" w:rsidRDefault="00F11CDD" w:rsidP="00F11CDD">
      <w:pPr>
        <w:autoSpaceDE w:val="0"/>
        <w:autoSpaceDN w:val="0"/>
        <w:spacing w:before="120" w:after="120" w:line="360" w:lineRule="auto"/>
        <w:rPr>
          <w:color w:val="FF0000"/>
          <w:sz w:val="24"/>
          <w:szCs w:val="24"/>
        </w:rPr>
      </w:pPr>
      <w:r w:rsidRPr="005043BF">
        <w:rPr>
          <w:sz w:val="24"/>
          <w:szCs w:val="24"/>
        </w:rPr>
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</w:t>
      </w:r>
      <w:r w:rsidRPr="005043BF">
        <w:rPr>
          <w:rFonts w:cs="Arial"/>
          <w:sz w:val="24"/>
          <w:szCs w:val="24"/>
        </w:rPr>
        <w:t xml:space="preserve">Prezesa Urzędu Komunikacji Elektronicznej z dnia 30 czerwca 2015 r., wydaną na podstawie art. 71 </w:t>
      </w:r>
      <w:r w:rsidRPr="005043BF">
        <w:rPr>
          <w:sz w:val="24"/>
          <w:szCs w:val="24"/>
        </w:rPr>
        <w:t xml:space="preserve">ustawy z dnia 23 listopada 2012 r. - Prawo pocztowe, dokonany został </w:t>
      </w:r>
      <w:r w:rsidRPr="005043BF">
        <w:rPr>
          <w:rFonts w:cs="Arial"/>
          <w:sz w:val="24"/>
          <w:szCs w:val="24"/>
        </w:rPr>
        <w:t>wybór operatora wyznaczonego do świadczenia usług powszechnych na lata 2016-2025, którym została Poczta Polska SA.</w:t>
      </w:r>
    </w:p>
    <w:p w:rsidR="00F11CDD" w:rsidRPr="005043BF" w:rsidRDefault="00F11CDD" w:rsidP="00F11CDD">
      <w:pPr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5043BF">
        <w:rPr>
          <w:rFonts w:eastAsia="Calibri" w:cs="Times New Roman"/>
          <w:sz w:val="24"/>
          <w:szCs w:val="24"/>
          <w:lang w:eastAsia="pl-PL"/>
        </w:rPr>
        <w:t>Suma kontrolna wersji elektronicznej wniosku (w systemie) musi być identyczna z sumą kontrolną papierowej wersji wniosku.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Wniosek wraz z załącznikami (jeśli dotyczy) należy złożyć w zamkniętej kopercie, (lub innym opakowaniu np. pudełku) której opis zawiera następujące informacje: 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pełna nazwa Wnioskodawcy wraz z adresem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wniosek o dofinansowanie projektu w ramach naboru nr …………..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tytuł projektu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- numer wniosku o dofinansowanie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„Nie otwierać przed wpływem do Wydziału Wdrażania EFRR”.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Wraz z wnioskiem należy dostarczyć pismo przewodnie, na którym zostanie potwierdzony wpływ wniosku do IOK. Pismo to powinno zawierać te same informacje, które znajdują się na kopercie. </w:t>
      </w:r>
    </w:p>
    <w:p w:rsidR="00F11CDD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007F4D">
        <w:rPr>
          <w:sz w:val="24"/>
          <w:szCs w:val="24"/>
        </w:rPr>
        <w:t>W przypadku złożenia wniosku o dofinansowanie projektu po terminie wskazanym w ogłoszeniu o konkursie wniosek pozostawia się bez rozpatrzenia.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Oświadczenia oraz dane zawarte we wniosku o dofinansowanie projektu są składane pod rygorem odpowiedzialności karnej za składanie fałszywych zeznań, z wyłączeniem oświadczenia o którym mowa w Art. 41 ust. 2 pkt 7c.</w:t>
      </w:r>
      <w:r w:rsidRPr="005043BF">
        <w:rPr>
          <w:color w:val="000000"/>
          <w:sz w:val="24"/>
          <w:szCs w:val="24"/>
        </w:rPr>
        <w:t xml:space="preserve"> Wniosek o dofinansowanie projektu zawiera klauzulę następującej treści: „Jestem świadomy odpowiedzialności karnej </w:t>
      </w:r>
      <w:r>
        <w:rPr>
          <w:color w:val="000000"/>
          <w:sz w:val="24"/>
          <w:szCs w:val="24"/>
        </w:rPr>
        <w:t xml:space="preserve">za </w:t>
      </w:r>
      <w:r w:rsidRPr="005043BF">
        <w:rPr>
          <w:color w:val="000000"/>
          <w:sz w:val="24"/>
          <w:szCs w:val="24"/>
        </w:rPr>
        <w:t>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  <w:r w:rsidRPr="005043BF">
        <w:rPr>
          <w:sz w:val="24"/>
          <w:szCs w:val="24"/>
        </w:rPr>
        <w:t xml:space="preserve">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5043BF">
        <w:rPr>
          <w:color w:val="000000" w:themeColor="text1"/>
          <w:sz w:val="24"/>
          <w:szCs w:val="24"/>
        </w:rPr>
        <w:t>ogłoszenie.</w:t>
      </w:r>
    </w:p>
    <w:p w:rsidR="00F11CDD" w:rsidRDefault="00F11CDD" w:rsidP="00F11CDD">
      <w:pPr>
        <w:spacing w:line="360" w:lineRule="auto"/>
        <w:rPr>
          <w:color w:val="000000"/>
          <w:sz w:val="24"/>
          <w:szCs w:val="24"/>
        </w:rPr>
      </w:pPr>
      <w:r w:rsidRPr="005043BF">
        <w:rPr>
          <w:color w:val="000000"/>
          <w:sz w:val="24"/>
          <w:szCs w:val="24"/>
        </w:rPr>
        <w:t>IZ RPO WD nie przewiduje możliwości skrócenia terminu składania wniosków.</w:t>
      </w:r>
    </w:p>
    <w:p w:rsidR="00F11CDD" w:rsidRPr="005043BF" w:rsidRDefault="00F11CDD" w:rsidP="00F11CDD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t>Forma składania wniosków określona w tym pkt Ogłoszenia obowiązuje także przy składaniu każdej poprawionej wersji wniosku o dofinansowanie.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Regulaminie, który dostępny jest wraz z załącznikami na stronie internetowej www.rpo.dolnyslask.pl, na stronie www.zitwrof.pl oraz na portalu Funduszy Europejskich (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.funduszeeuropejskie.gov.pl)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  <w:bookmarkStart w:id="3" w:name="_GoBack"/>
      <w:bookmarkEnd w:id="3"/>
    </w:p>
    <w:sectPr w:rsidR="00F259B1" w:rsidRPr="00CE42E2" w:rsidSect="007B7525">
      <w:footerReference w:type="default" r:id="rId10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25503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E30EB"/>
    <w:multiLevelType w:val="hybridMultilevel"/>
    <w:tmpl w:val="ECFE54AA"/>
    <w:lvl w:ilvl="0" w:tplc="3F562254">
      <w:start w:val="7"/>
      <w:numFmt w:val="upperLetter"/>
      <w:lvlText w:val="4.4.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9462F6"/>
    <w:multiLevelType w:val="hybridMultilevel"/>
    <w:tmpl w:val="1DA8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8"/>
  </w:num>
  <w:num w:numId="4">
    <w:abstractNumId w:val="35"/>
  </w:num>
  <w:num w:numId="5">
    <w:abstractNumId w:val="5"/>
  </w:num>
  <w:num w:numId="6">
    <w:abstractNumId w:val="41"/>
  </w:num>
  <w:num w:numId="7">
    <w:abstractNumId w:val="10"/>
  </w:num>
  <w:num w:numId="8">
    <w:abstractNumId w:val="15"/>
  </w:num>
  <w:num w:numId="9">
    <w:abstractNumId w:val="37"/>
  </w:num>
  <w:num w:numId="10">
    <w:abstractNumId w:val="21"/>
  </w:num>
  <w:num w:numId="11">
    <w:abstractNumId w:val="32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1"/>
  </w:num>
  <w:num w:numId="17">
    <w:abstractNumId w:val="44"/>
  </w:num>
  <w:num w:numId="18">
    <w:abstractNumId w:val="28"/>
  </w:num>
  <w:num w:numId="19">
    <w:abstractNumId w:val="2"/>
  </w:num>
  <w:num w:numId="20">
    <w:abstractNumId w:val="24"/>
  </w:num>
  <w:num w:numId="21">
    <w:abstractNumId w:val="29"/>
  </w:num>
  <w:num w:numId="22">
    <w:abstractNumId w:val="42"/>
  </w:num>
  <w:num w:numId="23">
    <w:abstractNumId w:val="18"/>
  </w:num>
  <w:num w:numId="24">
    <w:abstractNumId w:val="36"/>
  </w:num>
  <w:num w:numId="25">
    <w:abstractNumId w:val="39"/>
  </w:num>
  <w:num w:numId="26">
    <w:abstractNumId w:val="19"/>
  </w:num>
  <w:num w:numId="27">
    <w:abstractNumId w:val="27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3"/>
  </w:num>
  <w:num w:numId="33">
    <w:abstractNumId w:val="22"/>
  </w:num>
  <w:num w:numId="34">
    <w:abstractNumId w:val="4"/>
  </w:num>
  <w:num w:numId="35">
    <w:abstractNumId w:val="40"/>
  </w:num>
  <w:num w:numId="36">
    <w:abstractNumId w:val="34"/>
  </w:num>
  <w:num w:numId="37">
    <w:abstractNumId w:val="16"/>
  </w:num>
  <w:num w:numId="38">
    <w:abstractNumId w:val="20"/>
  </w:num>
  <w:num w:numId="39">
    <w:abstractNumId w:val="11"/>
  </w:num>
  <w:num w:numId="40">
    <w:abstractNumId w:val="26"/>
  </w:num>
  <w:num w:numId="41">
    <w:abstractNumId w:val="9"/>
  </w:num>
  <w:num w:numId="42">
    <w:abstractNumId w:val="45"/>
  </w:num>
  <w:num w:numId="43">
    <w:abstractNumId w:val="17"/>
  </w:num>
  <w:num w:numId="44">
    <w:abstractNumId w:val="25"/>
  </w:num>
  <w:num w:numId="45">
    <w:abstractNumId w:val="31"/>
  </w:num>
  <w:num w:numId="4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133F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64F8A"/>
    <w:rsid w:val="00372F5E"/>
    <w:rsid w:val="003731FE"/>
    <w:rsid w:val="0037791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7DB6"/>
    <w:rsid w:val="005B3412"/>
    <w:rsid w:val="005B34B9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545AC"/>
    <w:rsid w:val="00665DDA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7256"/>
    <w:rsid w:val="009B14CF"/>
    <w:rsid w:val="009B3869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24B20"/>
    <w:rsid w:val="00B351F1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3A61"/>
    <w:rsid w:val="00CA790B"/>
    <w:rsid w:val="00CB0572"/>
    <w:rsid w:val="00CD3C72"/>
    <w:rsid w:val="00CD6D41"/>
    <w:rsid w:val="00CE00BD"/>
    <w:rsid w:val="00CE03F4"/>
    <w:rsid w:val="00CE42E2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59B1"/>
    <w:rsid w:val="00F373AC"/>
    <w:rsid w:val="00F37B47"/>
    <w:rsid w:val="00F50319"/>
    <w:rsid w:val="00F6469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1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8F7F-A8F3-48E4-8B2C-66962DFE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12</Pages>
  <Words>2902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Gęsiak-Kaniuka</dc:creator>
  <cp:keywords/>
  <dc:description/>
  <cp:lastModifiedBy>Bożena Pencakowska</cp:lastModifiedBy>
  <cp:revision>12</cp:revision>
  <cp:lastPrinted>2017-11-07T08:17:00Z</cp:lastPrinted>
  <dcterms:created xsi:type="dcterms:W3CDTF">2017-06-13T11:10:00Z</dcterms:created>
  <dcterms:modified xsi:type="dcterms:W3CDTF">2017-11-07T08:30:00Z</dcterms:modified>
</cp:coreProperties>
</file>