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1C2952FE" w14:textId="77777777" w:rsidR="004B3C58" w:rsidRPr="00B27059" w:rsidRDefault="004B3C58" w:rsidP="00FC6920">
      <w:pPr>
        <w:pStyle w:val="Gwka"/>
        <w:spacing w:before="120" w:line="240" w:lineRule="auto"/>
        <w:ind w:left="4963"/>
        <w:rPr>
          <w:sz w:val="24"/>
          <w:szCs w:val="24"/>
        </w:rPr>
      </w:pPr>
      <w:r w:rsidRPr="00B27059">
        <w:rPr>
          <w:sz w:val="24"/>
          <w:szCs w:val="24"/>
        </w:rPr>
        <w:t xml:space="preserve">Załącznik nr </w:t>
      </w:r>
      <w:r w:rsidR="00EE69CC">
        <w:rPr>
          <w:sz w:val="24"/>
          <w:szCs w:val="24"/>
        </w:rPr>
        <w:t xml:space="preserve"> </w:t>
      </w:r>
      <w:r w:rsidR="00AA48B6">
        <w:rPr>
          <w:sz w:val="24"/>
          <w:szCs w:val="24"/>
        </w:rPr>
        <w:t xml:space="preserve"> </w:t>
      </w:r>
      <w:r w:rsidRPr="00B27059">
        <w:rPr>
          <w:sz w:val="24"/>
          <w:szCs w:val="24"/>
        </w:rPr>
        <w:t xml:space="preserve">do Uchwały nr </w:t>
      </w:r>
      <w:r w:rsidR="00EE69CC">
        <w:rPr>
          <w:sz w:val="24"/>
          <w:szCs w:val="24"/>
        </w:rPr>
        <w:t xml:space="preserve"> </w:t>
      </w:r>
      <w:r w:rsidRPr="00B27059">
        <w:rPr>
          <w:sz w:val="24"/>
          <w:szCs w:val="24"/>
        </w:rPr>
        <w:t xml:space="preserve">                                                              </w:t>
      </w:r>
      <w:r w:rsidRPr="00B27059">
        <w:rPr>
          <w:sz w:val="24"/>
          <w:szCs w:val="24"/>
        </w:rPr>
        <w:br/>
        <w:t xml:space="preserve">Zarządu Województwa Dolnośląskiego                                               </w:t>
      </w:r>
    </w:p>
    <w:p w14:paraId="786196D0" w14:textId="77777777" w:rsidR="004B3C58" w:rsidRPr="00B27059" w:rsidRDefault="004B3C58" w:rsidP="00FC6920">
      <w:pPr>
        <w:pStyle w:val="Gwka"/>
        <w:spacing w:after="120" w:line="240" w:lineRule="auto"/>
        <w:ind w:left="4962"/>
        <w:rPr>
          <w:sz w:val="24"/>
          <w:szCs w:val="24"/>
        </w:rPr>
      </w:pPr>
      <w:r w:rsidRPr="00B27059">
        <w:rPr>
          <w:sz w:val="24"/>
          <w:szCs w:val="24"/>
        </w:rPr>
        <w:t xml:space="preserve">z dnia </w:t>
      </w:r>
      <w:r w:rsidR="00EE69CC">
        <w:rPr>
          <w:sz w:val="24"/>
          <w:szCs w:val="24"/>
        </w:rPr>
        <w:t xml:space="preserve"> </w:t>
      </w:r>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77777777" w:rsidR="004B3C58" w:rsidRPr="00B27059" w:rsidRDefault="0075059D" w:rsidP="00FC6920">
      <w:pPr>
        <w:pStyle w:val="Nagwek"/>
        <w:spacing w:before="120" w:after="120"/>
        <w:jc w:val="center"/>
        <w:rPr>
          <w:rFonts w:cs="Arial"/>
          <w:b/>
          <w:sz w:val="32"/>
          <w:szCs w:val="32"/>
        </w:rPr>
      </w:pPr>
      <w:r>
        <w:rPr>
          <w:rFonts w:cs="Arial"/>
          <w:b/>
          <w:sz w:val="32"/>
          <w:szCs w:val="32"/>
        </w:rPr>
        <w:t>Oś priorytetowa 3</w:t>
      </w:r>
      <w:r w:rsidR="004B3C58" w:rsidRPr="00B27059">
        <w:rPr>
          <w:rFonts w:cs="Arial"/>
          <w:b/>
          <w:sz w:val="32"/>
          <w:szCs w:val="32"/>
        </w:rPr>
        <w:t xml:space="preserve"> </w:t>
      </w:r>
      <w:r>
        <w:rPr>
          <w:rFonts w:cs="Arial"/>
          <w:b/>
          <w:sz w:val="32"/>
          <w:szCs w:val="32"/>
        </w:rPr>
        <w:t>Gospodarka niskoemisyjna</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77777777" w:rsidR="004B3C58" w:rsidRDefault="001D4D1A" w:rsidP="00FC6920">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472EB4">
        <w:rPr>
          <w:rFonts w:cs="Arial"/>
          <w:b/>
          <w:sz w:val="36"/>
          <w:szCs w:val="36"/>
          <w:u w:val="single"/>
        </w:rPr>
        <w:t xml:space="preserve">3.4 </w:t>
      </w:r>
      <w:r w:rsidR="00472EB4" w:rsidRPr="00472EB4">
        <w:rPr>
          <w:rFonts w:cs="Arial"/>
          <w:b/>
          <w:sz w:val="36"/>
          <w:szCs w:val="36"/>
          <w:u w:val="single"/>
        </w:rPr>
        <w:t>Wdrażanie strategii niskoemisyjnych</w:t>
      </w:r>
    </w:p>
    <w:p w14:paraId="31A3A6BD" w14:textId="77777777" w:rsidR="004B3C58" w:rsidRPr="00B72DBF" w:rsidRDefault="004B3C58" w:rsidP="00FC6920">
      <w:pPr>
        <w:pStyle w:val="Nagwek"/>
        <w:spacing w:before="120" w:after="120"/>
        <w:jc w:val="center"/>
        <w:rPr>
          <w:rFonts w:cs="Arial"/>
          <w:b/>
          <w:sz w:val="36"/>
          <w:szCs w:val="36"/>
          <w:u w:val="single"/>
        </w:rPr>
      </w:pPr>
    </w:p>
    <w:bookmarkEnd w:id="0"/>
    <w:bookmarkEnd w:id="1"/>
    <w:p w14:paraId="6E4079D3" w14:textId="77777777" w:rsidR="004B3C58" w:rsidRPr="00472EB4" w:rsidRDefault="001D4D1A" w:rsidP="00FC6920">
      <w:pPr>
        <w:tabs>
          <w:tab w:val="left" w:pos="2835"/>
        </w:tabs>
        <w:spacing w:line="240" w:lineRule="auto"/>
        <w:rPr>
          <w:sz w:val="32"/>
          <w:szCs w:val="32"/>
        </w:rPr>
      </w:pPr>
      <w:r w:rsidRPr="00472EB4">
        <w:rPr>
          <w:rFonts w:cs="Arial"/>
          <w:b/>
          <w:sz w:val="32"/>
          <w:szCs w:val="32"/>
        </w:rPr>
        <w:t xml:space="preserve">Poddziałanie </w:t>
      </w:r>
      <w:r w:rsidR="00472EB4" w:rsidRPr="00472EB4">
        <w:rPr>
          <w:rFonts w:cs="Arial"/>
          <w:b/>
          <w:sz w:val="32"/>
          <w:szCs w:val="32"/>
        </w:rPr>
        <w:t>3</w:t>
      </w:r>
      <w:r w:rsidRPr="00472EB4">
        <w:rPr>
          <w:rFonts w:cs="Arial"/>
          <w:b/>
          <w:sz w:val="32"/>
          <w:szCs w:val="32"/>
        </w:rPr>
        <w:t>.</w:t>
      </w:r>
      <w:r w:rsidR="00472EB4" w:rsidRPr="00472EB4">
        <w:rPr>
          <w:rFonts w:cs="Arial"/>
          <w:b/>
          <w:sz w:val="32"/>
          <w:szCs w:val="32"/>
        </w:rPr>
        <w:t>4</w:t>
      </w:r>
      <w:r w:rsidRPr="00472EB4">
        <w:rPr>
          <w:rFonts w:cs="Arial"/>
          <w:b/>
          <w:sz w:val="32"/>
          <w:szCs w:val="32"/>
        </w:rPr>
        <w:t xml:space="preserve">.2 </w:t>
      </w:r>
      <w:r w:rsidR="00472EB4" w:rsidRPr="00472EB4">
        <w:rPr>
          <w:rFonts w:cs="Arial"/>
          <w:b/>
          <w:sz w:val="32"/>
          <w:szCs w:val="32"/>
        </w:rPr>
        <w:t xml:space="preserve">Wdrażanie strategii niskoemisyjnych </w:t>
      </w:r>
      <w:r w:rsidRPr="00472EB4">
        <w:rPr>
          <w:rFonts w:cs="Arial"/>
          <w:b/>
          <w:sz w:val="32"/>
          <w:szCs w:val="32"/>
        </w:rPr>
        <w:t xml:space="preserve">– ZIT </w:t>
      </w:r>
      <w:proofErr w:type="spellStart"/>
      <w:r w:rsidRPr="00472EB4">
        <w:rPr>
          <w:rFonts w:cs="Arial"/>
          <w:b/>
          <w:sz w:val="32"/>
          <w:szCs w:val="32"/>
        </w:rPr>
        <w:t>W</w:t>
      </w:r>
      <w:r w:rsidR="009128E1" w:rsidRPr="00472EB4">
        <w:rPr>
          <w:rFonts w:cs="Arial"/>
          <w:b/>
          <w:sz w:val="32"/>
          <w:szCs w:val="32"/>
        </w:rPr>
        <w:t>r</w:t>
      </w:r>
      <w:r w:rsidRPr="00472EB4">
        <w:rPr>
          <w:rFonts w:cs="Arial"/>
          <w:b/>
          <w:sz w:val="32"/>
          <w:szCs w:val="32"/>
        </w:rPr>
        <w:t>OF</w:t>
      </w:r>
      <w:proofErr w:type="spellEnd"/>
    </w:p>
    <w:p w14:paraId="3A8E7356" w14:textId="77777777" w:rsidR="00472EB4" w:rsidRDefault="00472EB4" w:rsidP="00FC6920">
      <w:pPr>
        <w:spacing w:line="240" w:lineRule="auto"/>
        <w:jc w:val="center"/>
        <w:rPr>
          <w:b/>
          <w:sz w:val="28"/>
          <w:szCs w:val="28"/>
        </w:rPr>
      </w:pPr>
    </w:p>
    <w:p w14:paraId="05EB8270" w14:textId="77777777"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987DD1" w:rsidRPr="00987DD1">
        <w:rPr>
          <w:b/>
          <w:sz w:val="28"/>
          <w:szCs w:val="28"/>
        </w:rPr>
        <w:t>RPDS.03.04.02-IZ.00-02-249/17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p>
    <w:p w14:paraId="782BA1D1" w14:textId="77777777" w:rsidR="004B3C58" w:rsidRPr="00B27059" w:rsidRDefault="004B3C58" w:rsidP="00FC6920">
      <w:pPr>
        <w:spacing w:line="240" w:lineRule="auto"/>
        <w:jc w:val="center"/>
        <w:rPr>
          <w:b/>
          <w:bCs/>
        </w:rPr>
      </w:pPr>
      <w:r w:rsidRPr="00B27059">
        <w:rPr>
          <w:sz w:val="28"/>
          <w:szCs w:val="28"/>
        </w:rPr>
        <w:t xml:space="preserve">Wrocław, </w:t>
      </w:r>
      <w:r w:rsidR="00110E64">
        <w:rPr>
          <w:sz w:val="28"/>
          <w:szCs w:val="28"/>
        </w:rPr>
        <w:t>maj</w:t>
      </w:r>
      <w:r w:rsidR="001D4D1A">
        <w:rPr>
          <w:sz w:val="28"/>
          <w:szCs w:val="28"/>
        </w:rPr>
        <w:t xml:space="preserve"> </w:t>
      </w:r>
      <w:r w:rsidRPr="00B27059">
        <w:rPr>
          <w:sz w:val="28"/>
          <w:szCs w:val="28"/>
        </w:rPr>
        <w:t>201</w:t>
      </w:r>
      <w:r>
        <w:rPr>
          <w:sz w:val="28"/>
          <w:szCs w:val="28"/>
        </w:rPr>
        <w:t>7</w:t>
      </w:r>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2E0D1723" w14:textId="77777777" w:rsidR="00863BCC" w:rsidRPr="00B27059" w:rsidRDefault="00863BCC" w:rsidP="00FC6920">
      <w:pPr>
        <w:autoSpaceDE w:val="0"/>
        <w:autoSpaceDN w:val="0"/>
        <w:adjustRightInd w:val="0"/>
        <w:spacing w:after="0" w:line="240" w:lineRule="auto"/>
        <w:jc w:val="both"/>
        <w:rPr>
          <w:rFonts w:ascii="Calibri" w:hAnsi="Calibri" w:cs="Calibri"/>
          <w:color w:val="000000"/>
        </w:rPr>
      </w:pPr>
      <w:r w:rsidRPr="00426DC7">
        <w:rPr>
          <w:rFonts w:ascii="Calibri" w:hAnsi="Calibri" w:cs="Calibri"/>
          <w:b/>
          <w:color w:val="000000"/>
        </w:rPr>
        <w:t>IP RPO WD</w:t>
      </w:r>
      <w:r>
        <w:rPr>
          <w:rFonts w:ascii="Calibri" w:hAnsi="Calibri" w:cs="Calibri"/>
          <w:color w:val="000000"/>
        </w:rPr>
        <w:t xml:space="preserve"> </w:t>
      </w:r>
      <w:r w:rsidR="006165EF">
        <w:rPr>
          <w:rFonts w:ascii="Calibri" w:hAnsi="Calibri" w:cs="Calibri"/>
          <w:color w:val="000000"/>
        </w:rPr>
        <w:t>–</w:t>
      </w:r>
      <w:r>
        <w:rPr>
          <w:rFonts w:ascii="Calibri" w:hAnsi="Calibri" w:cs="Calibri"/>
          <w:color w:val="000000"/>
        </w:rPr>
        <w:t xml:space="preserve"> </w:t>
      </w:r>
      <w:r w:rsidR="006165EF">
        <w:rPr>
          <w:rFonts w:ascii="Calibri" w:hAnsi="Calibri" w:cs="Calibri"/>
          <w:color w:val="000000"/>
        </w:rPr>
        <w:t xml:space="preserve">Instytucja Pośrednicząca w </w:t>
      </w:r>
      <w:r w:rsidR="006165EF" w:rsidRPr="00B27059">
        <w:rPr>
          <w:rFonts w:ascii="Calibri" w:hAnsi="Calibri" w:cs="Calibri"/>
          <w:color w:val="000000"/>
        </w:rPr>
        <w:t>Regionalnym Programem Operacyjnym Województwa  Dolnośląskiego 2014-2020</w:t>
      </w:r>
      <w:r w:rsidR="006165EF">
        <w:rPr>
          <w:rFonts w:ascii="Calibri" w:hAnsi="Calibri" w:cs="Calibri"/>
          <w:color w:val="000000"/>
        </w:rPr>
        <w:t xml:space="preserve"> - </w:t>
      </w:r>
      <w:r w:rsidR="006165EF" w:rsidRPr="00C52BEB">
        <w:rPr>
          <w:rFonts w:cs="Arial"/>
        </w:rPr>
        <w:t>Związek ZIT Wrocławskiego Obszaru Funkcjonalnego</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2F4BB5AA" w14:textId="77777777" w:rsidR="00401B30" w:rsidRPr="00401B30" w:rsidRDefault="00D159B1" w:rsidP="00401B30">
      <w:pPr>
        <w:autoSpaceDE w:val="0"/>
        <w:autoSpaceDN w:val="0"/>
        <w:adjustRightInd w:val="0"/>
        <w:spacing w:after="0" w:line="240" w:lineRule="auto"/>
        <w:jc w:val="both"/>
        <w:rPr>
          <w:rFonts w:ascii="Calibri" w:hAnsi="Calibri" w:cs="Calibri"/>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p>
    <w:p w14:paraId="06851832" w14:textId="77777777" w:rsidR="00D159B1" w:rsidRPr="00D159B1" w:rsidRDefault="00401B30" w:rsidP="00401B30">
      <w:pPr>
        <w:autoSpaceDE w:val="0"/>
        <w:autoSpaceDN w:val="0"/>
        <w:adjustRightInd w:val="0"/>
        <w:spacing w:after="0" w:line="240" w:lineRule="auto"/>
        <w:jc w:val="both"/>
        <w:rPr>
          <w:rFonts w:ascii="Calibri" w:hAnsi="Calibri" w:cs="Calibri"/>
          <w:color w:val="000000"/>
        </w:rPr>
      </w:pPr>
      <w:r w:rsidRPr="00401B30">
        <w:rPr>
          <w:rFonts w:ascii="Calibri" w:hAnsi="Calibri" w:cs="Calibri"/>
        </w:rPr>
        <w:t>świadczenia usług publicznych lub powiązaną z tym</w:t>
      </w:r>
      <w:r>
        <w:rPr>
          <w:rFonts w:ascii="Calibri" w:hAnsi="Calibri" w:cs="Calibri"/>
        </w:rPr>
        <w:t xml:space="preserve"> </w:t>
      </w:r>
      <w:r w:rsidRPr="00401B30">
        <w:rPr>
          <w:rFonts w:ascii="Calibri" w:hAnsi="Calibri" w:cs="Calibri"/>
        </w:rPr>
        <w:t>okresem;</w:t>
      </w:r>
    </w:p>
    <w:p w14:paraId="3AFDFD0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395E4260" w14:textId="77777777" w:rsidR="0076520B" w:rsidRPr="00B27059" w:rsidRDefault="0076520B" w:rsidP="00FC6920">
      <w:pPr>
        <w:autoSpaceDE w:val="0"/>
        <w:autoSpaceDN w:val="0"/>
        <w:adjustRightInd w:val="0"/>
        <w:spacing w:after="0" w:line="240" w:lineRule="auto"/>
        <w:jc w:val="both"/>
        <w:rPr>
          <w:rFonts w:ascii="Calibri" w:hAnsi="Calibri" w:cs="Calibri"/>
          <w:color w:val="000000"/>
        </w:rPr>
      </w:pPr>
      <w:r w:rsidRPr="0076520B">
        <w:rPr>
          <w:b/>
        </w:rPr>
        <w:t xml:space="preserve">ZIT </w:t>
      </w:r>
      <w:proofErr w:type="spellStart"/>
      <w:r w:rsidRPr="0076520B">
        <w:rPr>
          <w:b/>
        </w:rPr>
        <w:t>WrOF</w:t>
      </w:r>
      <w:proofErr w:type="spellEnd"/>
      <w:r>
        <w:t xml:space="preserve"> - </w:t>
      </w: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Pr>
          <w:rFonts w:cs="Calibri"/>
          <w:color w:val="000000"/>
        </w:rPr>
        <w:t>.</w:t>
      </w:r>
    </w:p>
    <w:p w14:paraId="70252E9F" w14:textId="77777777"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05DDDB59"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5</w:t>
            </w:r>
            <w:r w:rsidR="009F0A92" w:rsidRPr="00566676">
              <w:rPr>
                <w:noProof/>
                <w:webHidden/>
                <w:color w:val="000000" w:themeColor="text1"/>
                <w:sz w:val="20"/>
              </w:rPr>
              <w:fldChar w:fldCharType="end"/>
            </w:r>
          </w:hyperlink>
        </w:p>
        <w:p w14:paraId="26D466EF" w14:textId="1BE84E19"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5</w:t>
            </w:r>
            <w:r w:rsidR="009F0A92" w:rsidRPr="00566676">
              <w:rPr>
                <w:noProof/>
                <w:webHidden/>
                <w:color w:val="000000" w:themeColor="text1"/>
                <w:sz w:val="20"/>
              </w:rPr>
              <w:fldChar w:fldCharType="end"/>
            </w:r>
          </w:hyperlink>
        </w:p>
        <w:p w14:paraId="3D7DAE2C" w14:textId="7FFCD0DB"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6</w:t>
            </w:r>
            <w:r w:rsidR="009F0A92" w:rsidRPr="00566676">
              <w:rPr>
                <w:noProof/>
                <w:webHidden/>
                <w:color w:val="000000" w:themeColor="text1"/>
                <w:sz w:val="20"/>
              </w:rPr>
              <w:fldChar w:fldCharType="end"/>
            </w:r>
          </w:hyperlink>
        </w:p>
        <w:p w14:paraId="198FB58A" w14:textId="1B5D0228"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8</w:t>
            </w:r>
            <w:r w:rsidR="009F0A92" w:rsidRPr="00566676">
              <w:rPr>
                <w:noProof/>
                <w:webHidden/>
                <w:color w:val="000000" w:themeColor="text1"/>
                <w:sz w:val="20"/>
              </w:rPr>
              <w:fldChar w:fldCharType="end"/>
            </w:r>
          </w:hyperlink>
        </w:p>
        <w:p w14:paraId="393423A9" w14:textId="5F8D0ED0"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9</w:t>
            </w:r>
            <w:r w:rsidR="009F0A92" w:rsidRPr="00566676">
              <w:rPr>
                <w:noProof/>
                <w:webHidden/>
                <w:color w:val="000000" w:themeColor="text1"/>
                <w:sz w:val="20"/>
              </w:rPr>
              <w:fldChar w:fldCharType="end"/>
            </w:r>
          </w:hyperlink>
        </w:p>
        <w:p w14:paraId="2048CA89" w14:textId="22747BF9"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10</w:t>
            </w:r>
            <w:r w:rsidR="009F0A92" w:rsidRPr="00566676">
              <w:rPr>
                <w:noProof/>
                <w:webHidden/>
                <w:color w:val="000000" w:themeColor="text1"/>
                <w:sz w:val="20"/>
              </w:rPr>
              <w:fldChar w:fldCharType="end"/>
            </w:r>
          </w:hyperlink>
        </w:p>
        <w:p w14:paraId="238EAFD4" w14:textId="3E137E54"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10</w:t>
            </w:r>
            <w:r w:rsidR="009F0A92" w:rsidRPr="00566676">
              <w:rPr>
                <w:noProof/>
                <w:webHidden/>
                <w:color w:val="000000" w:themeColor="text1"/>
                <w:sz w:val="20"/>
              </w:rPr>
              <w:fldChar w:fldCharType="end"/>
            </w:r>
          </w:hyperlink>
        </w:p>
        <w:p w14:paraId="33FC2B7D" w14:textId="5B384AA8"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10</w:t>
            </w:r>
            <w:r w:rsidR="009F0A92" w:rsidRPr="00566676">
              <w:rPr>
                <w:noProof/>
                <w:webHidden/>
                <w:color w:val="000000" w:themeColor="text1"/>
                <w:sz w:val="20"/>
              </w:rPr>
              <w:fldChar w:fldCharType="end"/>
            </w:r>
          </w:hyperlink>
        </w:p>
        <w:p w14:paraId="6C1D1B39" w14:textId="7FEA6DDD" w:rsidR="009F0A92" w:rsidRPr="00566676" w:rsidRDefault="00577F9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10</w:t>
            </w:r>
            <w:r w:rsidR="009F0A92" w:rsidRPr="00566676">
              <w:rPr>
                <w:noProof/>
                <w:webHidden/>
                <w:color w:val="000000" w:themeColor="text1"/>
                <w:sz w:val="20"/>
              </w:rPr>
              <w:fldChar w:fldCharType="end"/>
            </w:r>
          </w:hyperlink>
        </w:p>
        <w:p w14:paraId="33AA381E" w14:textId="25A6C1B6"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10</w:t>
            </w:r>
            <w:r w:rsidR="009F0A92" w:rsidRPr="00566676">
              <w:rPr>
                <w:noProof/>
                <w:webHidden/>
                <w:color w:val="000000" w:themeColor="text1"/>
                <w:sz w:val="20"/>
              </w:rPr>
              <w:fldChar w:fldCharType="end"/>
            </w:r>
          </w:hyperlink>
        </w:p>
        <w:p w14:paraId="2437ABA5" w14:textId="15FD94E1"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11</w:t>
            </w:r>
            <w:r w:rsidR="009F0A92" w:rsidRPr="00566676">
              <w:rPr>
                <w:noProof/>
                <w:webHidden/>
                <w:color w:val="000000" w:themeColor="text1"/>
                <w:sz w:val="20"/>
              </w:rPr>
              <w:fldChar w:fldCharType="end"/>
            </w:r>
          </w:hyperlink>
        </w:p>
        <w:p w14:paraId="06C09D21" w14:textId="496CD1E5"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11</w:t>
            </w:r>
            <w:r w:rsidR="009F0A92" w:rsidRPr="00566676">
              <w:rPr>
                <w:noProof/>
                <w:webHidden/>
                <w:color w:val="000000" w:themeColor="text1"/>
                <w:sz w:val="20"/>
              </w:rPr>
              <w:fldChar w:fldCharType="end"/>
            </w:r>
          </w:hyperlink>
        </w:p>
        <w:p w14:paraId="2658B9B5" w14:textId="6A213C1D"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11</w:t>
            </w:r>
            <w:r w:rsidR="009F0A92" w:rsidRPr="00566676">
              <w:rPr>
                <w:noProof/>
                <w:webHidden/>
                <w:color w:val="000000" w:themeColor="text1"/>
                <w:sz w:val="20"/>
              </w:rPr>
              <w:fldChar w:fldCharType="end"/>
            </w:r>
          </w:hyperlink>
        </w:p>
        <w:p w14:paraId="34D90981" w14:textId="25127686"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11</w:t>
            </w:r>
            <w:r w:rsidR="009F0A92" w:rsidRPr="00566676">
              <w:rPr>
                <w:noProof/>
                <w:webHidden/>
                <w:color w:val="000000" w:themeColor="text1"/>
                <w:sz w:val="20"/>
              </w:rPr>
              <w:fldChar w:fldCharType="end"/>
            </w:r>
          </w:hyperlink>
        </w:p>
        <w:p w14:paraId="054E6EE9" w14:textId="1D10FE22"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14</w:t>
            </w:r>
            <w:r w:rsidR="009F0A92" w:rsidRPr="00566676">
              <w:rPr>
                <w:noProof/>
                <w:webHidden/>
                <w:color w:val="000000" w:themeColor="text1"/>
                <w:sz w:val="20"/>
              </w:rPr>
              <w:fldChar w:fldCharType="end"/>
            </w:r>
          </w:hyperlink>
        </w:p>
        <w:p w14:paraId="2D019A57" w14:textId="76A26CAA"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15</w:t>
            </w:r>
            <w:r w:rsidR="009F0A92" w:rsidRPr="00566676">
              <w:rPr>
                <w:noProof/>
                <w:webHidden/>
                <w:color w:val="000000" w:themeColor="text1"/>
                <w:sz w:val="20"/>
              </w:rPr>
              <w:fldChar w:fldCharType="end"/>
            </w:r>
          </w:hyperlink>
        </w:p>
        <w:p w14:paraId="318AD033" w14:textId="50A0F8E8"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16</w:t>
            </w:r>
            <w:r w:rsidR="009F0A92" w:rsidRPr="00566676">
              <w:rPr>
                <w:noProof/>
                <w:webHidden/>
                <w:color w:val="000000" w:themeColor="text1"/>
                <w:sz w:val="20"/>
              </w:rPr>
              <w:fldChar w:fldCharType="end"/>
            </w:r>
          </w:hyperlink>
        </w:p>
        <w:p w14:paraId="35621124" w14:textId="3D071582"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16</w:t>
            </w:r>
            <w:r w:rsidR="009F0A92" w:rsidRPr="00566676">
              <w:rPr>
                <w:noProof/>
                <w:webHidden/>
                <w:color w:val="000000" w:themeColor="text1"/>
                <w:sz w:val="20"/>
              </w:rPr>
              <w:fldChar w:fldCharType="end"/>
            </w:r>
          </w:hyperlink>
        </w:p>
        <w:p w14:paraId="0E38590A" w14:textId="11D3237B"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17</w:t>
            </w:r>
            <w:r w:rsidR="009F0A92" w:rsidRPr="00566676">
              <w:rPr>
                <w:noProof/>
                <w:webHidden/>
                <w:color w:val="000000" w:themeColor="text1"/>
                <w:sz w:val="20"/>
              </w:rPr>
              <w:fldChar w:fldCharType="end"/>
            </w:r>
          </w:hyperlink>
        </w:p>
        <w:p w14:paraId="22BC88A3" w14:textId="12EBD5F9"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17</w:t>
            </w:r>
            <w:r w:rsidR="009F0A92" w:rsidRPr="00566676">
              <w:rPr>
                <w:noProof/>
                <w:webHidden/>
                <w:color w:val="000000" w:themeColor="text1"/>
                <w:sz w:val="20"/>
              </w:rPr>
              <w:fldChar w:fldCharType="end"/>
            </w:r>
          </w:hyperlink>
        </w:p>
        <w:p w14:paraId="35D28AF0" w14:textId="4B83B322"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19</w:t>
            </w:r>
            <w:r w:rsidR="009F0A92" w:rsidRPr="00566676">
              <w:rPr>
                <w:noProof/>
                <w:webHidden/>
                <w:color w:val="000000" w:themeColor="text1"/>
                <w:sz w:val="20"/>
              </w:rPr>
              <w:fldChar w:fldCharType="end"/>
            </w:r>
          </w:hyperlink>
        </w:p>
        <w:p w14:paraId="6928FC17" w14:textId="2E33118B"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19</w:t>
            </w:r>
            <w:r w:rsidR="009F0A92" w:rsidRPr="00566676">
              <w:rPr>
                <w:noProof/>
                <w:webHidden/>
                <w:color w:val="000000" w:themeColor="text1"/>
                <w:sz w:val="20"/>
              </w:rPr>
              <w:fldChar w:fldCharType="end"/>
            </w:r>
          </w:hyperlink>
        </w:p>
        <w:p w14:paraId="645BF591" w14:textId="1A79B5D6"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22</w:t>
            </w:r>
            <w:r w:rsidR="009F0A92" w:rsidRPr="00566676">
              <w:rPr>
                <w:noProof/>
                <w:webHidden/>
                <w:color w:val="000000" w:themeColor="text1"/>
                <w:sz w:val="20"/>
              </w:rPr>
              <w:fldChar w:fldCharType="end"/>
            </w:r>
          </w:hyperlink>
        </w:p>
        <w:p w14:paraId="36E89524" w14:textId="5161C603"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22</w:t>
            </w:r>
            <w:r w:rsidR="009F0A92" w:rsidRPr="00566676">
              <w:rPr>
                <w:noProof/>
                <w:webHidden/>
                <w:color w:val="000000" w:themeColor="text1"/>
                <w:sz w:val="20"/>
              </w:rPr>
              <w:fldChar w:fldCharType="end"/>
            </w:r>
          </w:hyperlink>
        </w:p>
        <w:p w14:paraId="13AE5B46" w14:textId="37A149BD"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23</w:t>
            </w:r>
            <w:r w:rsidR="009F0A92" w:rsidRPr="00566676">
              <w:rPr>
                <w:noProof/>
                <w:webHidden/>
                <w:color w:val="000000" w:themeColor="text1"/>
                <w:sz w:val="20"/>
              </w:rPr>
              <w:fldChar w:fldCharType="end"/>
            </w:r>
          </w:hyperlink>
        </w:p>
        <w:p w14:paraId="22F05410" w14:textId="4952F924"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23</w:t>
            </w:r>
            <w:r w:rsidR="009F0A92" w:rsidRPr="00566676">
              <w:rPr>
                <w:noProof/>
                <w:webHidden/>
                <w:color w:val="000000" w:themeColor="text1"/>
                <w:sz w:val="20"/>
              </w:rPr>
              <w:fldChar w:fldCharType="end"/>
            </w:r>
          </w:hyperlink>
        </w:p>
        <w:p w14:paraId="78D5B629" w14:textId="43F02E29"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23</w:t>
            </w:r>
            <w:r w:rsidR="009F0A92" w:rsidRPr="00566676">
              <w:rPr>
                <w:noProof/>
                <w:webHidden/>
                <w:color w:val="000000" w:themeColor="text1"/>
                <w:sz w:val="20"/>
              </w:rPr>
              <w:fldChar w:fldCharType="end"/>
            </w:r>
          </w:hyperlink>
        </w:p>
        <w:p w14:paraId="39BA469F" w14:textId="3D676C51"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24</w:t>
            </w:r>
            <w:r w:rsidR="009F0A92" w:rsidRPr="00566676">
              <w:rPr>
                <w:noProof/>
                <w:webHidden/>
                <w:color w:val="000000" w:themeColor="text1"/>
                <w:sz w:val="20"/>
              </w:rPr>
              <w:fldChar w:fldCharType="end"/>
            </w:r>
          </w:hyperlink>
        </w:p>
        <w:p w14:paraId="3A3401D3" w14:textId="4B4752CB"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24</w:t>
            </w:r>
            <w:r w:rsidR="009F0A92" w:rsidRPr="00566676">
              <w:rPr>
                <w:noProof/>
                <w:webHidden/>
                <w:color w:val="000000" w:themeColor="text1"/>
                <w:sz w:val="20"/>
              </w:rPr>
              <w:fldChar w:fldCharType="end"/>
            </w:r>
          </w:hyperlink>
        </w:p>
        <w:p w14:paraId="7836E11A" w14:textId="55440EF1"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25</w:t>
            </w:r>
            <w:r w:rsidR="009F0A92" w:rsidRPr="00566676">
              <w:rPr>
                <w:noProof/>
                <w:webHidden/>
                <w:color w:val="000000" w:themeColor="text1"/>
                <w:sz w:val="20"/>
              </w:rPr>
              <w:fldChar w:fldCharType="end"/>
            </w:r>
          </w:hyperlink>
        </w:p>
        <w:p w14:paraId="6C66A066" w14:textId="63DE80CA"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26</w:t>
            </w:r>
            <w:r w:rsidR="009F0A92" w:rsidRPr="00566676">
              <w:rPr>
                <w:noProof/>
                <w:webHidden/>
                <w:color w:val="000000" w:themeColor="text1"/>
                <w:sz w:val="20"/>
              </w:rPr>
              <w:fldChar w:fldCharType="end"/>
            </w:r>
          </w:hyperlink>
        </w:p>
        <w:p w14:paraId="38244FEF" w14:textId="1354A84A" w:rsidR="009F0A92" w:rsidRPr="00566676" w:rsidRDefault="00577F9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B91D6A">
              <w:rPr>
                <w:noProof/>
                <w:webHidden/>
                <w:color w:val="000000" w:themeColor="text1"/>
                <w:sz w:val="20"/>
              </w:rPr>
              <w:t>27</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2" w:name="_Toc432758963"/>
      <w:bookmarkStart w:id="3" w:name="_Toc430826815"/>
      <w:bookmarkStart w:id="4" w:name="_Toc426632912"/>
      <w:bookmarkStart w:id="5" w:name="_Toc476727429"/>
      <w:r>
        <w:br w:type="page"/>
      </w:r>
    </w:p>
    <w:p w14:paraId="4E095F3F" w14:textId="77777777" w:rsidR="003C4247" w:rsidRDefault="003C4247" w:rsidP="00650AF5">
      <w:pPr>
        <w:pStyle w:val="Nagwek1"/>
      </w:pPr>
      <w:r w:rsidRPr="00660937">
        <w:lastRenderedPageBreak/>
        <w:t>Regulamin konkursu</w:t>
      </w:r>
      <w:bookmarkEnd w:id="2"/>
      <w:bookmarkEnd w:id="3"/>
      <w:bookmarkEnd w:id="4"/>
      <w:r w:rsidRPr="00660937">
        <w:t xml:space="preserve"> -</w:t>
      </w:r>
      <w:r w:rsidR="0098249F">
        <w:t xml:space="preserve"> </w:t>
      </w:r>
      <w:r w:rsidRPr="00660937">
        <w:t>informacje ogólne</w:t>
      </w:r>
      <w:bookmarkEnd w:id="5"/>
    </w:p>
    <w:p w14:paraId="5897C110" w14:textId="77777777"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iego 2014-2020 Oś priorytetowa 3</w:t>
      </w:r>
      <w:r w:rsidRPr="00BA06EA">
        <w:rPr>
          <w:rFonts w:ascii="Calibri" w:eastAsia="Droid Sans Fallback" w:hAnsi="Calibri" w:cs="Calibri"/>
          <w:color w:val="00000A"/>
        </w:rPr>
        <w:t xml:space="preserve"> </w:t>
      </w:r>
      <w:r w:rsidR="00D42560">
        <w:rPr>
          <w:rFonts w:ascii="Calibri" w:eastAsia="Droid Sans Fallback" w:hAnsi="Calibri" w:cs="Calibri"/>
          <w:color w:val="00000A"/>
        </w:rPr>
        <w:t>Gospodarka niskoemisyjna</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D42560">
        <w:rPr>
          <w:rFonts w:cs="Arial"/>
        </w:rPr>
        <w:t>3.</w:t>
      </w:r>
      <w:r w:rsidRPr="00BA06EA">
        <w:rPr>
          <w:rFonts w:cs="Arial"/>
        </w:rPr>
        <w:t xml:space="preserve">4 </w:t>
      </w:r>
      <w:r w:rsidR="00D42560">
        <w:rPr>
          <w:rFonts w:cs="Arial"/>
        </w:rPr>
        <w:t>Wdrażanie strategii niskoemisyjnych</w:t>
      </w:r>
      <w:r w:rsidR="000A0673">
        <w:rPr>
          <w:rFonts w:cs="Arial"/>
        </w:rPr>
        <w:t>,</w:t>
      </w:r>
      <w:r w:rsidRPr="00BA06EA">
        <w:rPr>
          <w:rFonts w:cs="Arial"/>
        </w:rPr>
        <w:t xml:space="preserve"> Poddziałanie </w:t>
      </w:r>
      <w:r w:rsidR="00D42560">
        <w:rPr>
          <w:rFonts w:cs="Arial"/>
        </w:rPr>
        <w:t>3</w:t>
      </w:r>
      <w:r w:rsidRPr="00BA06EA">
        <w:rPr>
          <w:rFonts w:cs="Arial"/>
        </w:rPr>
        <w:t>.</w:t>
      </w:r>
      <w:r w:rsidR="00D42560">
        <w:rPr>
          <w:rFonts w:cs="Arial"/>
        </w:rPr>
        <w:t>4</w:t>
      </w:r>
      <w:r w:rsidRPr="00BA06EA">
        <w:rPr>
          <w:rFonts w:cs="Arial"/>
        </w:rPr>
        <w:t>.</w:t>
      </w:r>
      <w:r w:rsidR="0076520B">
        <w:rPr>
          <w:rFonts w:cs="Arial"/>
        </w:rPr>
        <w:t>2</w:t>
      </w:r>
      <w:r w:rsidRPr="00BA06EA">
        <w:rPr>
          <w:rFonts w:cs="Arial"/>
        </w:rPr>
        <w:t xml:space="preserve"> </w:t>
      </w:r>
      <w:r w:rsidR="00D42560">
        <w:rPr>
          <w:rFonts w:cs="Arial"/>
        </w:rPr>
        <w:t>Wdrażanie strategii niskoemisyjnych</w:t>
      </w:r>
      <w:r w:rsidRPr="00BA06EA">
        <w:rPr>
          <w:rFonts w:cs="Arial"/>
        </w:rPr>
        <w:t xml:space="preserve"> – </w:t>
      </w:r>
      <w:r w:rsidR="0076520B">
        <w:rPr>
          <w:rFonts w:cs="Arial"/>
        </w:rPr>
        <w:t xml:space="preserve">ZIT </w:t>
      </w:r>
      <w:proofErr w:type="spellStart"/>
      <w:r w:rsidR="0076520B">
        <w:rPr>
          <w:rFonts w:cs="Arial"/>
        </w:rPr>
        <w:t>WrOF</w:t>
      </w:r>
      <w:proofErr w:type="spellEnd"/>
      <w:r w:rsidRPr="007F7945">
        <w:rPr>
          <w:rFonts w:cs="Arial"/>
        </w:rPr>
        <w:t>.</w:t>
      </w:r>
    </w:p>
    <w:p w14:paraId="50D66019" w14:textId="77777777" w:rsidR="003C4247" w:rsidRDefault="003C4247" w:rsidP="00FC6920">
      <w:pPr>
        <w:pStyle w:val="Nagwek"/>
        <w:spacing w:before="120" w:after="120"/>
        <w:jc w:val="both"/>
        <w:rPr>
          <w:rFonts w:cs="Calibri"/>
          <w:b/>
          <w:color w:val="000000"/>
          <w:u w:val="single"/>
        </w:rPr>
      </w:pPr>
      <w:r w:rsidRPr="008E1123">
        <w:rPr>
          <w:rFonts w:cs="Calibri"/>
          <w:b/>
          <w:color w:val="000000"/>
          <w:u w:val="single"/>
        </w:rPr>
        <w:t xml:space="preserve">Nabór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E46015">
        <w:rPr>
          <w:rFonts w:cs="Calibri"/>
          <w:b/>
          <w:color w:val="000000"/>
          <w:u w:val="single"/>
        </w:rPr>
        <w:t>na</w:t>
      </w:r>
      <w:r>
        <w:rPr>
          <w:rFonts w:cs="Calibri"/>
          <w:b/>
          <w:color w:val="000000"/>
          <w:u w:val="single"/>
        </w:rPr>
        <w:t xml:space="preserve"> obszar</w:t>
      </w:r>
      <w:r w:rsidR="00660937">
        <w:rPr>
          <w:rFonts w:cs="Calibri"/>
          <w:b/>
          <w:color w:val="000000"/>
          <w:u w:val="single"/>
        </w:rPr>
        <w:t>ze</w:t>
      </w:r>
      <w:r w:rsidR="00E46015">
        <w:rPr>
          <w:rFonts w:cs="Calibri"/>
          <w:b/>
          <w:color w:val="000000"/>
          <w:u w:val="single"/>
        </w:rPr>
        <w:t xml:space="preserve"> ZIT </w:t>
      </w:r>
      <w:proofErr w:type="spellStart"/>
      <w:r w:rsidR="00E46015">
        <w:rPr>
          <w:rFonts w:cs="Calibri"/>
          <w:b/>
          <w:color w:val="000000"/>
          <w:u w:val="single"/>
        </w:rPr>
        <w:t>W</w:t>
      </w:r>
      <w:r w:rsidR="00D96666">
        <w:rPr>
          <w:rFonts w:cs="Calibri"/>
          <w:b/>
          <w:color w:val="000000"/>
          <w:u w:val="single"/>
        </w:rPr>
        <w:t>r</w:t>
      </w:r>
      <w:r w:rsidR="00E46015">
        <w:rPr>
          <w:rFonts w:cs="Calibri"/>
          <w:b/>
          <w:color w:val="000000"/>
          <w:u w:val="single"/>
        </w:rPr>
        <w:t>OF</w:t>
      </w:r>
      <w:proofErr w:type="spellEnd"/>
      <w:r w:rsidR="006122A8">
        <w:rPr>
          <w:rStyle w:val="Odwoanieprzypisudolnego"/>
          <w:rFonts w:cs="Calibri"/>
          <w:b/>
          <w:color w:val="000000"/>
          <w:u w:val="single"/>
        </w:rPr>
        <w:footnoteReference w:id="1"/>
      </w:r>
      <w:r w:rsidR="006827A4">
        <w:rPr>
          <w:rFonts w:cs="Calibri"/>
          <w:b/>
          <w:color w:val="000000"/>
          <w:u w:val="single"/>
        </w:rPr>
        <w:t>.</w:t>
      </w:r>
    </w:p>
    <w:p w14:paraId="4B317E64" w14:textId="59AA9330" w:rsidR="00660937" w:rsidRPr="003344F1" w:rsidRDefault="00850C05" w:rsidP="00FC6920">
      <w:pPr>
        <w:pStyle w:val="Nagwek"/>
        <w:spacing w:before="120" w:after="120"/>
        <w:jc w:val="both"/>
        <w:rPr>
          <w:rFonts w:ascii="Calibri" w:eastAsia="Times New Roman" w:hAnsi="Calibri" w:cs="Calibri"/>
          <w:szCs w:val="20"/>
          <w:lang w:eastAsia="pl-PL"/>
        </w:rPr>
      </w:pPr>
      <w:r w:rsidRPr="003344F1">
        <w:rPr>
          <w:rFonts w:ascii="Calibri" w:eastAsia="Times New Roman" w:hAnsi="Calibri" w:cs="Calibri"/>
          <w:szCs w:val="20"/>
          <w:lang w:eastAsia="pl-PL"/>
        </w:rPr>
        <w:t xml:space="preserve">Przez konkurs ogłaszany w ramach ZIT </w:t>
      </w:r>
      <w:proofErr w:type="spellStart"/>
      <w:r w:rsidRPr="003344F1">
        <w:rPr>
          <w:rFonts w:ascii="Calibri" w:eastAsia="Times New Roman" w:hAnsi="Calibri" w:cs="Calibri"/>
          <w:szCs w:val="20"/>
          <w:lang w:eastAsia="pl-PL"/>
        </w:rPr>
        <w:t>WrOF</w:t>
      </w:r>
      <w:proofErr w:type="spellEnd"/>
      <w:r w:rsidRPr="003344F1">
        <w:rPr>
          <w:rFonts w:ascii="Calibri" w:eastAsia="Times New Roman" w:hAnsi="Calibri" w:cs="Calibri"/>
          <w:szCs w:val="20"/>
          <w:lang w:eastAsia="pl-PL"/>
        </w:rPr>
        <w:t xml:space="preserve"> rozumie się prowadzony w trybie konkursowym nabór wniosków o dofinansowanie ogłaszany na projekty o znaczeniu/zasięgu nie wykraczającym poza obszar ZIT </w:t>
      </w:r>
      <w:proofErr w:type="spellStart"/>
      <w:r w:rsidRPr="003344F1">
        <w:rPr>
          <w:rFonts w:ascii="Calibri" w:eastAsia="Times New Roman" w:hAnsi="Calibri" w:cs="Calibri"/>
          <w:szCs w:val="20"/>
          <w:lang w:eastAsia="pl-PL"/>
        </w:rPr>
        <w:t>WrOF</w:t>
      </w:r>
      <w:proofErr w:type="spellEnd"/>
      <w:r w:rsidRPr="003344F1">
        <w:rPr>
          <w:rFonts w:ascii="Calibri" w:eastAsia="Times New Roman" w:hAnsi="Calibri" w:cs="Calibri"/>
          <w:szCs w:val="20"/>
          <w:lang w:eastAsia="pl-PL"/>
        </w:rPr>
        <w:t>.</w:t>
      </w:r>
    </w:p>
    <w:p w14:paraId="44CA9DF7" w14:textId="77777777"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27059">
          <w:rPr>
            <w:rFonts w:ascii="Calibri" w:eastAsia="Times New Roman" w:hAnsi="Calibri" w:cs="Calibri"/>
            <w:color w:val="0000FF"/>
            <w:szCs w:val="20"/>
            <w:u w:val="single"/>
            <w:lang w:eastAsia="pl-PL"/>
          </w:rPr>
          <w:t>www.rpo.dolnyslask.pl</w:t>
        </w:r>
      </w:hyperlink>
      <w:r w:rsidR="003857A6">
        <w:t xml:space="preserve">, </w:t>
      </w:r>
      <w:hyperlink r:id="rId10" w:history="1">
        <w:r w:rsidR="006165EF" w:rsidRPr="00D10AD9">
          <w:rPr>
            <w:rStyle w:val="Hipercze"/>
          </w:rPr>
          <w:t>www.zitwrof.pl</w:t>
        </w:r>
      </w:hyperlink>
      <w:r w:rsidR="006165EF">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6" w:name="_Toc476727430"/>
      <w:r w:rsidRPr="00825425">
        <w:t>Pełna nazwa i adres właściwej instytucji organizującej konkurs</w:t>
      </w:r>
      <w:bookmarkEnd w:id="6"/>
    </w:p>
    <w:p w14:paraId="0A2AF063" w14:textId="77777777" w:rsidR="00660937" w:rsidRPr="00E00844" w:rsidRDefault="00660937" w:rsidP="00FC6920">
      <w:pPr>
        <w:spacing w:after="0" w:line="240" w:lineRule="auto"/>
        <w:jc w:val="both"/>
      </w:pPr>
      <w:r w:rsidRPr="00E00844">
        <w:t>Konkurs ogłasza Instytucja Zarządzająca Regionalnym Programem Operacyjnym Województw</w:t>
      </w:r>
      <w:r>
        <w:t>a Dolnośląskiego 2014-2020 oraz</w:t>
      </w:r>
      <w:r w:rsidRPr="00660937">
        <w:t xml:space="preserve"> Gmina Wrocław pełniąca funkcję IP w ramach instrumentu Zintegrowane Inwestycje Terytorialne Wrocławskiego Obszaru Funkcjonalnego (ZIT </w:t>
      </w:r>
      <w:proofErr w:type="spellStart"/>
      <w:r w:rsidRPr="00660937">
        <w:t>WrOF</w:t>
      </w:r>
      <w:proofErr w:type="spellEnd"/>
      <w:r w:rsidRPr="00660937">
        <w:t xml:space="preserve">) </w:t>
      </w:r>
      <w:r>
        <w:t xml:space="preserve">- </w:t>
      </w:r>
      <w:r w:rsidRPr="00E00844">
        <w:t xml:space="preserve">pełniące role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7777777"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Pr="007C6824">
        <w:rPr>
          <w:rFonts w:asciiTheme="minorHAnsi" w:hAnsiTheme="minorHAnsi"/>
          <w:bCs/>
        </w:rPr>
        <w:t>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Pr>
          <w:rFonts w:asciiTheme="minorHAnsi" w:hAnsiTheme="minorHAnsi"/>
        </w:rPr>
        <w:br/>
      </w:r>
      <w:r w:rsidRPr="007C6824">
        <w:rPr>
          <w:rFonts w:asciiTheme="minorHAnsi" w:hAnsiTheme="minorHAnsi"/>
        </w:rPr>
        <w:t xml:space="preserve">a Gminą Wrocław pełniącą funkcję lidera ZIT </w:t>
      </w:r>
      <w:proofErr w:type="spellStart"/>
      <w:r w:rsidRPr="007C6824">
        <w:rPr>
          <w:rFonts w:asciiTheme="minorHAnsi" w:hAnsiTheme="minorHAnsi"/>
        </w:rPr>
        <w:t>WrOF</w:t>
      </w:r>
      <w:proofErr w:type="spellEnd"/>
      <w:r w:rsidRPr="007C6824">
        <w:rPr>
          <w:rFonts w:asciiTheme="minorHAnsi" w:hAnsiTheme="minorHAnsi"/>
        </w:rPr>
        <w:t xml:space="preserve"> oraz funkcję Instytucji Pośredniczącej, w ramach instrumentu Zintegrowane Inwestycje Terytorialne RPO WD.</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7" w:name="_Toc476727431"/>
      <w:r w:rsidRPr="00B27059">
        <w:lastRenderedPageBreak/>
        <w:t>Podstawy prawne oraz inne ważne dokumenty</w:t>
      </w:r>
      <w:bookmarkEnd w:id="7"/>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7777777"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kolejowego 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5050EA90" w14:textId="300F1531"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i końcowych na potrzeby ram wykonania oraz klasyfikacji kategorii interwencji w odniesieniu do europe</w:t>
      </w:r>
      <w:r w:rsidR="00F71AF1">
        <w:rPr>
          <w:rFonts w:ascii="Calibri" w:hAnsi="Calibri"/>
          <w:color w:val="000000"/>
        </w:rPr>
        <w:t xml:space="preserve">jskich funduszy strukturalnych </w:t>
      </w:r>
      <w:r w:rsidRPr="00896B87">
        <w:rPr>
          <w:rFonts w:ascii="Calibri" w:hAnsi="Calibri"/>
          <w:color w:val="000000"/>
        </w:rPr>
        <w:t xml:space="preserve">i inwestycyjnych; (Dz. Urz. UE L 69 z 08.03.2014, str. 65 ze zm.); </w:t>
      </w:r>
    </w:p>
    <w:p w14:paraId="4B436510" w14:textId="77777777" w:rsidR="00A92147" w:rsidRPr="00896B87" w:rsidRDefault="00A92147" w:rsidP="00A92147">
      <w:pPr>
        <w:pStyle w:val="Akapitzlist"/>
        <w:numPr>
          <w:ilvl w:val="0"/>
          <w:numId w:val="25"/>
        </w:numPr>
        <w:autoSpaceDE w:val="0"/>
        <w:autoSpaceDN w:val="0"/>
        <w:adjustRightInd w:val="0"/>
        <w:spacing w:before="60" w:after="60" w:line="240" w:lineRule="auto"/>
        <w:jc w:val="both"/>
        <w:rPr>
          <w:rFonts w:ascii="Calibri" w:hAnsi="Calibri"/>
          <w:color w:val="000000"/>
        </w:rPr>
      </w:pPr>
      <w:r w:rsidRPr="00A92147">
        <w:rPr>
          <w:rFonts w:ascii="Calibri" w:hAnsi="Calibri"/>
          <w:color w:val="000000"/>
        </w:rPr>
        <w:t>Komunikat Komisji – Wytyczne dotyczące pomocy państwa na ratowanie i restrukturyzację przedsiębiorstw niefinansowych znajdujących się w trudnej sytuacji (Dz. Urz. UE 2014 C 249/1)</w:t>
      </w:r>
      <w:r>
        <w:rPr>
          <w:rFonts w:ascii="Calibri" w:hAnsi="Calibri"/>
          <w:color w:val="000000"/>
        </w:rPr>
        <w:t>;</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 xml:space="preserve">z </w:t>
      </w:r>
      <w:proofErr w:type="spellStart"/>
      <w:r>
        <w:rPr>
          <w:rFonts w:ascii="Calibri" w:hAnsi="Calibri"/>
          <w:color w:val="000000"/>
        </w:rPr>
        <w:t>późn</w:t>
      </w:r>
      <w:proofErr w:type="spellEnd"/>
      <w:r>
        <w:rPr>
          <w:rFonts w:ascii="Calibri" w:hAnsi="Calibri"/>
          <w:color w:val="000000"/>
        </w:rPr>
        <w:t>. zm.</w:t>
      </w:r>
      <w:r w:rsidRPr="00896B87">
        <w:rPr>
          <w:rFonts w:ascii="Calibri" w:hAnsi="Calibri"/>
          <w:color w:val="000000"/>
        </w:rPr>
        <w:t>) [ustawa wdrożeniowa];</w:t>
      </w:r>
    </w:p>
    <w:p w14:paraId="66F82EAD" w14:textId="77777777" w:rsidR="009F423C" w:rsidRP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p>
    <w:p w14:paraId="5A23866D" w14:textId="77777777"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lastRenderedPageBreak/>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xml:space="preserve">, z </w:t>
      </w:r>
      <w:proofErr w:type="spellStart"/>
      <w:r w:rsidRPr="00494C98">
        <w:rPr>
          <w:rFonts w:ascii="Calibri" w:hAnsi="Calibri"/>
        </w:rPr>
        <w:t>późn</w:t>
      </w:r>
      <w:proofErr w:type="spellEnd"/>
      <w:r w:rsidRPr="00494C98">
        <w:rPr>
          <w:rFonts w:ascii="Calibri" w:hAnsi="Calibri"/>
        </w:rPr>
        <w:t>.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w:t>
      </w:r>
      <w:proofErr w:type="spellStart"/>
      <w:r w:rsidR="00AF71FB" w:rsidRPr="00494C98">
        <w:rPr>
          <w:rFonts w:ascii="Calibri" w:hAnsi="Calibri"/>
        </w:rPr>
        <w:t>późn</w:t>
      </w:r>
      <w:proofErr w:type="spellEnd"/>
      <w:r w:rsidR="00AF71FB" w:rsidRPr="00494C98">
        <w:rPr>
          <w:rFonts w:ascii="Calibri" w:hAnsi="Calibri"/>
        </w:rPr>
        <w:t>.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0418E567"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 xml:space="preserve">Dz.U. z 2016 r. poz. 353, z </w:t>
      </w:r>
      <w:proofErr w:type="spellStart"/>
      <w:r w:rsidRPr="00AA0271">
        <w:rPr>
          <w:rFonts w:asciiTheme="minorHAnsi" w:hAnsiTheme="minorHAnsi"/>
          <w:bCs/>
        </w:rPr>
        <w:t>późn</w:t>
      </w:r>
      <w:proofErr w:type="spellEnd"/>
      <w:r w:rsidRPr="00AA0271">
        <w:rPr>
          <w:rFonts w:asciiTheme="minorHAnsi" w:hAnsiTheme="minorHAnsi"/>
          <w:bCs/>
        </w:rPr>
        <w:t>.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584987D8" w14:textId="77777777"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8 marca 1990 r. o samorządzie gminnym (tekst jedn.: Dz. U. z 2016 r., poz. 446, z </w:t>
      </w:r>
      <w:proofErr w:type="spellStart"/>
      <w:r w:rsidRPr="0097227A">
        <w:rPr>
          <w:rFonts w:ascii="Calibri" w:hAnsi="Calibri"/>
        </w:rPr>
        <w:t>późn</w:t>
      </w:r>
      <w:proofErr w:type="spellEnd"/>
      <w:r w:rsidRPr="0097227A">
        <w:rPr>
          <w:rFonts w:ascii="Calibri" w:hAnsi="Calibri"/>
        </w:rPr>
        <w:t>.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 xml:space="preserve">z </w:t>
      </w:r>
      <w:proofErr w:type="spellStart"/>
      <w:r w:rsidRPr="0097227A">
        <w:rPr>
          <w:rFonts w:ascii="Calibri" w:hAnsi="Calibri"/>
        </w:rPr>
        <w:t>późn</w:t>
      </w:r>
      <w:proofErr w:type="spellEnd"/>
      <w:r w:rsidRPr="0097227A">
        <w:rPr>
          <w:rFonts w:ascii="Calibri" w:hAnsi="Calibri"/>
        </w:rPr>
        <w:t>.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 xml:space="preserve">z </w:t>
      </w:r>
      <w:proofErr w:type="spellStart"/>
      <w:r w:rsidR="0097227A" w:rsidRPr="006107FA">
        <w:rPr>
          <w:rFonts w:ascii="Calibri" w:hAnsi="Calibri"/>
        </w:rPr>
        <w:t>późn</w:t>
      </w:r>
      <w:proofErr w:type="spellEnd"/>
      <w:r w:rsidR="0097227A" w:rsidRPr="006107FA">
        <w:rPr>
          <w:rFonts w:ascii="Calibri" w:hAnsi="Calibri"/>
        </w:rPr>
        <w:t>.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 xml:space="preserve">z </w:t>
      </w:r>
      <w:proofErr w:type="spellStart"/>
      <w:r w:rsidR="008A7147" w:rsidRPr="008A7147">
        <w:rPr>
          <w:rFonts w:ascii="Calibri" w:hAnsi="Calibri"/>
        </w:rPr>
        <w:t>późn</w:t>
      </w:r>
      <w:proofErr w:type="spellEnd"/>
      <w:r w:rsidR="008A7147" w:rsidRPr="008A7147">
        <w:rPr>
          <w:rFonts w:ascii="Calibri" w:hAnsi="Calibri"/>
        </w:rPr>
        <w:t>.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14:paraId="234F256E" w14:textId="1F2EB3A9"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14:paraId="5DAF0FAB" w14:textId="33F3D9C2" w:rsidR="0032187B" w:rsidRPr="00B91D6A" w:rsidRDefault="0032187B" w:rsidP="00F71AF1">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8" w:name="_Hlk482699146"/>
      <w:bookmarkStart w:id="9" w:name="_GoBack"/>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8"/>
    <w:bookmarkEnd w:id="9"/>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14:paraId="03968892" w14:textId="301103D9" w:rsidR="003C424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w:t>
      </w:r>
      <w:r w:rsidR="00A3414C">
        <w:rPr>
          <w:rFonts w:asciiTheme="minorHAnsi" w:hAnsiTheme="minorHAnsi"/>
          <w:color w:val="000000"/>
        </w:rPr>
        <w:t xml:space="preserve">– wersja 21 </w:t>
      </w:r>
      <w:r w:rsidRPr="00C13975">
        <w:rPr>
          <w:rFonts w:asciiTheme="minorHAnsi" w:hAnsiTheme="minorHAnsi"/>
          <w:color w:val="000000"/>
        </w:rPr>
        <w:t xml:space="preserve">z dnia </w:t>
      </w:r>
      <w:r w:rsidR="00094600" w:rsidRPr="009E294C">
        <w:rPr>
          <w:rFonts w:asciiTheme="minorHAnsi" w:hAnsiTheme="minorHAnsi"/>
        </w:rPr>
        <w:t>5</w:t>
      </w:r>
      <w:r w:rsidR="001A0CC1" w:rsidRPr="009E294C">
        <w:rPr>
          <w:rFonts w:asciiTheme="minorHAnsi" w:hAnsiTheme="minorHAnsi"/>
        </w:rPr>
        <w:t xml:space="preserve"> </w:t>
      </w:r>
      <w:r w:rsidR="00883B46" w:rsidRPr="009E294C">
        <w:rPr>
          <w:rFonts w:asciiTheme="minorHAnsi" w:hAnsiTheme="minorHAnsi"/>
        </w:rPr>
        <w:t>ma</w:t>
      </w:r>
      <w:r w:rsidR="00413A28" w:rsidRPr="009E294C">
        <w:rPr>
          <w:rFonts w:asciiTheme="minorHAnsi" w:hAnsiTheme="minorHAnsi"/>
        </w:rPr>
        <w:t>j</w:t>
      </w:r>
      <w:r w:rsidR="00883B46" w:rsidRPr="009E294C">
        <w:rPr>
          <w:rFonts w:asciiTheme="minorHAnsi" w:hAnsiTheme="minorHAnsi"/>
        </w:rPr>
        <w:t xml:space="preserve">a </w:t>
      </w:r>
      <w:r w:rsidRPr="009E294C">
        <w:rPr>
          <w:rFonts w:asciiTheme="minorHAnsi" w:hAnsiTheme="minorHAnsi"/>
        </w:rPr>
        <w:t>201</w:t>
      </w:r>
      <w:r w:rsidR="00A2484B" w:rsidRPr="009E294C">
        <w:rPr>
          <w:rFonts w:asciiTheme="minorHAnsi" w:hAnsiTheme="minorHAnsi"/>
        </w:rPr>
        <w:t>7</w:t>
      </w:r>
      <w:r w:rsidRPr="009E294C">
        <w:rPr>
          <w:rFonts w:asciiTheme="minorHAnsi" w:hAnsiTheme="minorHAnsi"/>
        </w:rPr>
        <w:t xml:space="preserve"> r.</w:t>
      </w:r>
    </w:p>
    <w:p w14:paraId="4101F47F" w14:textId="77777777"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14:paraId="3ADF0237" w14:textId="7777777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CD2A4FB" w14:textId="77777777" w:rsidR="005425BB" w:rsidRPr="00077296" w:rsidRDefault="00297A32"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3"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68102C83" w14:textId="77777777" w:rsidR="00295647" w:rsidRPr="005425BB" w:rsidRDefault="00295647"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5425BB">
        <w:t xml:space="preserve">Strategia ZIT </w:t>
      </w:r>
      <w:proofErr w:type="spellStart"/>
      <w:r w:rsidRPr="005425BB">
        <w:t>WrOF</w:t>
      </w:r>
      <w:proofErr w:type="spellEnd"/>
      <w:r w:rsidRPr="005425BB">
        <w:t>;</w:t>
      </w:r>
    </w:p>
    <w:p w14:paraId="47034774" w14:textId="77777777" w:rsidR="003C4247" w:rsidRPr="00A2484B" w:rsidRDefault="003C4247" w:rsidP="00650AF5">
      <w:pPr>
        <w:pStyle w:val="Nagwek1"/>
      </w:pPr>
      <w:bookmarkStart w:id="10" w:name="_Toc476727432"/>
      <w:r w:rsidRPr="00A2484B">
        <w:t>Przedmiot konkursu, w tym typy projektów podlegających dofinansowaniu</w:t>
      </w:r>
      <w:bookmarkEnd w:id="10"/>
    </w:p>
    <w:p w14:paraId="63D90122" w14:textId="77777777"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Przedmiotem konkursu są następujące typ</w:t>
      </w:r>
      <w:r w:rsidR="00E75E69">
        <w:rPr>
          <w:rFonts w:asciiTheme="minorHAnsi" w:hAnsiTheme="minorHAnsi" w:cs="Calibri"/>
          <w:color w:val="000000"/>
          <w:sz w:val="22"/>
          <w:szCs w:val="22"/>
        </w:rPr>
        <w:t>y</w:t>
      </w:r>
      <w:r w:rsidRPr="000B6646">
        <w:rPr>
          <w:rFonts w:asciiTheme="minorHAnsi" w:hAnsiTheme="minorHAnsi" w:cs="Calibri"/>
          <w:color w:val="000000"/>
          <w:sz w:val="22"/>
          <w:szCs w:val="22"/>
        </w:rPr>
        <w:t xml:space="preserve"> projektów określ</w:t>
      </w:r>
      <w:r>
        <w:rPr>
          <w:rFonts w:asciiTheme="minorHAnsi" w:hAnsiTheme="minorHAnsi" w:cs="Calibri"/>
          <w:color w:val="000000"/>
          <w:sz w:val="22"/>
          <w:szCs w:val="22"/>
        </w:rPr>
        <w:t xml:space="preserve">one dla działania 3.4 Wdrażanie </w:t>
      </w:r>
      <w:r w:rsidRPr="000B6646">
        <w:rPr>
          <w:rFonts w:asciiTheme="minorHAnsi" w:hAnsiTheme="minorHAnsi" w:cs="Calibri"/>
          <w:color w:val="000000"/>
          <w:sz w:val="22"/>
          <w:szCs w:val="22"/>
        </w:rPr>
        <w:t>strategii niskoemisyjnych w osi priorytetowej 3 Gospodarka niskoemisyjna, tj.:</w:t>
      </w:r>
    </w:p>
    <w:p w14:paraId="170D66F2" w14:textId="79738DE9" w:rsidR="000B6646" w:rsidRDefault="000B6646" w:rsidP="009A428C">
      <w:pPr>
        <w:pStyle w:val="CM1"/>
        <w:jc w:val="both"/>
        <w:rPr>
          <w:rFonts w:asciiTheme="minorHAnsi" w:hAnsiTheme="minorHAnsi" w:cs="Calibri"/>
          <w:b/>
          <w:color w:val="000000"/>
          <w:sz w:val="22"/>
          <w:szCs w:val="22"/>
        </w:rPr>
      </w:pPr>
      <w:r w:rsidRPr="00C255F2">
        <w:rPr>
          <w:rFonts w:asciiTheme="minorHAnsi" w:hAnsiTheme="minorHAnsi" w:cs="Calibri"/>
          <w:b/>
          <w:color w:val="000000"/>
          <w:sz w:val="22"/>
          <w:szCs w:val="22"/>
        </w:rPr>
        <w:t>3.4 A a) Zakup i/lub modernizacja niskoemisyjnego taboru szynowego i autobusowego dla połączeń miejskich i podmiejskich.</w:t>
      </w:r>
    </w:p>
    <w:p w14:paraId="61180E31" w14:textId="18C1244B" w:rsidR="00914E0E" w:rsidRDefault="00914E0E" w:rsidP="00914E0E">
      <w:pPr>
        <w:pStyle w:val="Default"/>
        <w:rPr>
          <w:sz w:val="22"/>
          <w:szCs w:val="22"/>
        </w:rPr>
      </w:pPr>
      <w:r>
        <w:rPr>
          <w:sz w:val="22"/>
          <w:szCs w:val="22"/>
        </w:rPr>
        <w:t xml:space="preserve">Konkurs dotyczy poddziałania 3.4.2 Wdrażanie strategii niskoemisyjnych – ZIT </w:t>
      </w:r>
      <w:proofErr w:type="spellStart"/>
      <w:r>
        <w:rPr>
          <w:sz w:val="22"/>
          <w:szCs w:val="22"/>
        </w:rPr>
        <w:t>WrOF</w:t>
      </w:r>
      <w:proofErr w:type="spellEnd"/>
      <w:r>
        <w:rPr>
          <w:sz w:val="22"/>
          <w:szCs w:val="22"/>
        </w:rPr>
        <w:t>.</w:t>
      </w:r>
    </w:p>
    <w:p w14:paraId="449A2085" w14:textId="77777777" w:rsidR="00914E0E" w:rsidRPr="00914E0E" w:rsidRDefault="00914E0E" w:rsidP="00914E0E">
      <w:pPr>
        <w:pStyle w:val="Default"/>
        <w:rPr>
          <w:sz w:val="22"/>
          <w:szCs w:val="22"/>
        </w:rPr>
      </w:pPr>
    </w:p>
    <w:p w14:paraId="78331379" w14:textId="77777777" w:rsidR="000B6646" w:rsidRPr="000B6646" w:rsidRDefault="000B6646" w:rsidP="000B6646">
      <w:pPr>
        <w:pStyle w:val="CM1"/>
        <w:ind w:left="284" w:hanging="284"/>
        <w:jc w:val="both"/>
        <w:rPr>
          <w:rFonts w:asciiTheme="minorHAnsi" w:hAnsiTheme="minorHAnsi" w:cs="Calibri"/>
          <w:color w:val="000000"/>
          <w:sz w:val="22"/>
          <w:szCs w:val="22"/>
        </w:rPr>
      </w:pPr>
      <w:r w:rsidRPr="000B6646">
        <w:rPr>
          <w:rFonts w:asciiTheme="minorHAnsi" w:hAnsiTheme="minorHAnsi" w:cs="Calibri"/>
          <w:color w:val="000000"/>
          <w:sz w:val="22"/>
          <w:szCs w:val="22"/>
        </w:rPr>
        <w:t>Każdy projekt powinien spełniać łącznie następujące cele:</w:t>
      </w:r>
    </w:p>
    <w:p w14:paraId="5A7F06AF" w14:textId="77777777"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szersze wykorzystanie bardziej efektywnego transportu publi</w:t>
      </w:r>
      <w:r w:rsidR="009A428C">
        <w:rPr>
          <w:rFonts w:asciiTheme="minorHAnsi" w:hAnsiTheme="minorHAnsi" w:cs="Calibri"/>
          <w:color w:val="000000"/>
          <w:sz w:val="22"/>
          <w:szCs w:val="22"/>
        </w:rPr>
        <w:t xml:space="preserve">cznego i/lub niezmotoryzowanego </w:t>
      </w:r>
      <w:r w:rsidRPr="000B6646">
        <w:rPr>
          <w:rFonts w:asciiTheme="minorHAnsi" w:hAnsiTheme="minorHAnsi" w:cs="Calibri"/>
          <w:color w:val="000000"/>
          <w:sz w:val="22"/>
          <w:szCs w:val="22"/>
        </w:rPr>
        <w:t>indywidualnego;</w:t>
      </w:r>
    </w:p>
    <w:p w14:paraId="56305FFC" w14:textId="77777777"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zmniejszenie wykorzystania samochodów osobowych;</w:t>
      </w:r>
    </w:p>
    <w:p w14:paraId="18DF1C6B" w14:textId="3E61EEDA" w:rsidR="000B6646" w:rsidRPr="000B6646" w:rsidRDefault="00A9169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lepsz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integracj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gałęzi transportu;</w:t>
      </w:r>
    </w:p>
    <w:p w14:paraId="4251EE7E" w14:textId="76411089" w:rsidR="000B6646" w:rsidRP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niższ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emisj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zanieczyszczeń powietrza, hałasu oraz niższe zatłoczenie;</w:t>
      </w:r>
    </w:p>
    <w:p w14:paraId="5C372566" w14:textId="69D40B00" w:rsidR="000B6646" w:rsidRP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popraw</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bezpieczeństwa ruchu drogowego.</w:t>
      </w:r>
    </w:p>
    <w:p w14:paraId="4AA29AC9" w14:textId="77777777" w:rsidR="000B6646" w:rsidRPr="000B6646" w:rsidRDefault="000B6646" w:rsidP="000468CC">
      <w:pPr>
        <w:pStyle w:val="CM1"/>
        <w:spacing w:before="240"/>
        <w:jc w:val="both"/>
        <w:rPr>
          <w:rFonts w:asciiTheme="minorHAnsi" w:hAnsiTheme="minorHAnsi" w:cs="Calibri"/>
          <w:color w:val="000000"/>
          <w:sz w:val="22"/>
          <w:szCs w:val="22"/>
        </w:rPr>
      </w:pPr>
      <w:r w:rsidRPr="000B6646">
        <w:rPr>
          <w:rFonts w:asciiTheme="minorHAnsi" w:hAnsiTheme="minorHAnsi" w:cs="Calibri"/>
          <w:color w:val="000000"/>
          <w:sz w:val="22"/>
          <w:szCs w:val="22"/>
        </w:rPr>
        <w:t>W przypadku zakupu autobusów elektrycznych do 25% wartości wydatków kwalifikowalnych mogą stanowić wydatki związane z infrastrukturą do obsługi taboru (np. stacje ładowania itp.).</w:t>
      </w:r>
    </w:p>
    <w:p w14:paraId="5B18FDF7" w14:textId="7A6D3F1D" w:rsid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Nabór kierowany jest na projekty związane z zakupem taboru. Oprócz ww. infrastruktury dot. autobusów elektrycznych, </w:t>
      </w:r>
      <w:r w:rsidRPr="009A428C">
        <w:rPr>
          <w:rFonts w:asciiTheme="minorHAnsi" w:hAnsiTheme="minorHAnsi" w:cs="Calibri"/>
          <w:b/>
          <w:color w:val="000000"/>
          <w:sz w:val="22"/>
          <w:szCs w:val="22"/>
          <w:u w:val="single"/>
        </w:rPr>
        <w:t>nie dopuszcza się żadnych elementów uzupełniających</w:t>
      </w:r>
      <w:r w:rsidRPr="000B6646">
        <w:rPr>
          <w:rFonts w:asciiTheme="minorHAnsi" w:hAnsiTheme="minorHAnsi" w:cs="Calibri"/>
          <w:color w:val="000000"/>
          <w:sz w:val="22"/>
          <w:szCs w:val="22"/>
        </w:rPr>
        <w:t xml:space="preserve"> (związanych </w:t>
      </w:r>
      <w:r w:rsidR="009A428C">
        <w:rPr>
          <w:rFonts w:asciiTheme="minorHAnsi" w:hAnsiTheme="minorHAnsi" w:cs="Calibri"/>
          <w:color w:val="000000"/>
          <w:sz w:val="22"/>
          <w:szCs w:val="22"/>
        </w:rPr>
        <w:br/>
      </w:r>
      <w:r w:rsidRPr="000B6646">
        <w:rPr>
          <w:rFonts w:asciiTheme="minorHAnsi" w:hAnsiTheme="minorHAnsi" w:cs="Calibri"/>
          <w:color w:val="000000"/>
          <w:sz w:val="22"/>
          <w:szCs w:val="22"/>
        </w:rPr>
        <w:t>z pozostałymi typami projektów, oświetleniem ulicznym czy infrastrukturą drogową).</w:t>
      </w:r>
    </w:p>
    <w:p w14:paraId="4C1B3E49" w14:textId="1FBD7833" w:rsidR="00EF50DE" w:rsidRPr="00EF50DE" w:rsidRDefault="00EF50DE" w:rsidP="000468CC">
      <w:pPr>
        <w:pStyle w:val="Default"/>
        <w:spacing w:before="240"/>
        <w:jc w:val="both"/>
        <w:rPr>
          <w:sz w:val="22"/>
          <w:szCs w:val="22"/>
        </w:rPr>
      </w:pPr>
      <w:r w:rsidRPr="00EF50DE">
        <w:rPr>
          <w:sz w:val="22"/>
          <w:szCs w:val="22"/>
        </w:rPr>
        <w:t xml:space="preserve">W przypadku zakupu </w:t>
      </w:r>
      <w:r>
        <w:rPr>
          <w:sz w:val="22"/>
          <w:szCs w:val="22"/>
        </w:rPr>
        <w:t>autobusów z napędem spalinowym dopuszcza się wyłącznie</w:t>
      </w:r>
      <w:r w:rsidR="005E6D3B">
        <w:rPr>
          <w:sz w:val="22"/>
          <w:szCs w:val="22"/>
        </w:rPr>
        <w:t xml:space="preserve"> zakup autobusów </w:t>
      </w:r>
      <w:r>
        <w:rPr>
          <w:sz w:val="22"/>
          <w:szCs w:val="22"/>
        </w:rPr>
        <w:t xml:space="preserve"> </w:t>
      </w:r>
      <w:r w:rsidR="005E6D3B" w:rsidRPr="005E6D3B">
        <w:rPr>
          <w:sz w:val="22"/>
          <w:szCs w:val="22"/>
        </w:rPr>
        <w:t xml:space="preserve">spełniających </w:t>
      </w:r>
      <w:r w:rsidR="00966246" w:rsidRPr="000468CC">
        <w:rPr>
          <w:b/>
          <w:sz w:val="22"/>
          <w:szCs w:val="22"/>
        </w:rPr>
        <w:t xml:space="preserve">co najmniej </w:t>
      </w:r>
      <w:r w:rsidR="005E6D3B" w:rsidRPr="000468CC">
        <w:rPr>
          <w:b/>
          <w:sz w:val="22"/>
          <w:szCs w:val="22"/>
        </w:rPr>
        <w:t>normę emisji spalin EURO VI.</w:t>
      </w:r>
    </w:p>
    <w:p w14:paraId="2010D9BB" w14:textId="3DBCAC78" w:rsidR="000B6646" w:rsidRPr="000B6646" w:rsidRDefault="000B6646" w:rsidP="00F71AF1">
      <w:pPr>
        <w:pStyle w:val="CM1"/>
        <w:spacing w:before="240"/>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Inwestycje w transport miejski w ramach działania będą przyczyniać się do osiągnięcia niskoemisyjnej i zrównoważonej mobilności w miastach. </w:t>
      </w:r>
      <w:r w:rsidRPr="005D6D57">
        <w:rPr>
          <w:rFonts w:asciiTheme="minorHAnsi" w:hAnsiTheme="minorHAnsi" w:cs="Calibri"/>
          <w:color w:val="000000"/>
          <w:sz w:val="22"/>
          <w:szCs w:val="22"/>
          <w:u w:val="single"/>
        </w:rPr>
        <w:t xml:space="preserve">Muszą one wynikać z przygotowanych przez samorządy planów, zawierających odniesienia do kwestii przechodzenia na bardziej ekologiczne i zrównoważone </w:t>
      </w:r>
      <w:r w:rsidRPr="005D6D57">
        <w:rPr>
          <w:rFonts w:asciiTheme="minorHAnsi" w:hAnsiTheme="minorHAnsi" w:cs="Calibri"/>
          <w:color w:val="000000"/>
          <w:sz w:val="22"/>
          <w:szCs w:val="22"/>
          <w:u w:val="single"/>
        </w:rPr>
        <w:lastRenderedPageBreak/>
        <w:t>systemy transportowe w miastach</w:t>
      </w:r>
      <w:r w:rsidRPr="000B6646">
        <w:rPr>
          <w:rFonts w:asciiTheme="minorHAnsi" w:hAnsiTheme="minorHAnsi" w:cs="Calibri"/>
          <w:color w:val="000000"/>
          <w:sz w:val="22"/>
          <w:szCs w:val="22"/>
        </w:rPr>
        <w:t xml:space="preserve">.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 xml:space="preserve">w miastach, wdrażanie nowych wzorców użytkowania czy promocja ekologicznie czystych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i energooszczędnych pojazdów (czyste paliwa i pojazdy).</w:t>
      </w:r>
    </w:p>
    <w:p w14:paraId="0372B40A" w14:textId="77777777" w:rsidR="00A103C2" w:rsidRPr="00E60779" w:rsidRDefault="00A103C2" w:rsidP="00F71AF1">
      <w:pPr>
        <w:snapToGrid w:val="0"/>
        <w:spacing w:before="240" w:line="240" w:lineRule="auto"/>
        <w:jc w:val="both"/>
        <w:rPr>
          <w:rFonts w:cs="Arial"/>
        </w:rPr>
      </w:pPr>
      <w:r w:rsidRPr="00E60779">
        <w:rPr>
          <w:rFonts w:cs="Arial"/>
        </w:rPr>
        <w:t>Plan Gospodarki Niskoemisyjnej powinien zostać przyjęty do realizacji uchwałą gminy, właściwej dla miejsca realizacji projektu. Jeśli projekt realizowany jest na obszarze kilku gmin, powinien być ujęty w planach właściwych gmin.</w:t>
      </w:r>
    </w:p>
    <w:p w14:paraId="3BAA943D" w14:textId="37C3A3F9" w:rsidR="00A103C2" w:rsidRPr="00E60779" w:rsidRDefault="00A103C2" w:rsidP="00F71AF1">
      <w:pPr>
        <w:snapToGrid w:val="0"/>
        <w:spacing w:line="240" w:lineRule="auto"/>
        <w:jc w:val="both"/>
        <w:rPr>
          <w:rFonts w:cs="Arial"/>
        </w:rPr>
      </w:pPr>
      <w:r w:rsidRPr="00E60779">
        <w:rPr>
          <w:rFonts w:cs="Arial"/>
        </w:rPr>
        <w:t>Ocena dokonywana jest na podstawie zaświadczenia/ oświadczenia* wydanego przez właściwy urząd gminy. Zaświadczenie</w:t>
      </w:r>
      <w:r w:rsidR="00CC53DD">
        <w:rPr>
          <w:rFonts w:cs="Arial"/>
        </w:rPr>
        <w:t xml:space="preserve"> (poświadczenie, potwierdzenie)</w:t>
      </w:r>
      <w:r w:rsidRPr="00E60779">
        <w:rPr>
          <w:rFonts w:cs="Arial"/>
        </w:rPr>
        <w:t xml:space="preserve"> obligatoryjnie zawiera: </w:t>
      </w:r>
    </w:p>
    <w:p w14:paraId="1A05C8E5"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informację  o tym że projekt wynika z Planu Gospodarki Niskoemisyjnej, przyjętego do realizacji uchwałą rady gminy;</w:t>
      </w:r>
    </w:p>
    <w:p w14:paraId="6AF8BFC6"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krótkie uzasadnienie merytoryczne;</w:t>
      </w:r>
    </w:p>
    <w:p w14:paraId="63E1ECD0"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 xml:space="preserve">numer uchwały przyjmującej PGN do realizacji. </w:t>
      </w:r>
    </w:p>
    <w:p w14:paraId="6D46D854" w14:textId="5F3A30D3" w:rsidR="00A103C2" w:rsidRPr="00E60779" w:rsidRDefault="00CC53DD" w:rsidP="00F71AF1">
      <w:pPr>
        <w:snapToGrid w:val="0"/>
        <w:spacing w:line="240" w:lineRule="auto"/>
        <w:jc w:val="both"/>
        <w:rPr>
          <w:rFonts w:cs="Arial"/>
        </w:rPr>
      </w:pPr>
      <w:r>
        <w:rPr>
          <w:rFonts w:cs="Arial"/>
        </w:rPr>
        <w:t>Jeżeli zaświadczenie wydane jest na podstawie Kodeksu Postępowania Administracyjnego (</w:t>
      </w:r>
      <w:r w:rsidRPr="00CC53DD">
        <w:rPr>
          <w:rFonts w:cs="Arial"/>
        </w:rPr>
        <w:t>Dział VII</w:t>
      </w:r>
      <w:r>
        <w:rPr>
          <w:rFonts w:cs="Arial"/>
        </w:rPr>
        <w:t xml:space="preserve"> </w:t>
      </w:r>
      <w:r w:rsidRPr="00CC53DD">
        <w:rPr>
          <w:rFonts w:cs="Arial"/>
        </w:rPr>
        <w:t>Wydawanie zaświadczeń</w:t>
      </w:r>
      <w:r>
        <w:rPr>
          <w:rFonts w:cs="Arial"/>
        </w:rPr>
        <w:t>) powyższe elementy nie są wymagane.</w:t>
      </w:r>
    </w:p>
    <w:p w14:paraId="51E5F684" w14:textId="77777777" w:rsidR="00A103C2" w:rsidRPr="00E60779" w:rsidRDefault="00A103C2" w:rsidP="00F71AF1">
      <w:pPr>
        <w:snapToGrid w:val="0"/>
        <w:spacing w:line="240" w:lineRule="auto"/>
        <w:jc w:val="both"/>
      </w:pPr>
      <w:r w:rsidRPr="00E60779">
        <w:rPr>
          <w:rFonts w:cs="Arial"/>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17D959A" w14:textId="6CC458A8" w:rsidR="005D6D57" w:rsidRPr="007A2335" w:rsidRDefault="00A103C2" w:rsidP="00F71AF1">
      <w:pPr>
        <w:pStyle w:val="CM1"/>
        <w:ind w:left="284" w:hanging="284"/>
        <w:jc w:val="both"/>
        <w:rPr>
          <w:rFonts w:asciiTheme="minorHAnsi" w:hAnsiTheme="minorHAnsi" w:cs="Calibri"/>
          <w:color w:val="000000"/>
          <w:sz w:val="22"/>
          <w:szCs w:val="22"/>
        </w:rPr>
      </w:pPr>
      <w:r w:rsidRPr="007A2335">
        <w:rPr>
          <w:rFonts w:asciiTheme="minorHAnsi" w:hAnsiTheme="minorHAnsi" w:cs="Arial"/>
          <w:sz w:val="22"/>
          <w:szCs w:val="22"/>
        </w:rPr>
        <w:t>* oświadczenie – dopuszczalne tylko w przypadku projektów własnych gminy.</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4B2270EC" w:rsidR="004C6DDD" w:rsidRDefault="000B6646" w:rsidP="005D6D57">
      <w:pPr>
        <w:pStyle w:val="CM1"/>
        <w:jc w:val="both"/>
        <w:rPr>
          <w:rFonts w:asciiTheme="minorHAnsi" w:hAnsiTheme="minorHAnsi" w:cs="Calibri"/>
          <w:b/>
          <w:color w:val="000000"/>
          <w:sz w:val="22"/>
          <w:szCs w:val="22"/>
        </w:rPr>
      </w:pPr>
      <w:r w:rsidRPr="005D6D57">
        <w:rPr>
          <w:rFonts w:asciiTheme="minorHAnsi" w:hAnsiTheme="minorHAnsi" w:cs="Calibri"/>
          <w:b/>
          <w:color w:val="000000"/>
          <w:sz w:val="22"/>
          <w:szCs w:val="22"/>
        </w:rPr>
        <w:t>043 Infrastruktura na potrzeby czystego transportu miejskiego i jego promocja (w tym wyposażenie i tabor</w:t>
      </w:r>
      <w:r w:rsidR="00402B0D">
        <w:rPr>
          <w:rFonts w:asciiTheme="minorHAnsi" w:hAnsiTheme="minorHAnsi" w:cs="Calibri"/>
          <w:b/>
          <w:color w:val="000000"/>
          <w:sz w:val="22"/>
          <w:szCs w:val="22"/>
        </w:rPr>
        <w:t>)</w:t>
      </w:r>
      <w:r w:rsidR="005E6D3B">
        <w:rPr>
          <w:rFonts w:asciiTheme="minorHAnsi" w:hAnsiTheme="minorHAnsi" w:cs="Calibri"/>
          <w:b/>
          <w:color w:val="000000"/>
          <w:sz w:val="22"/>
          <w:szCs w:val="22"/>
        </w:rPr>
        <w:t>.</w:t>
      </w:r>
    </w:p>
    <w:p w14:paraId="0352DCCA" w14:textId="52EE1BD8" w:rsidR="005E6D3B" w:rsidRPr="005E6D3B" w:rsidRDefault="005E6D3B" w:rsidP="005E6D3B">
      <w:pPr>
        <w:pStyle w:val="Default"/>
        <w:rPr>
          <w:sz w:val="22"/>
          <w:szCs w:val="22"/>
        </w:rPr>
      </w:pPr>
      <w:r w:rsidRPr="005E6D3B">
        <w:rPr>
          <w:sz w:val="22"/>
          <w:szCs w:val="22"/>
        </w:rPr>
        <w:t>Nie przewiduje się kategorii uzupełniających.</w:t>
      </w:r>
    </w:p>
    <w:p w14:paraId="3E0C1F1E" w14:textId="77777777" w:rsidR="003C4247" w:rsidRPr="00A2484B" w:rsidRDefault="003C4247" w:rsidP="00650AF5">
      <w:pPr>
        <w:pStyle w:val="Nagwek1"/>
      </w:pPr>
      <w:bookmarkStart w:id="11" w:name="_Toc476727433"/>
      <w:r w:rsidRPr="00A2484B">
        <w:t xml:space="preserve">Typy </w:t>
      </w:r>
      <w:r w:rsidR="00493A21">
        <w:t>wnioskodawców/</w:t>
      </w:r>
      <w:r w:rsidRPr="00A2484B">
        <w:t>beneficjentów</w:t>
      </w:r>
      <w:bookmarkEnd w:id="11"/>
    </w:p>
    <w:p w14:paraId="721294D7" w14:textId="23C909D6" w:rsidR="003C4247" w:rsidRDefault="003C4247" w:rsidP="00FC6920">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0062186B">
        <w:rPr>
          <w:rFonts w:cs="Calibri"/>
          <w:color w:val="000000"/>
        </w:rPr>
        <w:t xml:space="preserve">, realizujące projekt na obszarze ZIT </w:t>
      </w:r>
      <w:proofErr w:type="spellStart"/>
      <w:r w:rsidR="0062186B">
        <w:rPr>
          <w:rFonts w:cs="Calibri"/>
          <w:color w:val="000000"/>
        </w:rPr>
        <w:t>WrOF</w:t>
      </w:r>
      <w:proofErr w:type="spellEnd"/>
      <w:r w:rsidRPr="00151119">
        <w:rPr>
          <w:rFonts w:cs="Calibri"/>
          <w:color w:val="000000"/>
        </w:rPr>
        <w:t xml:space="preserve">: </w:t>
      </w:r>
    </w:p>
    <w:p w14:paraId="4DE4FF3B" w14:textId="77777777" w:rsidR="0062186B" w:rsidRPr="0062186B" w:rsidRDefault="0062186B" w:rsidP="0062186B">
      <w:pPr>
        <w:autoSpaceDE w:val="0"/>
        <w:autoSpaceDN w:val="0"/>
        <w:adjustRightInd w:val="0"/>
        <w:spacing w:after="0" w:line="240" w:lineRule="auto"/>
        <w:rPr>
          <w:rFonts w:cs="Calibri"/>
          <w:color w:val="000000"/>
        </w:rPr>
      </w:pPr>
      <w:r w:rsidRPr="0062186B">
        <w:rPr>
          <w:rFonts w:cs="Calibri"/>
          <w:color w:val="000000"/>
        </w:rPr>
        <w:t>•</w:t>
      </w:r>
      <w:r w:rsidRPr="0062186B">
        <w:rPr>
          <w:rFonts w:cs="Calibri"/>
          <w:color w:val="000000"/>
        </w:rPr>
        <w:tab/>
        <w:t xml:space="preserve">jednostki samorządu terytorialnego, ich związki i stowarzyszenia; </w:t>
      </w:r>
    </w:p>
    <w:p w14:paraId="65204F7A" w14:textId="77777777" w:rsidR="0062186B" w:rsidRPr="0062186B" w:rsidRDefault="0062186B" w:rsidP="0062186B">
      <w:pPr>
        <w:autoSpaceDE w:val="0"/>
        <w:autoSpaceDN w:val="0"/>
        <w:adjustRightInd w:val="0"/>
        <w:spacing w:after="0" w:line="240" w:lineRule="auto"/>
        <w:rPr>
          <w:rFonts w:cs="Calibri"/>
          <w:color w:val="000000"/>
        </w:rPr>
      </w:pPr>
      <w:r w:rsidRPr="0062186B">
        <w:rPr>
          <w:rFonts w:cs="Calibri"/>
          <w:color w:val="000000"/>
        </w:rPr>
        <w:t>•</w:t>
      </w:r>
      <w:r w:rsidRPr="0062186B">
        <w:rPr>
          <w:rFonts w:cs="Calibri"/>
          <w:color w:val="000000"/>
        </w:rPr>
        <w:tab/>
        <w:t xml:space="preserve">jednostki organizacyjne </w:t>
      </w:r>
      <w:proofErr w:type="spellStart"/>
      <w:r w:rsidRPr="0062186B">
        <w:rPr>
          <w:rFonts w:cs="Calibri"/>
          <w:color w:val="000000"/>
        </w:rPr>
        <w:t>jst</w:t>
      </w:r>
      <w:proofErr w:type="spellEnd"/>
      <w:r w:rsidRPr="0062186B">
        <w:rPr>
          <w:rFonts w:cs="Calibri"/>
          <w:color w:val="000000"/>
        </w:rPr>
        <w:t xml:space="preserve">; </w:t>
      </w:r>
    </w:p>
    <w:p w14:paraId="2395DB61" w14:textId="77777777" w:rsidR="0062186B" w:rsidRPr="0062186B" w:rsidRDefault="0062186B" w:rsidP="0062186B">
      <w:pPr>
        <w:autoSpaceDE w:val="0"/>
        <w:autoSpaceDN w:val="0"/>
        <w:adjustRightInd w:val="0"/>
        <w:spacing w:after="0" w:line="240" w:lineRule="auto"/>
        <w:rPr>
          <w:rFonts w:cs="Calibri"/>
          <w:color w:val="000000"/>
        </w:rPr>
      </w:pPr>
      <w:r w:rsidRPr="0062186B">
        <w:rPr>
          <w:rFonts w:cs="Calibri"/>
          <w:color w:val="000000"/>
        </w:rPr>
        <w:t>•</w:t>
      </w:r>
      <w:r w:rsidRPr="0062186B">
        <w:rPr>
          <w:rFonts w:cs="Calibri"/>
          <w:color w:val="000000"/>
        </w:rPr>
        <w:tab/>
        <w:t xml:space="preserve">jednostki sektora finansów publicznych, inne niż wymienione powyżej; </w:t>
      </w:r>
    </w:p>
    <w:p w14:paraId="470DECD5" w14:textId="77777777" w:rsidR="0062186B" w:rsidRPr="00151119" w:rsidRDefault="0062186B" w:rsidP="00386D86">
      <w:pPr>
        <w:autoSpaceDE w:val="0"/>
        <w:autoSpaceDN w:val="0"/>
        <w:adjustRightInd w:val="0"/>
        <w:spacing w:after="0" w:line="240" w:lineRule="auto"/>
        <w:ind w:left="705" w:hanging="705"/>
        <w:rPr>
          <w:rFonts w:cs="Calibri"/>
          <w:color w:val="000000"/>
        </w:rPr>
      </w:pPr>
      <w:r w:rsidRPr="0062186B">
        <w:rPr>
          <w:rFonts w:cs="Calibri"/>
          <w:color w:val="000000"/>
        </w:rPr>
        <w:t>•</w:t>
      </w:r>
      <w:r w:rsidRPr="0062186B">
        <w:rPr>
          <w:rFonts w:cs="Calibri"/>
          <w:color w:val="000000"/>
        </w:rPr>
        <w:tab/>
        <w:t>przedsiębiorcy będący zarządcami infras</w:t>
      </w:r>
      <w:r>
        <w:rPr>
          <w:rFonts w:cs="Calibri"/>
          <w:color w:val="000000"/>
        </w:rPr>
        <w:t xml:space="preserve">truktury lub świadczący usługi w zakresie transportu </w:t>
      </w:r>
      <w:r w:rsidRPr="0062186B">
        <w:rPr>
          <w:rFonts w:cs="Calibri"/>
          <w:color w:val="000000"/>
        </w:rPr>
        <w:t>zbiorowego na terenach miejskich i podmiejskich;</w:t>
      </w:r>
    </w:p>
    <w:p w14:paraId="7C4383FD" w14:textId="77777777" w:rsidR="00A2484B" w:rsidRPr="00A2484B" w:rsidRDefault="003C4247" w:rsidP="00650AF5">
      <w:pPr>
        <w:pStyle w:val="Nagwek1"/>
      </w:pPr>
      <w:bookmarkStart w:id="12" w:name="_Toc476727434"/>
      <w:r w:rsidRPr="00A2484B">
        <w:lastRenderedPageBreak/>
        <w:t>Kwota przeznaczona na dofinansowanie projektów w konkursie</w:t>
      </w:r>
      <w:bookmarkEnd w:id="12"/>
    </w:p>
    <w:p w14:paraId="452B6E3B" w14:textId="7CAF73A6" w:rsidR="003C4247" w:rsidRPr="006D05C3" w:rsidRDefault="003C4247" w:rsidP="00FC6920">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r w:rsidR="00391287">
        <w:rPr>
          <w:rFonts w:cs="Calibri"/>
          <w:b/>
          <w:color w:val="000000"/>
        </w:rPr>
        <w:t xml:space="preserve">10 429 220 </w:t>
      </w:r>
      <w:r w:rsidRPr="00C13975">
        <w:rPr>
          <w:rFonts w:cs="Calibri"/>
          <w:b/>
          <w:color w:val="000000"/>
        </w:rPr>
        <w:t>E</w:t>
      </w:r>
      <w:r w:rsidR="00391287">
        <w:rPr>
          <w:rFonts w:cs="Calibri"/>
          <w:b/>
          <w:color w:val="000000"/>
        </w:rPr>
        <w:t>UR</w:t>
      </w:r>
      <w:r w:rsidRPr="00C13975">
        <w:rPr>
          <w:rFonts w:ascii="Calibri" w:eastAsia="Droid Sans Fallback" w:hAnsi="Calibri" w:cs="Calibri"/>
          <w:b/>
          <w:color w:val="00000A"/>
        </w:rPr>
        <w:t xml:space="preserve">, </w:t>
      </w:r>
      <w:r w:rsidRPr="0010099D">
        <w:rPr>
          <w:rFonts w:ascii="Calibri" w:eastAsia="Droid Sans Fallback" w:hAnsi="Calibri" w:cs="Calibri"/>
          <w:b/>
          <w:color w:val="00000A"/>
        </w:rPr>
        <w:t xml:space="preserve">tj. </w:t>
      </w:r>
      <w:r w:rsidR="009716DB">
        <w:rPr>
          <w:rFonts w:ascii="Calibri" w:eastAsia="Droid Sans Fallback" w:hAnsi="Calibri" w:cs="Calibri"/>
          <w:b/>
          <w:color w:val="00000A"/>
        </w:rPr>
        <w:t xml:space="preserve"> 44</w:t>
      </w:r>
      <w:r w:rsidR="00EB2794">
        <w:rPr>
          <w:rFonts w:ascii="Calibri" w:eastAsia="Droid Sans Fallback" w:hAnsi="Calibri" w:cs="Calibri"/>
          <w:b/>
          <w:color w:val="00000A"/>
        </w:rPr>
        <w:t> 027 995</w:t>
      </w:r>
      <w:r w:rsidR="006D05C3">
        <w:rPr>
          <w:rFonts w:ascii="Calibri" w:eastAsia="Droid Sans Fallback" w:hAnsi="Calibri" w:cs="Calibri"/>
          <w:b/>
          <w:color w:val="00000A"/>
        </w:rPr>
        <w:t xml:space="preserve"> </w:t>
      </w:r>
      <w:r w:rsidRPr="0010099D">
        <w:rPr>
          <w:rFonts w:ascii="Calibri" w:eastAsia="Droid Sans Fallback" w:hAnsi="Calibri" w:cs="Calibri"/>
          <w:b/>
          <w:color w:val="00000A"/>
        </w:rPr>
        <w:t>PLN</w:t>
      </w:r>
      <w:r w:rsidR="00E06EAA">
        <w:rPr>
          <w:rFonts w:ascii="Calibri" w:eastAsia="Droid Sans Fallback" w:hAnsi="Calibri" w:cs="Calibri"/>
          <w:b/>
          <w:color w:val="00000A"/>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Europejskiego Banku Centralnego (EBC) obowiązującym w </w:t>
      </w:r>
      <w:r w:rsidR="00401F8A">
        <w:rPr>
          <w:rFonts w:cs="MS Sans Serif"/>
          <w:color w:val="000000" w:themeColor="text1"/>
        </w:rPr>
        <w:t xml:space="preserve">maju </w:t>
      </w:r>
      <w:r w:rsidRPr="006D05C3">
        <w:rPr>
          <w:rFonts w:cs="MS Sans Serif"/>
          <w:color w:val="000000" w:themeColor="text1"/>
        </w:rPr>
        <w:t>201</w:t>
      </w:r>
      <w:r w:rsidR="00A2484B" w:rsidRPr="006D05C3">
        <w:rPr>
          <w:rFonts w:cs="MS Sans Serif"/>
          <w:color w:val="000000" w:themeColor="text1"/>
        </w:rPr>
        <w:t>7</w:t>
      </w:r>
      <w:r w:rsidRPr="006D05C3">
        <w:rPr>
          <w:rFonts w:cs="MS Sans Serif"/>
          <w:color w:val="000000" w:themeColor="text1"/>
        </w:rPr>
        <w:t xml:space="preserve"> r., 1 euro =</w:t>
      </w:r>
      <w:r w:rsidR="006D05C3" w:rsidRPr="006D05C3">
        <w:rPr>
          <w:rFonts w:cs="MS Sans Serif"/>
          <w:color w:val="000000" w:themeColor="text1"/>
        </w:rPr>
        <w:t xml:space="preserve"> </w:t>
      </w:r>
      <w:r w:rsidR="00401F8A">
        <w:t>4,221</w:t>
      </w:r>
      <w:r w:rsidR="00EB2794">
        <w:t>6</w:t>
      </w:r>
      <w:r w:rsidR="00E06EAA" w:rsidRPr="006D05C3">
        <w:rPr>
          <w:rFonts w:cs="MS Sans Serif"/>
          <w:color w:val="000000" w:themeColor="text1"/>
        </w:rPr>
        <w:t xml:space="preserve"> </w:t>
      </w:r>
      <w:r w:rsidRPr="006D05C3">
        <w:rPr>
          <w:rFonts w:cs="MS Sans Serif"/>
          <w:color w:val="000000" w:themeColor="text1"/>
        </w:rPr>
        <w:t>PLN</w:t>
      </w:r>
      <w:r w:rsidR="00400DBD">
        <w:rPr>
          <w:rFonts w:cs="MS Sans Serif"/>
          <w:color w:val="000000" w:themeColor="text1"/>
        </w:rPr>
        <w:t xml:space="preserve"> – kurs z dn. </w:t>
      </w:r>
      <w:r w:rsidR="00762B60">
        <w:rPr>
          <w:rFonts w:cs="MS Sans Serif"/>
          <w:color w:val="000000" w:themeColor="text1"/>
        </w:rPr>
        <w:t>2</w:t>
      </w:r>
      <w:r w:rsidR="00EB2794">
        <w:rPr>
          <w:rFonts w:cs="MS Sans Serif"/>
          <w:color w:val="000000" w:themeColor="text1"/>
        </w:rPr>
        <w:t>7</w:t>
      </w:r>
      <w:r w:rsidR="00400DBD">
        <w:rPr>
          <w:rFonts w:cs="MS Sans Serif"/>
          <w:color w:val="000000" w:themeColor="text1"/>
        </w:rPr>
        <w:t xml:space="preserve"> kwietnia 2017 r.</w:t>
      </w:r>
      <w:r w:rsidR="00E06EAA" w:rsidRPr="006D05C3">
        <w:rPr>
          <w:rFonts w:cs="MS Sans Serif"/>
          <w:color w:val="000000" w:themeColor="text1"/>
        </w:rPr>
        <w:t>)</w:t>
      </w:r>
      <w:r w:rsidRPr="006D05C3">
        <w:rPr>
          <w:rFonts w:cs="MS Sans Serif"/>
          <w:color w:val="000000" w:themeColor="text1"/>
        </w:rPr>
        <w:t xml:space="preserve">. </w:t>
      </w:r>
    </w:p>
    <w:p w14:paraId="1BA4F912" w14:textId="10D1110D" w:rsidR="003C4247" w:rsidRPr="00B27059" w:rsidRDefault="003C4247" w:rsidP="00F71AF1">
      <w:pPr>
        <w:spacing w:before="240" w:after="0" w:line="240" w:lineRule="auto"/>
        <w:jc w:val="both"/>
      </w:pPr>
      <w:bookmarkStart w:id="13"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3"/>
      <w:r w:rsidRPr="007A0841">
        <w:rPr>
          <w:rFonts w:cs="MS Sans Serif"/>
        </w:rPr>
        <w:t>.</w:t>
      </w:r>
    </w:p>
    <w:p w14:paraId="16045011" w14:textId="77777777" w:rsidR="0010099D" w:rsidRPr="0010099D" w:rsidRDefault="003C4247" w:rsidP="00650AF5">
      <w:pPr>
        <w:pStyle w:val="Nagwek1"/>
      </w:pPr>
      <w:bookmarkStart w:id="14" w:name="_Toc476727435"/>
      <w:r w:rsidRPr="0010099D">
        <w:t>Minimalna wartość projektu</w:t>
      </w:r>
      <w:bookmarkEnd w:id="14"/>
    </w:p>
    <w:p w14:paraId="3E804AC8" w14:textId="77777777"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960AD8">
        <w:rPr>
          <w:rFonts w:cs="Arial"/>
        </w:rPr>
        <w:t>2</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15" w:name="_Toc476727436"/>
      <w:r w:rsidRPr="0010099D">
        <w:t>Maksymalna wartość projektu</w:t>
      </w:r>
      <w:bookmarkEnd w:id="15"/>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650AF5">
      <w:pPr>
        <w:pStyle w:val="Nagwek1"/>
      </w:pPr>
      <w:bookmarkStart w:id="16" w:name="_Toc476727437"/>
      <w:r w:rsidRPr="002B66EC">
        <w:rPr>
          <w:rStyle w:val="Nagwek1Znak"/>
          <w:b/>
        </w:rPr>
        <w:t xml:space="preserve">Pomoc publiczna i pomoc de </w:t>
      </w:r>
      <w:proofErr w:type="spellStart"/>
      <w:r w:rsidRPr="002B66EC">
        <w:rPr>
          <w:rStyle w:val="Nagwek1Znak"/>
          <w:b/>
        </w:rPr>
        <w:t>minimis</w:t>
      </w:r>
      <w:proofErr w:type="spellEnd"/>
      <w:r w:rsidRPr="00E06EAA">
        <w:rPr>
          <w:rStyle w:val="Nagwek1Znak"/>
        </w:rPr>
        <w:t xml:space="preserve"> (rodzaj i przeznaczenie pomocy, </w:t>
      </w:r>
      <w:r w:rsidRPr="00850917">
        <w:rPr>
          <w:rStyle w:val="Nagwek1Znak"/>
        </w:rPr>
        <w:t>unijna</w:t>
      </w:r>
      <w:r w:rsidRPr="00850917">
        <w:t xml:space="preserve"> lub krajowa podstawa prawna)</w:t>
      </w:r>
      <w:bookmarkEnd w:id="16"/>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12825239" w14:textId="5D4B8DBC" w:rsidR="0091279A" w:rsidRPr="0091279A" w:rsidRDefault="0091279A" w:rsidP="00892819">
      <w:pPr>
        <w:tabs>
          <w:tab w:val="left" w:pos="459"/>
        </w:tabs>
        <w:spacing w:before="240" w:line="240" w:lineRule="auto"/>
        <w:jc w:val="both"/>
        <w:rPr>
          <w:rFonts w:cs="Arial"/>
        </w:rPr>
      </w:pPr>
      <w:r>
        <w:rPr>
          <w:rFonts w:cs="Arial"/>
        </w:rPr>
        <w:t xml:space="preserve">Występowanie pomocy publicznej należy zweryfikować także w </w:t>
      </w:r>
      <w:r w:rsidR="00EF12B3">
        <w:rPr>
          <w:rFonts w:cs="Arial"/>
        </w:rPr>
        <w:t xml:space="preserve">oparciu </w:t>
      </w:r>
      <w:r>
        <w:rPr>
          <w:rFonts w:cs="Arial"/>
        </w:rPr>
        <w:t xml:space="preserve">o tzw. </w:t>
      </w:r>
      <w:r w:rsidRPr="00892819">
        <w:rPr>
          <w:rFonts w:cs="Arial"/>
          <w:b/>
        </w:rPr>
        <w:t>Kryteri</w:t>
      </w:r>
      <w:r w:rsidR="00EF12B3" w:rsidRPr="00892819">
        <w:rPr>
          <w:rFonts w:cs="Arial"/>
          <w:b/>
        </w:rPr>
        <w:t>a</w:t>
      </w:r>
      <w:r w:rsidRPr="00892819">
        <w:rPr>
          <w:rFonts w:cs="Arial"/>
          <w:b/>
        </w:rPr>
        <w:t xml:space="preserve"> </w:t>
      </w:r>
      <w:proofErr w:type="spellStart"/>
      <w:r w:rsidRPr="00892819">
        <w:rPr>
          <w:rFonts w:cs="Arial"/>
          <w:b/>
        </w:rPr>
        <w:t>Altmark</w:t>
      </w:r>
      <w:proofErr w:type="spellEnd"/>
      <w:r>
        <w:rPr>
          <w:rFonts w:cs="Arial"/>
        </w:rPr>
        <w:t xml:space="preserve">, zgodnie z wytycznymi </w:t>
      </w:r>
      <w:r w:rsidRPr="00325954">
        <w:rPr>
          <w:rFonts w:cs="Arial"/>
        </w:rPr>
        <w:t>w zakresie dofinansowania z programów operacyjnych podmiotów realizujących obowiązek świadczenia usług publicznych w transporcie zbiorowym</w:t>
      </w:r>
      <w:r w:rsidR="005D2E6E">
        <w:rPr>
          <w:rFonts w:cs="Arial"/>
        </w:rPr>
        <w:t>.</w:t>
      </w:r>
    </w:p>
    <w:p w14:paraId="725D1360" w14:textId="77777777" w:rsidR="00237A3C" w:rsidRPr="00325954" w:rsidRDefault="00237A3C" w:rsidP="00237A3C">
      <w:pPr>
        <w:spacing w:before="120" w:after="120" w:line="240" w:lineRule="auto"/>
        <w:jc w:val="both"/>
        <w:rPr>
          <w:rFonts w:eastAsia="TimesNewRoman" w:cs="TimesNewRoman,Bold"/>
          <w:bCs/>
        </w:rPr>
      </w:pPr>
      <w:bookmarkStart w:id="17" w:name="_Toc476727438"/>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77BD5191" w14:textId="77777777"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rozporządzenie  (WE)  nr  1370/2007  Parlamentu  Europejskiego  i  Rady  z 23 października 2007 r. dotyczącego usług  publicznych  w  zakresie  kolejowego  i  drogowego  transportu pasażerskiego  oraz  uchylającego  rozporządzenia  Rady – w odniesieniu do okresu po 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komunikat Komisji Europejskiej w sprawie wytycznych  interpretacyjnych  w odniesieniu do rozporządzenia (WE) nr 1370/2007 dotyczącego usług publicznych w zakresie kolejowego i drogowego transportu pasażerskiego (Dz. Urz. UE 2014 C 92/1);</w:t>
      </w:r>
    </w:p>
    <w:p w14:paraId="5594B796" w14:textId="77777777"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  r. (Dz. Urz. UE 1991 L 169/1) – w odniesieniu do okresu przed 3 grudnia 2009 r.;</w:t>
      </w:r>
    </w:p>
    <w:p w14:paraId="4553EC07" w14:textId="77777777" w:rsidR="00237A3C" w:rsidRPr="00325954"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lastRenderedPageBreak/>
        <w:t>wytyczne w zakresie dofinansowania z programów operacyjnych podmiotów realizujących obowiązek świadczenia usług publicznych w transporcie zbiorowym.</w:t>
      </w:r>
    </w:p>
    <w:p w14:paraId="0C54EA63" w14:textId="77777777"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4"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17"/>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18" w:name="_Toc476727439"/>
      <w:r w:rsidRPr="00B0351C">
        <w:t>Warunki uwzględniania dochodu w projekcie</w:t>
      </w:r>
      <w:bookmarkEnd w:id="18"/>
    </w:p>
    <w:p w14:paraId="2096301D" w14:textId="77777777"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C53CB5">
        <w:t>.</w:t>
      </w:r>
    </w:p>
    <w:p w14:paraId="3CC09F3A" w14:textId="77777777" w:rsidR="003C4247" w:rsidRPr="00B0351C" w:rsidRDefault="003C4247" w:rsidP="00650AF5">
      <w:pPr>
        <w:pStyle w:val="Nagwek1"/>
      </w:pPr>
      <w:bookmarkStart w:id="19" w:name="_Toc476727440"/>
      <w:r w:rsidRPr="00B0351C">
        <w:t>Maksymalny dopuszczalny poziom dofinansowania projektu lub maksymalna dopuszczalna kwota do dofinansowania projektu</w:t>
      </w:r>
      <w:bookmarkEnd w:id="19"/>
    </w:p>
    <w:p w14:paraId="44A953FB" w14:textId="77777777" w:rsidR="00FE024A" w:rsidRPr="00723803"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6F69CDCE" w14:textId="070C585F" w:rsidR="00454534" w:rsidRPr="004878A2" w:rsidRDefault="00565B92" w:rsidP="00650AF5">
      <w:pPr>
        <w:pStyle w:val="Default"/>
        <w:spacing w:before="240"/>
        <w:ind w:left="-43"/>
        <w:jc w:val="both"/>
        <w:rPr>
          <w:sz w:val="22"/>
          <w:szCs w:val="22"/>
        </w:rPr>
      </w:pPr>
      <w:bookmarkStart w:id="20" w:name="_Hlk482012661"/>
      <w:r w:rsidRPr="004878A2">
        <w:rPr>
          <w:rFonts w:cs="Arial"/>
          <w:color w:val="auto"/>
          <w:sz w:val="22"/>
          <w:szCs w:val="22"/>
        </w:rPr>
        <w:t>W żadnym wypadku dofinansowanie nie może przekroczyć 85%. Ustalane jest z</w:t>
      </w:r>
      <w:r w:rsidR="00302A83" w:rsidRPr="004878A2">
        <w:rPr>
          <w:rFonts w:cs="Arial"/>
          <w:color w:val="auto"/>
          <w:sz w:val="22"/>
          <w:szCs w:val="22"/>
        </w:rPr>
        <w:t>godnie z poziomem wynikającym z kalkulacji rekompensaty</w:t>
      </w:r>
      <w:r w:rsidR="00BB4F65">
        <w:rPr>
          <w:rFonts w:cs="Arial"/>
          <w:color w:val="auto"/>
          <w:sz w:val="22"/>
          <w:szCs w:val="22"/>
        </w:rPr>
        <w:t>.</w:t>
      </w:r>
      <w:r w:rsidR="00302A83" w:rsidRPr="004878A2">
        <w:rPr>
          <w:rFonts w:cs="Arial"/>
          <w:color w:val="auto"/>
          <w:sz w:val="22"/>
          <w:szCs w:val="22"/>
        </w:rPr>
        <w:t xml:space="preserve"> W przypadku gdy zachodzi konieczność wyliczania dodatkowo luki finansowej (zbieg limitów rekompensaty i luki) należy wybrać niższy poziom dofinansowania. </w:t>
      </w:r>
      <w:bookmarkEnd w:id="20"/>
      <w:r w:rsidR="00302A83" w:rsidRPr="004878A2">
        <w:rPr>
          <w:sz w:val="22"/>
          <w:szCs w:val="22"/>
        </w:rPr>
        <w:t xml:space="preserve">(Wytyczne </w:t>
      </w:r>
      <w:bookmarkStart w:id="21" w:name="_Hlk482012639"/>
      <w:r w:rsidR="00302A83" w:rsidRPr="004878A2">
        <w:rPr>
          <w:sz w:val="22"/>
          <w:szCs w:val="22"/>
        </w:rPr>
        <w:t>w zakresie dofinansowania z programów operacyjnych podmiotów realizujących obowiązek świadczenia usług publicznych w transporcie zbiorowym</w:t>
      </w:r>
      <w:bookmarkEnd w:id="21"/>
      <w:r w:rsidR="00302A83" w:rsidRPr="004878A2">
        <w:rPr>
          <w:sz w:val="22"/>
          <w:szCs w:val="22"/>
        </w:rPr>
        <w:t>, pkt 141 - 142).</w:t>
      </w:r>
    </w:p>
    <w:p w14:paraId="66ED7B79" w14:textId="77777777" w:rsidR="003C4247" w:rsidRPr="00454534" w:rsidRDefault="003C4247" w:rsidP="00650AF5">
      <w:pPr>
        <w:pStyle w:val="Nagwek1"/>
      </w:pPr>
      <w:bookmarkStart w:id="22" w:name="_Toc476727441"/>
      <w:r w:rsidRPr="00454534">
        <w:t>Minimalny wkład własny beneficjenta jako % wydatków kwalifikowalnych</w:t>
      </w:r>
      <w:bookmarkEnd w:id="22"/>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23" w:name="_Toc476727442"/>
      <w:r w:rsidRPr="00B0351C">
        <w:t>Forma konkursu (informacja na jakie et</w:t>
      </w:r>
      <w:r w:rsidR="00B0351C">
        <w:t>apy został podzielony konkurs)</w:t>
      </w:r>
      <w:bookmarkEnd w:id="23"/>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lastRenderedPageBreak/>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77777777"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specyficznymi –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77777777"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114F53">
        <w:rPr>
          <w:rFonts w:asciiTheme="minorHAnsi" w:hAnsiTheme="minorHAnsi"/>
          <w:color w:val="00000A"/>
          <w:sz w:val="22"/>
          <w:szCs w:val="22"/>
        </w:rPr>
        <w:t>obejmująca:</w:t>
      </w:r>
    </w:p>
    <w:p w14:paraId="750DE451" w14:textId="77777777" w:rsidR="00B0351C"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finansowo-ekonomiczną projektu w zakresie spełnienia przez projekt kryteriów obligatoryjnych i punktowych, dokonywan</w:t>
      </w:r>
      <w:r w:rsidR="00181082" w:rsidRPr="00114F53">
        <w:rPr>
          <w:rFonts w:asciiTheme="minorHAnsi" w:hAnsiTheme="minorHAnsi"/>
          <w:sz w:val="22"/>
          <w:szCs w:val="22"/>
        </w:rPr>
        <w:t>ą</w:t>
      </w:r>
      <w:r w:rsidRPr="00114F53">
        <w:rPr>
          <w:rFonts w:asciiTheme="minorHAnsi" w:hAnsiTheme="minorHAnsi"/>
          <w:sz w:val="22"/>
          <w:szCs w:val="22"/>
        </w:rPr>
        <w:t xml:space="preserve"> przez 2 ekspertów zewnętrznych, o których mowa w art. 49 ustawy wdrożeniowej, z dziedziny „Analiza ekonomiczno-finansowa”;</w:t>
      </w:r>
    </w:p>
    <w:p w14:paraId="30FCEF50" w14:textId="77777777" w:rsidR="00F526B3"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spełnienia przez projekt obligatoryjnych i punktowych kryteriów merytorycznych ogólnych oraz kryteriów merytorycznych specyficznych, dokonywan</w:t>
      </w:r>
      <w:r w:rsidR="00181082" w:rsidRPr="00114F53">
        <w:rPr>
          <w:rFonts w:asciiTheme="minorHAnsi" w:hAnsiTheme="minorHAnsi"/>
          <w:sz w:val="22"/>
          <w:szCs w:val="22"/>
        </w:rPr>
        <w:t>ą</w:t>
      </w:r>
      <w:r w:rsidRPr="00114F53">
        <w:rPr>
          <w:rFonts w:asciiTheme="minorHAnsi" w:hAnsiTheme="minorHAnsi"/>
          <w:sz w:val="22"/>
          <w:szCs w:val="22"/>
        </w:rPr>
        <w:t xml:space="preserve"> </w:t>
      </w:r>
      <w:r w:rsidR="00484A08" w:rsidRPr="00114F53">
        <w:rPr>
          <w:rFonts w:asciiTheme="minorHAnsi" w:hAnsiTheme="minorHAnsi"/>
          <w:sz w:val="22"/>
          <w:szCs w:val="22"/>
        </w:rPr>
        <w:t>przez 2 ekspertów zewnętrznych</w:t>
      </w:r>
      <w:r w:rsidR="006C17C7" w:rsidRPr="00114F53">
        <w:rPr>
          <w:rFonts w:asciiTheme="minorHAnsi" w:hAnsiTheme="minorHAnsi"/>
          <w:sz w:val="22"/>
          <w:szCs w:val="22"/>
        </w:rPr>
        <w:t>.</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lastRenderedPageBreak/>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B8B4A00" w14:textId="77777777" w:rsidR="00B0351C" w:rsidRPr="002565F0" w:rsidDel="00F526B3" w:rsidRDefault="00B0351C" w:rsidP="002565F0">
      <w:pPr>
        <w:pStyle w:val="Default"/>
        <w:numPr>
          <w:ilvl w:val="0"/>
          <w:numId w:val="18"/>
        </w:numPr>
        <w:ind w:left="284" w:hanging="284"/>
        <w:jc w:val="both"/>
        <w:rPr>
          <w:rFonts w:asciiTheme="minorHAnsi" w:hAnsiTheme="minorHAnsi"/>
          <w:sz w:val="22"/>
          <w:szCs w:val="22"/>
        </w:rPr>
      </w:pPr>
      <w:r w:rsidRPr="002565F0" w:rsidDel="00F526B3">
        <w:rPr>
          <w:rFonts w:asciiTheme="minorHAnsi" w:hAnsiTheme="minorHAnsi"/>
          <w:b/>
          <w:sz w:val="22"/>
          <w:szCs w:val="22"/>
        </w:rPr>
        <w:t xml:space="preserve">III etap oceny projektu – </w:t>
      </w:r>
      <w:r w:rsidR="00A32F21" w:rsidRPr="00A32F21">
        <w:rPr>
          <w:rFonts w:asciiTheme="minorHAnsi" w:hAnsiTheme="minorHAnsi"/>
          <w:sz w:val="22"/>
          <w:szCs w:val="22"/>
        </w:rPr>
        <w:t>o</w:t>
      </w:r>
      <w:r w:rsidR="002565F0" w:rsidRPr="002565F0">
        <w:rPr>
          <w:rFonts w:asciiTheme="minorHAnsi" w:hAnsiTheme="minorHAnsi"/>
          <w:sz w:val="22"/>
          <w:szCs w:val="22"/>
        </w:rPr>
        <w:t xml:space="preserve">cena spełnienia przez projekt kryteriów dotyczących jego </w:t>
      </w:r>
      <w:r w:rsidR="002565F0" w:rsidRPr="002565F0">
        <w:rPr>
          <w:rFonts w:asciiTheme="minorHAnsi" w:hAnsiTheme="minorHAnsi"/>
          <w:b/>
          <w:sz w:val="22"/>
          <w:szCs w:val="22"/>
        </w:rPr>
        <w:t>zgodności ze Strategią właściwego ZIT</w:t>
      </w:r>
      <w:r w:rsidR="002565F0" w:rsidRPr="002565F0">
        <w:rPr>
          <w:rFonts w:asciiTheme="minorHAnsi" w:hAnsiTheme="minorHAnsi"/>
          <w:sz w:val="22"/>
          <w:szCs w:val="22"/>
        </w:rPr>
        <w:t>, dokonywan</w:t>
      </w:r>
      <w:r w:rsidR="00C5109A">
        <w:rPr>
          <w:rFonts w:asciiTheme="minorHAnsi" w:hAnsiTheme="minorHAnsi"/>
          <w:sz w:val="22"/>
          <w:szCs w:val="22"/>
        </w:rPr>
        <w:t>a</w:t>
      </w:r>
      <w:r w:rsidR="002565F0" w:rsidRPr="002565F0">
        <w:rPr>
          <w:rFonts w:asciiTheme="minorHAnsi" w:hAnsiTheme="minorHAnsi"/>
          <w:sz w:val="22"/>
          <w:szCs w:val="22"/>
        </w:rPr>
        <w:t xml:space="preserve"> przez ekspertów zewnętrznych, o których mowa w art. 49 ustawy wdrożeniowej, i/lub pracowników IP RPO WD</w:t>
      </w:r>
      <w:r w:rsidR="00FC737A">
        <w:rPr>
          <w:rStyle w:val="Odwoanieprzypisudolnego"/>
          <w:rFonts w:asciiTheme="minorHAnsi" w:hAnsiTheme="minorHAnsi"/>
          <w:sz w:val="22"/>
          <w:szCs w:val="22"/>
        </w:rPr>
        <w:footnoteReference w:id="2"/>
      </w:r>
      <w:r w:rsidR="002565F0" w:rsidRPr="002565F0">
        <w:rPr>
          <w:rFonts w:asciiTheme="minorHAnsi" w:hAnsiTheme="minorHAnsi"/>
          <w:sz w:val="22"/>
          <w:szCs w:val="22"/>
        </w:rPr>
        <w:t xml:space="preserve"> </w:t>
      </w:r>
      <w:r w:rsidRPr="002565F0" w:rsidDel="00F526B3">
        <w:rPr>
          <w:rFonts w:asciiTheme="minorHAnsi" w:hAnsiTheme="minorHAnsi"/>
          <w:sz w:val="22"/>
          <w:szCs w:val="22"/>
        </w:rPr>
        <w:t xml:space="preserve">– </w:t>
      </w:r>
      <w:r w:rsidR="00380CB6" w:rsidRPr="00114F53">
        <w:rPr>
          <w:rFonts w:asciiTheme="minorHAnsi" w:hAnsiTheme="minorHAnsi"/>
          <w:sz w:val="22"/>
          <w:szCs w:val="22"/>
        </w:rPr>
        <w:t xml:space="preserve">do oceny </w:t>
      </w:r>
      <w:r w:rsidR="00380CB6">
        <w:rPr>
          <w:rFonts w:asciiTheme="minorHAnsi" w:hAnsiTheme="minorHAnsi"/>
          <w:sz w:val="22"/>
          <w:szCs w:val="22"/>
        </w:rPr>
        <w:t xml:space="preserve">zgodności ze Strategią właściwego ZIT </w:t>
      </w:r>
      <w:r w:rsidR="00380CB6" w:rsidRPr="00114F53">
        <w:rPr>
          <w:rFonts w:asciiTheme="minorHAnsi" w:hAnsiTheme="minorHAnsi"/>
          <w:sz w:val="22"/>
          <w:szCs w:val="22"/>
        </w:rPr>
        <w:t xml:space="preserve">zostaną dopuszczone wnioski o dofinansowanie po uzyskaniu pozytywnego wyniku oceny </w:t>
      </w:r>
      <w:r w:rsidR="00380CB6">
        <w:rPr>
          <w:rFonts w:asciiTheme="minorHAnsi" w:hAnsiTheme="minorHAnsi"/>
          <w:sz w:val="22"/>
          <w:szCs w:val="22"/>
        </w:rPr>
        <w:t xml:space="preserve">merytorycznej - </w:t>
      </w:r>
      <w:r w:rsidRPr="002565F0" w:rsidDel="00F526B3">
        <w:rPr>
          <w:rFonts w:asciiTheme="minorHAnsi" w:hAnsiTheme="minorHAnsi"/>
          <w:sz w:val="22"/>
          <w:szCs w:val="22"/>
        </w:rPr>
        <w:t xml:space="preserve">trwa </w:t>
      </w:r>
      <w:r w:rsidRPr="00114F53" w:rsidDel="00F526B3">
        <w:rPr>
          <w:rFonts w:asciiTheme="minorHAnsi" w:hAnsiTheme="minorHAnsi"/>
          <w:sz w:val="22"/>
          <w:szCs w:val="22"/>
        </w:rPr>
        <w:t>do 20 dni</w:t>
      </w:r>
      <w:r w:rsidRPr="002565F0" w:rsidDel="00F526B3">
        <w:rPr>
          <w:rFonts w:asciiTheme="minorHAnsi" w:hAnsiTheme="minorHAnsi"/>
          <w:sz w:val="22"/>
          <w:szCs w:val="22"/>
        </w:rPr>
        <w:t xml:space="preserve"> od dnia następnego po dniu zakończenia oceny merytorycznej, tj. przekazania projekt</w:t>
      </w:r>
      <w:r w:rsidR="00380CB6">
        <w:rPr>
          <w:rFonts w:asciiTheme="minorHAnsi" w:hAnsiTheme="minorHAnsi"/>
          <w:sz w:val="22"/>
          <w:szCs w:val="22"/>
        </w:rPr>
        <w:t>u/</w:t>
      </w:r>
      <w:r w:rsidRPr="002565F0" w:rsidDel="00F526B3">
        <w:rPr>
          <w:rFonts w:asciiTheme="minorHAnsi" w:hAnsiTheme="minorHAnsi"/>
          <w:sz w:val="22"/>
          <w:szCs w:val="22"/>
        </w:rPr>
        <w:t>ów do oceny zgodności ze Strategią ZIT.</w:t>
      </w:r>
    </w:p>
    <w:p w14:paraId="39A2B2C6" w14:textId="77777777" w:rsidR="00101893" w:rsidRDefault="00101893" w:rsidP="00FC6920">
      <w:pPr>
        <w:spacing w:after="60" w:line="240" w:lineRule="auto"/>
        <w:contextualSpacing/>
        <w:jc w:val="both"/>
        <w:rPr>
          <w:rFonts w:cs="Calibri"/>
        </w:rPr>
      </w:pPr>
    </w:p>
    <w:p w14:paraId="31B1286D" w14:textId="77777777" w:rsidR="00B0351C" w:rsidRPr="00934690" w:rsidRDefault="00B0351C" w:rsidP="00FC6920">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p>
    <w:p w14:paraId="7468B6E9" w14:textId="77777777" w:rsidR="00B0351C" w:rsidRPr="00934690" w:rsidRDefault="00B0351C" w:rsidP="00101893">
      <w:pPr>
        <w:pStyle w:val="Default"/>
        <w:numPr>
          <w:ilvl w:val="0"/>
          <w:numId w:val="6"/>
        </w:numPr>
        <w:suppressAutoHyphens/>
        <w:autoSpaceDE/>
        <w:adjustRightInd/>
        <w:spacing w:after="120"/>
        <w:ind w:left="568"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77777777"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zgodności ze Strategią właściwego ZIT wszystkich projektów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77777777"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14:paraId="20BC2969" w14:textId="77777777"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Pr="00934690">
          <w:rPr>
            <w:rFonts w:asciiTheme="minorHAnsi" w:hAnsiTheme="minorHAnsi"/>
            <w:sz w:val="22"/>
            <w:szCs w:val="22"/>
          </w:rPr>
          <w:t>www.zitwrof.pl</w:t>
        </w:r>
      </w:hyperlink>
      <w:r w:rsidRPr="00934690">
        <w:rPr>
          <w:rFonts w:asciiTheme="minorHAnsi" w:hAnsiTheme="minorHAnsi"/>
          <w:sz w:val="22"/>
          <w:szCs w:val="22"/>
        </w:rPr>
        <w:t xml:space="preserve">/ 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77777777"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zgodności ze Strategią ZIT)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 xml:space="preserve">Nieuzupełnienie braku formalnego lub niepoprawienie oczywistej omyłki przez wnioskodawcę na wezwanie właściwej instytucji, w myśl art. 43 ust. 1 ustawy, skutkuje </w:t>
      </w:r>
      <w:r w:rsidR="00B86AA6" w:rsidRPr="006F3413">
        <w:rPr>
          <w:rFonts w:asciiTheme="minorHAnsi" w:hAnsiTheme="minorHAnsi" w:cs="Arial"/>
          <w:b/>
          <w:sz w:val="22"/>
          <w:szCs w:val="22"/>
          <w:lang w:eastAsia="pl-PL"/>
        </w:rPr>
        <w:lastRenderedPageBreak/>
        <w:t>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24" w:name="_Toc476727443"/>
      <w:r w:rsidRPr="00484A08">
        <w:t>Termin, miejsce i forma składania wniosków o dofinansowanie projektu</w:t>
      </w:r>
      <w:bookmarkEnd w:id="24"/>
    </w:p>
    <w:p w14:paraId="6AD03F75" w14:textId="77777777"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8"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E87558">
        <w:rPr>
          <w:b/>
        </w:rPr>
        <w:t xml:space="preserve">22 </w:t>
      </w:r>
      <w:r w:rsidR="00EF26F7">
        <w:rPr>
          <w:b/>
        </w:rPr>
        <w:t xml:space="preserve">czerwca </w:t>
      </w:r>
      <w:r w:rsidRPr="00E75697">
        <w:rPr>
          <w:b/>
        </w:rPr>
        <w:t>201</w:t>
      </w:r>
      <w:r w:rsidR="00484A08">
        <w:rPr>
          <w:b/>
        </w:rPr>
        <w:t>7</w:t>
      </w:r>
      <w:r w:rsidRPr="00E75697">
        <w:rPr>
          <w:b/>
        </w:rPr>
        <w:t xml:space="preserve"> r. do godz. 15.00 </w:t>
      </w:r>
      <w:r w:rsidRPr="00E06EAA">
        <w:rPr>
          <w:b/>
        </w:rPr>
        <w:t xml:space="preserve">dnia </w:t>
      </w:r>
      <w:r w:rsidR="00EF26F7">
        <w:rPr>
          <w:b/>
        </w:rPr>
        <w:t>20 lipca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2EF73EDA"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 xml:space="preserve">20 lipca </w:t>
      </w:r>
      <w:r w:rsidR="00626229" w:rsidRPr="009505AB">
        <w:rPr>
          <w:b/>
        </w:rPr>
        <w:t>2017 r.</w:t>
      </w:r>
      <w:r w:rsidR="00626229">
        <w:t xml:space="preserve"> </w:t>
      </w:r>
      <w:r w:rsidRPr="003332E6">
        <w:t>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77777777"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25" w:name="_Toc476727444"/>
      <w:r w:rsidRPr="00484A08">
        <w:t>Katalog możliwych do uzupełnienia braków form</w:t>
      </w:r>
      <w:r w:rsidR="00484A08">
        <w:t>alnych oraz oczywistych omyłek</w:t>
      </w:r>
      <w:bookmarkEnd w:id="25"/>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lastRenderedPageBreak/>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26" w:name="_Toc476727445"/>
      <w:r w:rsidRPr="00484A08">
        <w:t xml:space="preserve">Wzór wniosku </w:t>
      </w:r>
      <w:r w:rsidR="003C4247" w:rsidRPr="00484A08">
        <w:t>o dofinansowa</w:t>
      </w:r>
      <w:r w:rsidRPr="00484A08">
        <w:t>nie projektu/zakres informacji</w:t>
      </w:r>
      <w:bookmarkEnd w:id="26"/>
    </w:p>
    <w:p w14:paraId="06604539" w14:textId="77777777" w:rsidR="003C4247" w:rsidRPr="00DD0FEF" w:rsidRDefault="003C4247" w:rsidP="00114F53">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o dofinansowanie realizacji projektu 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9"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Skorzystaj -&gt; Jak zacząć korzystać z programu -&gt; 4. Wypełnienie wniosku (</w:t>
      </w:r>
      <w:hyperlink r:id="rId20" w:anchor="2" w:history="1">
        <w:r w:rsidR="00DD0FEF" w:rsidRPr="00042A10">
          <w:rPr>
            <w:rFonts w:eastAsia="SimSun" w:cs="Tahoma"/>
            <w:kern w:val="3"/>
            <w:lang w:eastAsia="pl-PL"/>
          </w:rPr>
          <w:t>http://rpo.dolnyslask.pl/skorzystaj-2-2-2/skorzystaj-2/#2</w:t>
        </w:r>
      </w:hyperlink>
      <w:r w:rsidR="00DD0FEF" w:rsidRPr="00042A10">
        <w:rPr>
          <w:rFonts w:eastAsia="SimSun" w:cs="Tahoma"/>
          <w:kern w:val="3"/>
          <w:lang w:eastAsia="pl-PL"/>
        </w:rPr>
        <w:t>)</w:t>
      </w:r>
      <w:r w:rsidR="00DD0FEF">
        <w:rPr>
          <w:rFonts w:cs="Arial"/>
          <w:color w:val="000000"/>
        </w:rPr>
        <w:t xml:space="preserve"> </w:t>
      </w:r>
      <w:r w:rsidR="00123131" w:rsidRPr="00B719C1">
        <w:rPr>
          <w:rStyle w:val="Hipercze"/>
          <w:color w:val="000000" w:themeColor="text1"/>
          <w:u w:val="none"/>
        </w:rPr>
        <w:t xml:space="preserve">oraz na stronie </w:t>
      </w:r>
      <w:r w:rsidR="00123131">
        <w:rPr>
          <w:rStyle w:val="Hipercze"/>
        </w:rPr>
        <w:t>www.zitwrof.pl</w:t>
      </w:r>
      <w:r w:rsidRPr="00E75697">
        <w:rPr>
          <w:rFonts w:cs="Arial"/>
        </w:rPr>
        <w:t xml:space="preserve">. </w:t>
      </w:r>
    </w:p>
    <w:p w14:paraId="364C5CE5" w14:textId="77777777" w:rsidR="003C4247" w:rsidRPr="00E00844" w:rsidRDefault="003C4247" w:rsidP="00FC6920">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123131">
        <w:rPr>
          <w:rFonts w:cs="MS Sans Serif"/>
        </w:rPr>
        <w:t xml:space="preserve">ych </w:t>
      </w:r>
      <w:r w:rsidR="00123131" w:rsidRPr="00E00844">
        <w:rPr>
          <w:rFonts w:cs="MS Sans Serif"/>
        </w:rPr>
        <w:t>stron</w:t>
      </w:r>
      <w:r w:rsidR="00123131">
        <w:rPr>
          <w:rFonts w:cs="MS Sans Serif"/>
        </w:rPr>
        <w:t xml:space="preserve">ach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77777777" w:rsidR="00484A08" w:rsidRPr="00484A08" w:rsidRDefault="003C4247" w:rsidP="00650AF5">
      <w:pPr>
        <w:pStyle w:val="Nagwek1"/>
      </w:pPr>
      <w:bookmarkStart w:id="27" w:name="_Toc476727446"/>
      <w:r w:rsidRPr="00484A08">
        <w:t xml:space="preserve">Wzór umowy </w:t>
      </w:r>
      <w:r w:rsidR="00484A08" w:rsidRPr="00484A08">
        <w:t>o dofinansowanie projektu</w:t>
      </w:r>
      <w:bookmarkEnd w:id="27"/>
    </w:p>
    <w:p w14:paraId="219B1DC5" w14:textId="77777777"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145BF2">
        <w:rPr>
          <w:rFonts w:cs="Calibri"/>
        </w:rPr>
        <w:t>ach</w:t>
      </w:r>
      <w:r w:rsidRPr="008D4AB9">
        <w:rPr>
          <w:rFonts w:cs="Calibri"/>
        </w:rPr>
        <w:t xml:space="preserve"> </w:t>
      </w:r>
      <w:hyperlink r:id="rId21" w:history="1">
        <w:r w:rsidRPr="00D20412">
          <w:rPr>
            <w:rStyle w:val="Hipercze"/>
          </w:rPr>
          <w:t>www.rpo.dolnyslask.pl</w:t>
        </w:r>
      </w:hyperlink>
      <w:r w:rsidR="00145BF2">
        <w:t xml:space="preserve">, </w:t>
      </w:r>
      <w:hyperlink r:id="rId22" w:history="1">
        <w:r w:rsidR="00513A65" w:rsidRPr="00DB549E">
          <w:rPr>
            <w:rStyle w:val="Hipercze"/>
          </w:rPr>
          <w:t>www.zitwrof.pl</w:t>
        </w:r>
      </w:hyperlink>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28"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28"/>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F771C1">
      <w:pPr>
        <w:autoSpaceDE w:val="0"/>
        <w:autoSpaceDN w:val="0"/>
        <w:adjustRightInd w:val="0"/>
        <w:spacing w:before="240" w:after="0" w:line="240" w:lineRule="auto"/>
        <w:jc w:val="both"/>
        <w:rPr>
          <w:bCs/>
        </w:rPr>
      </w:pPr>
      <w:r>
        <w:rPr>
          <w:bCs/>
        </w:rPr>
        <w:lastRenderedPageBreak/>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miany wytycznych w toku naboru staną się obowiązujące wraz z dniem zawarcia umowy – za wyjątkiem sytuacji, dla których zmieniana wersja wytycznych wprowadza rozwiązania niekorzystne dla Beneficjenta</w:t>
      </w:r>
      <w:r w:rsidR="00DA454B">
        <w:rPr>
          <w:bCs/>
        </w:rPr>
        <w:t xml:space="preserve"> </w:t>
      </w:r>
      <w:bookmarkStart w:id="29" w:name="_Hlk482365043"/>
      <w:r w:rsidR="00DA454B">
        <w:rPr>
          <w:bCs/>
        </w:rPr>
        <w:t>(wówczas zastosowanie mają wytyczne obowiązujące na dzień ogłoszenia naboru)</w:t>
      </w:r>
      <w:r w:rsidRPr="00F771C1">
        <w:rPr>
          <w:bCs/>
        </w:rPr>
        <w:t>.</w:t>
      </w:r>
    </w:p>
    <w:bookmarkEnd w:id="29"/>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3"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30" w:name="_Toc476727447"/>
      <w:r w:rsidRPr="00484A08">
        <w:t>Kryteria wyboru projektów wraz z podaniem ich znaczenia</w:t>
      </w:r>
      <w:bookmarkEnd w:id="30"/>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4" w:history="1">
        <w:r w:rsidRPr="00AE7177">
          <w:rPr>
            <w:rStyle w:val="Hipercze"/>
          </w:rPr>
          <w:t>www.rpo.dolnyslask.pl</w:t>
        </w:r>
      </w:hyperlink>
      <w:r w:rsidRPr="00AE7177">
        <w:t xml:space="preserve">.   </w:t>
      </w:r>
    </w:p>
    <w:p w14:paraId="48B4F65C" w14:textId="71C1AE18" w:rsidR="001C08A0" w:rsidRDefault="001C08A0" w:rsidP="00FC6920">
      <w:pPr>
        <w:spacing w:line="240" w:lineRule="auto"/>
        <w:jc w:val="both"/>
      </w:pPr>
      <w:r w:rsidRPr="00E04956">
        <w:t>Do określenia liczby ludności na potrzeby kryterium</w:t>
      </w:r>
      <w:r w:rsidR="00B756C2">
        <w:t xml:space="preserve"> merytorycznego specyficznego</w:t>
      </w:r>
      <w:r w:rsidRPr="00E04956">
        <w:t xml:space="preserve"> „Miejsce realizacji projektu” należy posłużyć się danymi z </w:t>
      </w:r>
      <w:r w:rsidRPr="00CD6305">
        <w:t>załącznika nr 3 do regulaminu</w:t>
      </w:r>
      <w:r w:rsidR="00C8138E">
        <w:t xml:space="preserve"> </w:t>
      </w:r>
      <w:r w:rsidR="00C8138E" w:rsidRPr="00C8138E">
        <w:t xml:space="preserve">Powierzchnia, ludność oraz lokaty według miast (tabela 27 z opracowania Głównego Urzędu Statystycznego „Powierzchnia i ludność </w:t>
      </w:r>
      <w:r w:rsidR="0010431E">
        <w:br/>
      </w:r>
      <w:r w:rsidR="005C1CC3">
        <w:t>w przekroju terytorialnym w 2016</w:t>
      </w:r>
      <w:r w:rsidR="00C8138E" w:rsidRPr="00C8138E">
        <w:t xml:space="preserve"> r.”).</w:t>
      </w:r>
    </w:p>
    <w:p w14:paraId="615C0A53" w14:textId="77777777" w:rsidR="003C4247" w:rsidRPr="00484A08" w:rsidRDefault="003C4247" w:rsidP="00650AF5">
      <w:pPr>
        <w:pStyle w:val="Nagwek1"/>
      </w:pPr>
      <w:bookmarkStart w:id="31" w:name="_Toc476727448"/>
      <w:r w:rsidRPr="00484A08">
        <w:t>Studium wykonalności</w:t>
      </w:r>
      <w:bookmarkEnd w:id="31"/>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FC6920">
      <w:pPr>
        <w:spacing w:before="240" w:line="240" w:lineRule="auto"/>
        <w:jc w:val="both"/>
      </w:pPr>
      <w:r w:rsidRPr="00B27059">
        <w:t xml:space="preserve">Na stronie internetowej </w:t>
      </w:r>
      <w:hyperlink r:id="rId25"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577F9C" w:rsidP="00FC6920">
      <w:pPr>
        <w:spacing w:after="0" w:line="240" w:lineRule="auto"/>
        <w:rPr>
          <w:rStyle w:val="Hipercze"/>
          <w:rFonts w:cs="Calibri"/>
        </w:rPr>
      </w:pPr>
      <w:hyperlink r:id="rId26"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296C07D5" w:rsidR="000E1394" w:rsidRPr="00C746C9" w:rsidRDefault="000E1394" w:rsidP="00FC6920">
      <w:pPr>
        <w:spacing w:after="0" w:line="240" w:lineRule="auto"/>
        <w:rPr>
          <w:rFonts w:cs="Calibri"/>
        </w:rPr>
      </w:pPr>
      <w:r w:rsidRPr="00C746C9">
        <w:rPr>
          <w:rStyle w:val="Hipercze"/>
          <w:rFonts w:cs="Calibri"/>
          <w:color w:val="auto"/>
          <w:u w:val="none"/>
        </w:rPr>
        <w:t>Okres odniesienia dla analizy finansowej i ekonomicznej dla sektora Transport miejski – 25 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lastRenderedPageBreak/>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7"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14:paraId="68C4C56E" w14:textId="77777777" w:rsidR="004E5A11" w:rsidRPr="001B09BB" w:rsidRDefault="004E5A11" w:rsidP="002620CA">
      <w:pPr>
        <w:spacing w:before="240"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5FD6F423" w14:textId="05046255" w:rsidR="004E5A11" w:rsidRPr="001B09BB" w:rsidRDefault="004E5A11" w:rsidP="004E5A11">
      <w:pPr>
        <w:spacing w:line="240" w:lineRule="auto"/>
        <w:jc w:val="both"/>
      </w:pPr>
      <w:r w:rsidRPr="001B09BB">
        <w:lastRenderedPageBreak/>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p w14:paraId="1EDDBD5F" w14:textId="77777777" w:rsidR="003C4247" w:rsidRPr="00364C8F" w:rsidRDefault="003C4247" w:rsidP="00650AF5">
      <w:pPr>
        <w:pStyle w:val="Nagwek1"/>
        <w:rPr>
          <w:rFonts w:cs="Calibri"/>
          <w:color w:val="000000"/>
        </w:rPr>
      </w:pPr>
      <w:bookmarkStart w:id="32" w:name="_Toc476727449"/>
      <w:r w:rsidRPr="00364C8F">
        <w:t xml:space="preserve">Wskaźniki produktu </w:t>
      </w:r>
      <w:r w:rsidR="00364C8F" w:rsidRPr="00364C8F">
        <w:t>i rezultatu</w:t>
      </w:r>
      <w:bookmarkEnd w:id="32"/>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7777777"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2859FC" w:rsidRPr="00E00844">
        <w:t xml:space="preserve">Lista wskaźników na poziomie projektu dla działania </w:t>
      </w:r>
      <w:r w:rsidR="00BA641E">
        <w:t>3.</w:t>
      </w:r>
      <w:r w:rsidR="002859FC" w:rsidRPr="00E00844">
        <w:t xml:space="preserve">4 </w:t>
      </w:r>
      <w:r w:rsidR="00BA641E">
        <w:rPr>
          <w:rFonts w:cs="Arial"/>
        </w:rPr>
        <w:t>Wdrażanie strategii niskoemisyjnych</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33" w:name="_Toc476727450"/>
      <w:r w:rsidRPr="00364C8F">
        <w:t>Środki odwoław</w:t>
      </w:r>
      <w:r w:rsidR="00364C8F">
        <w:t>cze przysługujące wnioskodawcy</w:t>
      </w:r>
      <w:bookmarkEnd w:id="33"/>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7777777" w:rsidR="00364C8F" w:rsidRPr="006962EB" w:rsidRDefault="00364C8F" w:rsidP="00D14A04">
      <w:pPr>
        <w:spacing w:before="240" w:after="0" w:line="240" w:lineRule="auto"/>
        <w:jc w:val="both"/>
      </w:pPr>
      <w:r w:rsidRPr="006962EB">
        <w:t>Publikacja wyników oceny projektów na stronie internetowej IZ RPO WD /IP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lastRenderedPageBreak/>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38B0A069"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Pr>
          <w:rFonts w:asciiTheme="minorHAnsi" w:eastAsia="Times New Roman" w:hAnsiTheme="minorHAnsi" w:cs="Times New Roman"/>
        </w:rPr>
        <w:t xml:space="preserve"> Jeżeli protest wnoszony jest od etapu oceny dokonywanej przez IP RPO WD, winien on być wniesiony </w:t>
      </w:r>
      <w:r w:rsidR="00625E92" w:rsidRPr="007A485B">
        <w:rPr>
          <w:rFonts w:eastAsia="Times New Roman" w:cs="Arial"/>
        </w:rPr>
        <w:t>do IZ RPO WD za pośrednictwem IP RPO WD</w:t>
      </w:r>
      <w:r w:rsidR="00625E92" w:rsidRPr="007A485B">
        <w:rPr>
          <w:rFonts w:eastAsia="Times New Roman" w:cs="Arial"/>
          <w:sz w:val="20"/>
          <w:szCs w:val="20"/>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09379BC9" w14:textId="5E2AD282" w:rsidR="00120E9E" w:rsidRPr="00BA22E9" w:rsidRDefault="00120E9E" w:rsidP="00D14A04">
      <w:pPr>
        <w:pStyle w:val="wypunktowanie2"/>
        <w:tabs>
          <w:tab w:val="clear" w:pos="1440"/>
        </w:tabs>
        <w:spacing w:before="240" w:line="240" w:lineRule="auto"/>
        <w:ind w:left="0" w:firstLine="0"/>
        <w:rPr>
          <w:rFonts w:asciiTheme="minorHAnsi" w:hAnsiTheme="minorHAnsi"/>
          <w:sz w:val="22"/>
          <w:szCs w:val="22"/>
        </w:rPr>
      </w:pPr>
      <w:r w:rsidRPr="00BA22E9">
        <w:rPr>
          <w:rFonts w:asciiTheme="minorHAnsi" w:hAnsiTheme="minorHAnsi"/>
          <w:sz w:val="22"/>
          <w:szCs w:val="22"/>
        </w:rPr>
        <w:t>W zakresie</w:t>
      </w:r>
      <w:r w:rsidR="00D95462">
        <w:rPr>
          <w:rFonts w:asciiTheme="minorHAnsi" w:hAnsiTheme="minorHAnsi"/>
          <w:sz w:val="22"/>
          <w:szCs w:val="22"/>
        </w:rPr>
        <w:t xml:space="preserve"> etapów</w:t>
      </w:r>
      <w:r w:rsidRPr="00BA22E9">
        <w:rPr>
          <w:rFonts w:asciiTheme="minorHAnsi" w:hAnsiTheme="minorHAnsi"/>
          <w:sz w:val="22"/>
          <w:szCs w:val="22"/>
        </w:rPr>
        <w:t xml:space="preserve"> oceny </w:t>
      </w:r>
      <w:r w:rsidR="00D95462">
        <w:rPr>
          <w:rFonts w:asciiTheme="minorHAnsi" w:hAnsiTheme="minorHAnsi"/>
          <w:sz w:val="22"/>
          <w:szCs w:val="22"/>
        </w:rPr>
        <w:t xml:space="preserve">dokonywanych przez IOK (którą jest </w:t>
      </w:r>
      <w:r w:rsidRPr="00BA22E9">
        <w:rPr>
          <w:rFonts w:asciiTheme="minorHAnsi" w:hAnsiTheme="minorHAnsi"/>
          <w:sz w:val="22"/>
          <w:szCs w:val="22"/>
        </w:rPr>
        <w:t>IP RPO WD</w:t>
      </w:r>
      <w:r w:rsidR="00D95462">
        <w:rPr>
          <w:rFonts w:asciiTheme="minorHAnsi" w:hAnsiTheme="minorHAnsi"/>
          <w:sz w:val="22"/>
          <w:szCs w:val="22"/>
        </w:rPr>
        <w:t>) IOK</w:t>
      </w:r>
      <w:r w:rsidRPr="00BA22E9">
        <w:rPr>
          <w:rFonts w:asciiTheme="minorHAnsi" w:hAnsiTheme="minorHAnsi"/>
          <w:sz w:val="22"/>
          <w:szCs w:val="22"/>
        </w:rPr>
        <w:t xml:space="preserve"> </w:t>
      </w:r>
      <w:r w:rsidRPr="00BA22E9">
        <w:rPr>
          <w:rFonts w:asciiTheme="minorHAnsi" w:hAnsiTheme="minorHAnsi" w:cs="Arial"/>
          <w:sz w:val="22"/>
          <w:szCs w:val="22"/>
        </w:rPr>
        <w:t xml:space="preserve">w terminie 21 dni od dnia otrzymania protestu weryfikuje wyniki dokonanej przez siebie oceny projektu w </w:t>
      </w:r>
      <w:r w:rsidR="00D95462">
        <w:rPr>
          <w:rFonts w:asciiTheme="minorHAnsi" w:hAnsiTheme="minorHAnsi" w:cs="Arial"/>
          <w:sz w:val="22"/>
          <w:szCs w:val="22"/>
        </w:rPr>
        <w:t xml:space="preserve">ramach </w:t>
      </w:r>
      <w:r w:rsidRPr="00BA22E9">
        <w:rPr>
          <w:rFonts w:asciiTheme="minorHAnsi" w:hAnsiTheme="minorHAnsi" w:cs="Arial"/>
          <w:sz w:val="22"/>
          <w:szCs w:val="22"/>
        </w:rPr>
        <w:t>kryteriów i zarzutów podniesionych przez Wnioskodawcę.</w:t>
      </w:r>
    </w:p>
    <w:p w14:paraId="35601848" w14:textId="0F11EB1D"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 xml:space="preserve">W wyniku dokonanej weryfikacji </w:t>
      </w:r>
      <w:r w:rsidR="00D95462">
        <w:rPr>
          <w:rFonts w:asciiTheme="minorHAnsi" w:hAnsiTheme="minorHAnsi" w:cs="Arial"/>
          <w:sz w:val="22"/>
          <w:szCs w:val="22"/>
        </w:rPr>
        <w:t xml:space="preserve">IOK (w zakresie etapów oceny dokonywanych przez </w:t>
      </w:r>
      <w:r w:rsidRPr="00BA22E9">
        <w:rPr>
          <w:rFonts w:asciiTheme="minorHAnsi" w:hAnsiTheme="minorHAnsi" w:cs="Arial"/>
          <w:sz w:val="22"/>
          <w:szCs w:val="22"/>
        </w:rPr>
        <w:t>IP RPO WD</w:t>
      </w:r>
      <w:r w:rsidR="00D95462">
        <w:rPr>
          <w:rFonts w:asciiTheme="minorHAnsi" w:hAnsiTheme="minorHAnsi" w:cs="Arial"/>
          <w:sz w:val="22"/>
          <w:szCs w:val="22"/>
        </w:rPr>
        <w:t>)</w:t>
      </w:r>
      <w:r w:rsidRPr="00BA22E9">
        <w:rPr>
          <w:rFonts w:asciiTheme="minorHAnsi" w:hAnsiTheme="minorHAnsi" w:cs="Arial"/>
          <w:sz w:val="22"/>
          <w:szCs w:val="22"/>
        </w:rPr>
        <w:t>:</w:t>
      </w:r>
    </w:p>
    <w:p w14:paraId="429046B7"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14:paraId="33F5BC0A"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 xml:space="preserve">kieruje protest wraz z otrzymaną od Wnioskodawcy dokumentacją oraz dokumentacją będąca </w:t>
      </w:r>
      <w:r>
        <w:rPr>
          <w:rFonts w:asciiTheme="minorHAnsi" w:hAnsiTheme="minorHAnsi" w:cs="Arial"/>
          <w:sz w:val="22"/>
          <w:szCs w:val="22"/>
        </w:rPr>
        <w:br/>
      </w:r>
      <w:r w:rsidRPr="00BA22E9">
        <w:rPr>
          <w:rFonts w:asciiTheme="minorHAnsi" w:hAnsiTheme="minorHAnsi" w:cs="Arial"/>
          <w:sz w:val="22"/>
          <w:szCs w:val="22"/>
        </w:rPr>
        <w:t>w posiadaniu IP RPO WD do IZ RPO WD.</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77777777" w:rsidR="00120E9E" w:rsidRPr="00BA22E9" w:rsidRDefault="00120E9E" w:rsidP="00D14A04">
      <w:pPr>
        <w:pStyle w:val="Standard"/>
        <w:widowControl w:val="0"/>
        <w:tabs>
          <w:tab w:val="left" w:pos="0"/>
          <w:tab w:val="left" w:pos="720"/>
        </w:tabs>
        <w:spacing w:before="240"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45E21B02"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14:paraId="0E32EFB9" w14:textId="77777777" w:rsidR="00120E9E" w:rsidRPr="00BA22E9" w:rsidRDefault="00120E9E" w:rsidP="00D86581">
      <w:pPr>
        <w:pStyle w:val="Akapitzlist"/>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14:paraId="5323576F" w14:textId="0CC49A04" w:rsidR="00120E9E" w:rsidRPr="00BA22E9" w:rsidRDefault="00120E9E" w:rsidP="00D86581">
      <w:pPr>
        <w:pStyle w:val="Akapitzlist"/>
        <w:widowControl w:val="0"/>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sprawę do IP RPO WD (</w:t>
      </w:r>
      <w:r w:rsidR="00D95462">
        <w:rPr>
          <w:rFonts w:asciiTheme="minorHAnsi" w:hAnsiTheme="minorHAnsi"/>
          <w:szCs w:val="22"/>
        </w:rPr>
        <w:t>w zakresie etapów oceny dokonywanych przez IP RPO WD</w:t>
      </w:r>
      <w:r w:rsidRPr="00BA22E9">
        <w:rPr>
          <w:rFonts w:asciiTheme="minorHAnsi" w:hAnsiTheme="minorHAnsi"/>
          <w:szCs w:val="22"/>
        </w:rPr>
        <w:t xml:space="preserve">), celem przeprowadzenia ponownej oceny projektu, jeżeli w trakcie pierwotnie dokonanej oceny doszło do naruszenia obowiązujących procedur i konieczny do wyjaśnienia zakres spraw ma istotny </w:t>
      </w:r>
      <w:r w:rsidRPr="00BA22E9">
        <w:rPr>
          <w:rFonts w:asciiTheme="minorHAnsi" w:hAnsiTheme="minorHAnsi"/>
          <w:szCs w:val="22"/>
        </w:rPr>
        <w:lastRenderedPageBreak/>
        <w:t>wpływ na wynik oceny.</w:t>
      </w:r>
    </w:p>
    <w:p w14:paraId="1E47DF9E" w14:textId="3F8B719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t xml:space="preserve">Nie podlega rozpatrzeniu przez IZ RPO WD protest </w:t>
      </w:r>
      <w:r w:rsidR="003344F1">
        <w:rPr>
          <w:rFonts w:asciiTheme="minorHAnsi" w:hAnsiTheme="minorHAnsi"/>
        </w:rPr>
        <w:t>(</w:t>
      </w:r>
      <w:r w:rsidRPr="00BA22E9">
        <w:rPr>
          <w:rFonts w:asciiTheme="minorHAnsi" w:eastAsia="Times New Roman" w:hAnsiTheme="minorHAnsi" w:cs="Times New Roman"/>
        </w:rPr>
        <w:t>IP RPO WD nie dokonuje weryfikacji wyników dokonanej przez siebie oceny</w:t>
      </w:r>
      <w:r w:rsidR="003344F1">
        <w:rPr>
          <w:rFonts w:asciiTheme="minorHAnsi" w:eastAsia="Times New Roman" w:hAnsiTheme="minorHAnsi" w:cs="Times New Roman"/>
        </w:rPr>
        <w: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przez Wnioskodawcę do IZ RPO WD/do IZ RPO WD za pośrednictwem IP RPO WD:</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2795A73A"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 xml:space="preserve">IP RPO WD (w zakresie </w:t>
      </w:r>
      <w:r w:rsidR="003344F1">
        <w:rPr>
          <w:rFonts w:asciiTheme="minorHAnsi" w:eastAsia="Times New Roman" w:hAnsiTheme="minorHAnsi" w:cs="Times New Roman"/>
        </w:rPr>
        <w:t xml:space="preserve">etapów </w:t>
      </w:r>
      <w:r w:rsidRPr="00BA22E9">
        <w:rPr>
          <w:rFonts w:asciiTheme="minorHAnsi" w:eastAsia="Times New Roman" w:hAnsiTheme="minorHAnsi" w:cs="Times New Roman"/>
        </w:rPr>
        <w:t>oceny</w:t>
      </w:r>
      <w:r w:rsidR="003344F1">
        <w:rPr>
          <w:rFonts w:asciiTheme="minorHAnsi" w:eastAsia="Times New Roman" w:hAnsiTheme="minorHAnsi" w:cs="Times New Roman"/>
        </w:rPr>
        <w:t xml:space="preserve"> dokonywanej przez IP RPO WD</w:t>
      </w:r>
      <w:r w:rsidRPr="00BA22E9">
        <w:rPr>
          <w:rFonts w:asciiTheme="minorHAnsi" w:eastAsia="Times New Roman" w:hAnsiTheme="minorHAnsi" w:cs="Times New Roman"/>
        </w:rPr>
        <w: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228F9DB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 xml:space="preserve">IP RPO WD </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14:paraId="5AB371F1" w14:textId="77777777"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415BDC70" w14:textId="73D302BF"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lastRenderedPageBreak/>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IP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34" w:name="_Toc476727451"/>
      <w:r w:rsidRPr="00E46015">
        <w:t>Sposób podania do publicz</w:t>
      </w:r>
      <w:r w:rsidR="00E46015" w:rsidRPr="00E46015">
        <w:t>nej wiadomości wyników konkursu</w:t>
      </w:r>
      <w:bookmarkEnd w:id="34"/>
    </w:p>
    <w:p w14:paraId="3EEA668B" w14:textId="77777777" w:rsidR="00254703" w:rsidRPr="00BA22E9" w:rsidRDefault="00254703" w:rsidP="00FC6920">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8" w:history="1">
        <w:r w:rsidRPr="00BA22E9">
          <w:rPr>
            <w:rStyle w:val="Hipercze"/>
          </w:rPr>
          <w:t>www.rpo.dolnyslask.pl</w:t>
        </w:r>
      </w:hyperlink>
      <w:r w:rsidRPr="00BA22E9">
        <w:t xml:space="preserve"> a IP RPO WD na swojej: </w:t>
      </w:r>
      <w:hyperlink r:id="rId29" w:history="1">
        <w:r w:rsidRPr="00BA22E9">
          <w:rPr>
            <w:rFonts w:eastAsia="Times New Roman" w:cs="Times New Roman"/>
            <w:color w:val="0000FF"/>
            <w:u w:val="single"/>
            <w:lang w:eastAsia="pl-PL"/>
          </w:rPr>
          <w:t>www.zitwrof.pl</w:t>
        </w:r>
      </w:hyperlink>
      <w:r w:rsidR="00587B47">
        <w:rPr>
          <w:rFonts w:eastAsia="Times New Roman" w:cs="Times New Roman"/>
          <w:color w:val="0000FF"/>
          <w:u w:val="single"/>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t>
      </w:r>
      <w:r>
        <w:br/>
      </w:r>
      <w:r w:rsidRPr="00BA22E9">
        <w:t xml:space="preserve">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30"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4C3E00A7"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w:t>
      </w:r>
      <w:r w:rsidR="00BE4068">
        <w:rPr>
          <w:rFonts w:asciiTheme="minorHAnsi" w:hAnsiTheme="minorHAnsi"/>
        </w:rPr>
        <w:t>/IP RPO WD</w:t>
      </w:r>
      <w:r w:rsidRPr="00BA22E9">
        <w:rPr>
          <w:rFonts w:asciiTheme="minorHAnsi" w:hAnsiTheme="minorHAnsi"/>
        </w:rPr>
        <w:t xml:space="preserve">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77777777"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w:t>
      </w:r>
      <w:r w:rsidR="00D4254E">
        <w:rPr>
          <w:rFonts w:asciiTheme="minorHAnsi" w:hAnsiTheme="minorHAnsi"/>
          <w:sz w:val="22"/>
          <w:szCs w:val="22"/>
        </w:rPr>
        <w:t xml:space="preserve">oraz IP ZIT </w:t>
      </w:r>
      <w:proofErr w:type="spellStart"/>
      <w:r w:rsidR="00D4254E">
        <w:rPr>
          <w:rFonts w:asciiTheme="minorHAnsi" w:hAnsiTheme="minorHAnsi"/>
          <w:sz w:val="22"/>
          <w:szCs w:val="22"/>
        </w:rPr>
        <w:t>WrOF</w:t>
      </w:r>
      <w:proofErr w:type="spellEnd"/>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w:t>
      </w:r>
      <w:r w:rsidR="00D4254E">
        <w:rPr>
          <w:rFonts w:asciiTheme="minorHAnsi" w:hAnsiTheme="minorHAnsi"/>
          <w:sz w:val="22"/>
          <w:szCs w:val="22"/>
        </w:rPr>
        <w:t>ją</w:t>
      </w:r>
      <w:r w:rsidR="00D4254E" w:rsidRPr="00BA22E9">
        <w:rPr>
          <w:rFonts w:asciiTheme="minorHAnsi" w:hAnsiTheme="minorHAnsi"/>
          <w:sz w:val="22"/>
          <w:szCs w:val="22"/>
        </w:rPr>
        <w:t xml:space="preserve"> na swo</w:t>
      </w:r>
      <w:r w:rsidR="00D4254E">
        <w:rPr>
          <w:rFonts w:asciiTheme="minorHAnsi" w:hAnsiTheme="minorHAnsi"/>
          <w:sz w:val="22"/>
          <w:szCs w:val="22"/>
        </w:rPr>
        <w:t xml:space="preserve">ich stronach internetowych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35" w:name="_Toc476727452"/>
      <w:r w:rsidRPr="00A42758">
        <w:t>Informacje o sposobie postępowania z wnioskami o dofinansowanie po rozstrzygnięciu konkursu</w:t>
      </w:r>
      <w:bookmarkEnd w:id="35"/>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36" w:name="_Toc476727453"/>
      <w:r w:rsidRPr="00254703">
        <w:lastRenderedPageBreak/>
        <w:t>Forma i sposób udzielania wnioskodawcy wyjaśnień w kwestiach dotyczących konkursu</w:t>
      </w:r>
      <w:bookmarkEnd w:id="36"/>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577F9C" w:rsidP="00FC6920">
      <w:pPr>
        <w:spacing w:line="240" w:lineRule="auto"/>
        <w:jc w:val="center"/>
        <w:rPr>
          <w:b/>
        </w:rPr>
      </w:pPr>
      <w:hyperlink r:id="rId31" w:history="1">
        <w:r w:rsidR="003C4247" w:rsidRPr="00B27059">
          <w:rPr>
            <w:rStyle w:val="Hipercze"/>
            <w:b/>
          </w:rPr>
          <w:t>pife@dolnyslask.pl</w:t>
        </w:r>
      </w:hyperlink>
    </w:p>
    <w:p w14:paraId="6DC779F4" w14:textId="77777777" w:rsidR="002F2A0E" w:rsidRPr="00475153" w:rsidRDefault="002F2A0E" w:rsidP="00FC6920">
      <w:pPr>
        <w:autoSpaceDE w:val="0"/>
        <w:autoSpaceDN w:val="0"/>
        <w:adjustRightInd w:val="0"/>
        <w:spacing w:before="120" w:after="120" w:line="240" w:lineRule="auto"/>
        <w:jc w:val="both"/>
        <w:rPr>
          <w:rFonts w:cs="Calibri"/>
        </w:rPr>
      </w:pPr>
      <w:r w:rsidRPr="00475153">
        <w:rPr>
          <w:rFonts w:cs="Calibri"/>
        </w:rPr>
        <w:t xml:space="preserve">Zapytania do ZIT </w:t>
      </w:r>
      <w:proofErr w:type="spellStart"/>
      <w:r w:rsidRPr="00475153">
        <w:rPr>
          <w:rFonts w:cs="Calibri"/>
        </w:rPr>
        <w:t>WrOF</w:t>
      </w:r>
      <w:proofErr w:type="spellEnd"/>
      <w:r w:rsidRPr="00475153">
        <w:rPr>
          <w:rFonts w:cs="Calibri"/>
        </w:rPr>
        <w:t xml:space="preserve"> (w zakresie Strategii ZIT </w:t>
      </w:r>
      <w:proofErr w:type="spellStart"/>
      <w:r w:rsidRPr="00475153">
        <w:rPr>
          <w:rFonts w:cs="Calibri"/>
        </w:rPr>
        <w:t>WrOF</w:t>
      </w:r>
      <w:proofErr w:type="spellEnd"/>
      <w:r w:rsidRPr="00475153">
        <w:rPr>
          <w:rFonts w:cs="Calibri"/>
        </w:rPr>
        <w:t>) można składać za pomocą:</w:t>
      </w:r>
    </w:p>
    <w:p w14:paraId="189E71C4" w14:textId="77777777" w:rsidR="002F2A0E" w:rsidRPr="00475153" w:rsidRDefault="002F2A0E" w:rsidP="00FC6920">
      <w:pPr>
        <w:numPr>
          <w:ilvl w:val="0"/>
          <w:numId w:val="17"/>
        </w:numPr>
        <w:tabs>
          <w:tab w:val="clear" w:pos="1440"/>
          <w:tab w:val="num" w:pos="249"/>
          <w:tab w:val="num" w:pos="360"/>
        </w:tabs>
        <w:autoSpaceDE w:val="0"/>
        <w:autoSpaceDN w:val="0"/>
        <w:adjustRightInd w:val="0"/>
        <w:spacing w:before="120" w:after="120" w:line="240" w:lineRule="auto"/>
        <w:jc w:val="both"/>
        <w:rPr>
          <w:rFonts w:cs="Calibri"/>
          <w:lang w:val="en-US"/>
        </w:rPr>
      </w:pPr>
      <w:r w:rsidRPr="00475153">
        <w:rPr>
          <w:rFonts w:cs="Calibri"/>
          <w:lang w:val="en-US"/>
        </w:rPr>
        <w:t xml:space="preserve">E – </w:t>
      </w:r>
      <w:proofErr w:type="spellStart"/>
      <w:r w:rsidRPr="00475153">
        <w:rPr>
          <w:rFonts w:cs="Calibri"/>
          <w:lang w:val="en-US"/>
        </w:rPr>
        <w:t>maila</w:t>
      </w:r>
      <w:proofErr w:type="spellEnd"/>
      <w:r w:rsidRPr="00475153">
        <w:rPr>
          <w:rFonts w:cs="Calibri"/>
          <w:lang w:val="en-US"/>
        </w:rPr>
        <w:t>: zit@um.wroc.pl</w:t>
      </w:r>
    </w:p>
    <w:p w14:paraId="117F23E1" w14:textId="77777777" w:rsidR="002F2A0E" w:rsidRPr="00475153" w:rsidRDefault="002F2A0E" w:rsidP="00FC6920">
      <w:pPr>
        <w:numPr>
          <w:ilvl w:val="0"/>
          <w:numId w:val="17"/>
        </w:numPr>
        <w:tabs>
          <w:tab w:val="clear" w:pos="1440"/>
          <w:tab w:val="num" w:pos="249"/>
          <w:tab w:val="num" w:pos="360"/>
        </w:tabs>
        <w:autoSpaceDE w:val="0"/>
        <w:autoSpaceDN w:val="0"/>
        <w:adjustRightInd w:val="0"/>
        <w:spacing w:before="120" w:after="120" w:line="240" w:lineRule="auto"/>
        <w:jc w:val="both"/>
        <w:rPr>
          <w:rFonts w:cs="Calibri"/>
        </w:rPr>
      </w:pPr>
      <w:r>
        <w:rPr>
          <w:rFonts w:cs="Calibri"/>
        </w:rPr>
        <w:t>Telefonu: 71 777 7638</w:t>
      </w:r>
    </w:p>
    <w:p w14:paraId="559020A4" w14:textId="77777777" w:rsidR="002F2A0E" w:rsidRPr="00475153" w:rsidRDefault="002F2A0E" w:rsidP="00FC6920">
      <w:pPr>
        <w:numPr>
          <w:ilvl w:val="0"/>
          <w:numId w:val="17"/>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Bezpośrednio w siedzibie:</w:t>
      </w:r>
    </w:p>
    <w:p w14:paraId="15410C5F" w14:textId="77777777" w:rsidR="004731EE" w:rsidRDefault="004731EE" w:rsidP="00FC6920">
      <w:pPr>
        <w:autoSpaceDE w:val="0"/>
        <w:autoSpaceDN w:val="0"/>
        <w:adjustRightInd w:val="0"/>
        <w:spacing w:before="120" w:after="120" w:line="240" w:lineRule="auto"/>
        <w:jc w:val="both"/>
        <w:rPr>
          <w:rFonts w:cs="Calibri"/>
          <w:b/>
          <w:bCs/>
        </w:rPr>
      </w:pPr>
    </w:p>
    <w:p w14:paraId="7B84555A" w14:textId="77777777" w:rsidR="002F2A0E" w:rsidRPr="00475153" w:rsidRDefault="002F2A0E" w:rsidP="00893086">
      <w:pPr>
        <w:autoSpaceDE w:val="0"/>
        <w:autoSpaceDN w:val="0"/>
        <w:adjustRightInd w:val="0"/>
        <w:spacing w:before="120" w:after="120" w:line="240" w:lineRule="auto"/>
        <w:jc w:val="center"/>
        <w:rPr>
          <w:rFonts w:cs="Calibri"/>
          <w:b/>
          <w:bCs/>
        </w:rPr>
      </w:pPr>
      <w:r w:rsidRPr="00475153">
        <w:rPr>
          <w:rFonts w:cs="Calibri"/>
          <w:b/>
          <w:bCs/>
        </w:rPr>
        <w:t>Urząd Miejski Wrocławia</w:t>
      </w:r>
    </w:p>
    <w:p w14:paraId="1ECB4A6B" w14:textId="77777777" w:rsidR="002F2A0E" w:rsidRPr="00475153" w:rsidRDefault="002F2A0E" w:rsidP="00893086">
      <w:pPr>
        <w:autoSpaceDE w:val="0"/>
        <w:autoSpaceDN w:val="0"/>
        <w:adjustRightInd w:val="0"/>
        <w:spacing w:before="120" w:after="120" w:line="240" w:lineRule="auto"/>
        <w:jc w:val="center"/>
        <w:rPr>
          <w:rFonts w:cs="Calibri"/>
        </w:rPr>
      </w:pPr>
      <w:r w:rsidRPr="00475153">
        <w:rPr>
          <w:rFonts w:cs="Calibri"/>
        </w:rPr>
        <w:t>Wydział Zarządzania Funduszami</w:t>
      </w:r>
    </w:p>
    <w:p w14:paraId="77F2B3EC" w14:textId="77777777" w:rsidR="002F2A0E" w:rsidRPr="00475153" w:rsidRDefault="002F2A0E" w:rsidP="00893086">
      <w:pPr>
        <w:autoSpaceDE w:val="0"/>
        <w:autoSpaceDN w:val="0"/>
        <w:adjustRightInd w:val="0"/>
        <w:spacing w:before="120" w:after="120" w:line="240" w:lineRule="auto"/>
        <w:jc w:val="center"/>
        <w:rPr>
          <w:rFonts w:cs="Calibri"/>
        </w:rPr>
      </w:pPr>
      <w:r w:rsidRPr="00475153">
        <w:rPr>
          <w:rFonts w:cs="Calibri"/>
        </w:rPr>
        <w:t>ul. Świdnicka 53</w:t>
      </w:r>
    </w:p>
    <w:p w14:paraId="34ED68C2" w14:textId="77777777" w:rsidR="002F2A0E" w:rsidRPr="00475153" w:rsidRDefault="002F2A0E" w:rsidP="00893086">
      <w:pPr>
        <w:autoSpaceDE w:val="0"/>
        <w:autoSpaceDN w:val="0"/>
        <w:adjustRightInd w:val="0"/>
        <w:spacing w:before="120" w:after="120" w:line="240" w:lineRule="auto"/>
        <w:jc w:val="center"/>
        <w:rPr>
          <w:rFonts w:cs="Calibri"/>
        </w:rPr>
      </w:pPr>
      <w:r w:rsidRPr="00475153">
        <w:rPr>
          <w:rFonts w:cs="Calibri"/>
        </w:rPr>
        <w:t>53-030 Wrocław</w:t>
      </w:r>
    </w:p>
    <w:p w14:paraId="12D8B66B" w14:textId="77777777" w:rsidR="00254703" w:rsidRPr="00B27059" w:rsidRDefault="002F2A0E" w:rsidP="00893086">
      <w:pPr>
        <w:spacing w:before="120" w:after="120" w:line="240" w:lineRule="auto"/>
        <w:jc w:val="center"/>
        <w:rPr>
          <w:b/>
        </w:rPr>
      </w:pPr>
      <w:r>
        <w:rPr>
          <w:rFonts w:cs="Calibri"/>
        </w:rPr>
        <w:t xml:space="preserve">1 piętro, pokój </w:t>
      </w:r>
      <w:r w:rsidRPr="00475153">
        <w:rPr>
          <w:rFonts w:cs="Calibri"/>
        </w:rPr>
        <w:t>10</w:t>
      </w:r>
      <w:r>
        <w:rPr>
          <w:rFonts w:cs="Calibri"/>
        </w:rPr>
        <w:t>4</w:t>
      </w:r>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32"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3"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37" w:name="_Toc476727454"/>
      <w:r w:rsidRPr="00254703">
        <w:t>Orientacyjny t</w:t>
      </w:r>
      <w:r w:rsidR="00254703" w:rsidRPr="00254703">
        <w:t>ermin rozstrzygnięcia konkursu</w:t>
      </w:r>
      <w:bookmarkEnd w:id="37"/>
    </w:p>
    <w:p w14:paraId="7FA3B15F" w14:textId="77777777"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031E1D" w:rsidRPr="00E302AC">
        <w:rPr>
          <w:rFonts w:asciiTheme="minorHAnsi" w:hAnsiTheme="minorHAnsi"/>
          <w:color w:val="auto"/>
          <w:sz w:val="22"/>
          <w:szCs w:val="22"/>
        </w:rPr>
        <w:t xml:space="preserve">styczeń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38" w:name="_Toc476727455"/>
      <w:r w:rsidRPr="00254703">
        <w:t>Sytuacje, w których konkurs może zostać anul</w:t>
      </w:r>
      <w:r w:rsidR="00254703" w:rsidRPr="00254703">
        <w:t>owany lub zmieniony regulamin</w:t>
      </w:r>
      <w:bookmarkEnd w:id="38"/>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lastRenderedPageBreak/>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77777777"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9" w:name="_Toc425494883"/>
      <w:bookmarkEnd w:id="39"/>
      <w:r w:rsidR="00F40BEE">
        <w:t xml:space="preserve"> </w:t>
      </w:r>
      <w:r w:rsidRPr="00B27059">
        <w:t>internetow</w:t>
      </w:r>
      <w:r w:rsidR="00F40BEE">
        <w:t xml:space="preserve">ych </w:t>
      </w:r>
      <w:r w:rsidRPr="00B27059">
        <w:t xml:space="preserve"> </w:t>
      </w:r>
      <w:hyperlink r:id="rId34" w:history="1">
        <w:r w:rsidRPr="00B27059">
          <w:rPr>
            <w:rStyle w:val="Hipercze"/>
            <w:rFonts w:cs="Calibri"/>
          </w:rPr>
          <w:t>www.rpo.dolnyslask.pl</w:t>
        </w:r>
      </w:hyperlink>
      <w:r w:rsidR="00F40BEE">
        <w:t xml:space="preserve">, </w:t>
      </w:r>
      <w:hyperlink r:id="rId35" w:history="1">
        <w:r w:rsidR="005419DA" w:rsidRPr="00DB549E">
          <w:rPr>
            <w:rStyle w:val="Hipercze"/>
          </w:rPr>
          <w:t>www.zitwrof.pl</w:t>
        </w:r>
      </w:hyperlink>
      <w:r w:rsidRPr="00B27059">
        <w:t>.</w:t>
      </w:r>
    </w:p>
    <w:p w14:paraId="3BE0314D" w14:textId="77777777" w:rsidR="003C4247" w:rsidRPr="00254703" w:rsidRDefault="003C4247" w:rsidP="00650AF5">
      <w:pPr>
        <w:pStyle w:val="Nagwek1"/>
      </w:pPr>
      <w:bookmarkStart w:id="40" w:name="_Toc476727456"/>
      <w:r w:rsidRPr="00254703">
        <w:t>Postanowienie dotyczące możliwości zwiększenia kwoty przeznaczonej na dofinansowanie projektów w konkursie</w:t>
      </w:r>
      <w:bookmarkEnd w:id="40"/>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41" w:name="_Toc476727457"/>
      <w:r w:rsidRPr="00512FD5">
        <w:t>Kwalifikowalność wydatków</w:t>
      </w:r>
      <w:bookmarkEnd w:id="41"/>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6962EB">
      <w:pPr>
        <w:numPr>
          <w:ilvl w:val="0"/>
          <w:numId w:val="3"/>
        </w:numPr>
        <w:suppressAutoHyphens/>
        <w:spacing w:after="12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77777777"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1CD55CF0"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nastąpić później niż 24</w:t>
      </w:r>
      <w:r w:rsidR="0065292B" w:rsidRPr="00065755">
        <w:rPr>
          <w:rFonts w:ascii="Calibri" w:eastAsia="Calibri" w:hAnsi="Calibri" w:cs="Arial"/>
          <w:b/>
        </w:rPr>
        <w:t xml:space="preserve"> </w:t>
      </w:r>
      <w:r w:rsidR="00E302AC" w:rsidRPr="00065755">
        <w:rPr>
          <w:rFonts w:ascii="Calibri" w:eastAsia="Calibri" w:hAnsi="Calibri" w:cs="Arial"/>
          <w:b/>
        </w:rPr>
        <w:t>miesiąc</w:t>
      </w:r>
      <w:r w:rsidR="00E302AC">
        <w:rPr>
          <w:rFonts w:ascii="Calibri" w:eastAsia="Calibri" w:hAnsi="Calibri" w:cs="Arial"/>
          <w:b/>
        </w:rPr>
        <w:t>e</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w:t>
      </w:r>
      <w:r w:rsidR="00BE6296">
        <w:rPr>
          <w:rFonts w:ascii="Calibri" w:eastAsia="Calibri" w:hAnsi="Calibri" w:cs="Arial"/>
        </w:rPr>
        <w:br/>
      </w:r>
      <w:r w:rsidR="009772C4" w:rsidRPr="00065755">
        <w:rPr>
          <w:rFonts w:ascii="Calibri" w:eastAsia="Calibri" w:hAnsi="Calibri" w:cs="Arial"/>
        </w:rPr>
        <w:t xml:space="preserve">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lastRenderedPageBreak/>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6"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42" w:name="_Toc476727458"/>
      <w:r w:rsidRPr="003C247B">
        <w:t>Kwalifikowalność podatku VAT</w:t>
      </w:r>
      <w:bookmarkEnd w:id="42"/>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43" w:name="_Toc476727459"/>
      <w:r w:rsidRPr="00825425">
        <w:lastRenderedPageBreak/>
        <w:t>Polityka ochrony środowiska</w:t>
      </w:r>
      <w:bookmarkEnd w:id="43"/>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w:t>
      </w:r>
      <w:proofErr w:type="spellStart"/>
      <w:r w:rsidRPr="00130045">
        <w:rPr>
          <w:rFonts w:ascii="Calibri" w:eastAsia="Calibri" w:hAnsi="Calibri" w:cs="Times New Roman"/>
          <w:b/>
          <w:u w:val="single"/>
        </w:rPr>
        <w:t>ppkt</w:t>
      </w:r>
      <w:proofErr w:type="spellEnd"/>
      <w:r w:rsidRPr="00130045">
        <w:rPr>
          <w:rFonts w:ascii="Calibri" w:eastAsia="Calibri" w:hAnsi="Calibri" w:cs="Times New Roman"/>
          <w:b/>
          <w:u w:val="single"/>
        </w:rPr>
        <w:t xml:space="preserve">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77777777"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lastRenderedPageBreak/>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44" w:name="_Toc426632923"/>
      <w:bookmarkStart w:id="45" w:name="_Toc430826827"/>
      <w:bookmarkStart w:id="46" w:name="_Toc432758975"/>
      <w:bookmarkStart w:id="47" w:name="_Toc476727460"/>
      <w:r w:rsidRPr="003C247B">
        <w:t>Wymagania w zakresie realizacji projektu partnerskiego</w:t>
      </w:r>
      <w:bookmarkEnd w:id="44"/>
      <w:bookmarkEnd w:id="45"/>
      <w:bookmarkEnd w:id="46"/>
      <w:bookmarkEnd w:id="47"/>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7777777" w:rsidR="00FC2DA3" w:rsidRPr="00FC2DA3" w:rsidRDefault="003C247B" w:rsidP="00D02893">
      <w:pPr>
        <w:pStyle w:val="Akapitzlist"/>
        <w:numPr>
          <w:ilvl w:val="0"/>
          <w:numId w:val="4"/>
        </w:numPr>
        <w:autoSpaceDE w:val="0"/>
        <w:autoSpaceDN w:val="0"/>
        <w:adjustRightInd w:val="0"/>
        <w:spacing w:after="58" w:line="240" w:lineRule="auto"/>
        <w:jc w:val="both"/>
        <w:rPr>
          <w:rFonts w:asciiTheme="minorHAnsi" w:eastAsia="Droid Sans Fallback" w:hAnsiTheme="minorHAnsi" w:cs="Calibri"/>
          <w:i/>
          <w:color w:val="00000A"/>
        </w:rPr>
      </w:pPr>
      <w:r w:rsidRPr="00FC2DA3">
        <w:rPr>
          <w:rFonts w:ascii="Calibri" w:hAnsi="Calibri"/>
          <w:bCs/>
          <w:szCs w:val="22"/>
        </w:rPr>
        <w:t>Wyciąg z Kryteriów wyboru projektów</w:t>
      </w:r>
      <w:r w:rsidRPr="00FC2DA3">
        <w:rPr>
          <w:rFonts w:ascii="Calibri" w:hAnsi="Calibri"/>
          <w:szCs w:val="22"/>
        </w:rPr>
        <w:t xml:space="preserve"> zatwierdzonych Uchwałą nr </w:t>
      </w:r>
      <w:r w:rsidRPr="00FC2DA3">
        <w:rPr>
          <w:rFonts w:ascii="Calibri" w:hAnsi="Calibri"/>
          <w:color w:val="000000"/>
        </w:rPr>
        <w:t xml:space="preserve">2/15 </w:t>
      </w:r>
      <w:r w:rsidRPr="00FC2DA3">
        <w:rPr>
          <w:rFonts w:ascii="Calibri" w:hAnsi="Calibri"/>
          <w:szCs w:val="22"/>
        </w:rPr>
        <w:t xml:space="preserve">Komitetu Monitorującego RPO WD 2014-2020 </w:t>
      </w:r>
      <w:r w:rsidRPr="00FC2DA3">
        <w:rPr>
          <w:rFonts w:ascii="Calibri" w:hAnsi="Calibri"/>
          <w:color w:val="000000"/>
        </w:rPr>
        <w:t xml:space="preserve">z dnia 6 maja 2015 r. z </w:t>
      </w:r>
      <w:proofErr w:type="spellStart"/>
      <w:r w:rsidRPr="00FC2DA3">
        <w:rPr>
          <w:rFonts w:ascii="Calibri" w:hAnsi="Calibri"/>
          <w:color w:val="000000"/>
        </w:rPr>
        <w:t>późn</w:t>
      </w:r>
      <w:proofErr w:type="spellEnd"/>
      <w:r w:rsidRPr="00FC2DA3">
        <w:rPr>
          <w:rFonts w:ascii="Calibri" w:hAnsi="Calibri"/>
          <w:color w:val="000000"/>
        </w:rPr>
        <w:t xml:space="preserve">. zm. </w:t>
      </w:r>
      <w:r w:rsidR="003C4247" w:rsidRPr="00FC2DA3">
        <w:rPr>
          <w:rFonts w:asciiTheme="minorHAnsi" w:hAnsiTheme="minorHAnsi"/>
          <w:szCs w:val="22"/>
        </w:rPr>
        <w:t>ob</w:t>
      </w:r>
      <w:r w:rsidR="00FC2DA3" w:rsidRPr="00FC2DA3">
        <w:rPr>
          <w:rFonts w:asciiTheme="minorHAnsi" w:hAnsiTheme="minorHAnsi"/>
          <w:szCs w:val="22"/>
        </w:rPr>
        <w:t>owiązujący w niniejszym naborze;</w:t>
      </w:r>
    </w:p>
    <w:p w14:paraId="580C2615" w14:textId="77777777" w:rsidR="00CE682A" w:rsidRPr="00FC2DA3" w:rsidRDefault="00CE682A" w:rsidP="00FC2DA3">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FC2DA3">
        <w:rPr>
          <w:rFonts w:asciiTheme="minorHAnsi" w:hAnsiTheme="minorHAnsi" w:cs="Calibri"/>
          <w:color w:val="000000"/>
        </w:rPr>
        <w:t xml:space="preserve">Lista wskaźników na poziomie projektu dla działania </w:t>
      </w:r>
      <w:r w:rsidR="00161296" w:rsidRPr="00FC2DA3">
        <w:rPr>
          <w:rFonts w:asciiTheme="minorHAnsi" w:hAnsiTheme="minorHAnsi" w:cs="Calibri"/>
          <w:color w:val="000000"/>
        </w:rPr>
        <w:t>3.</w:t>
      </w:r>
      <w:r w:rsidRPr="00FC2DA3">
        <w:rPr>
          <w:rFonts w:asciiTheme="minorHAnsi" w:hAnsiTheme="minorHAnsi" w:cs="Calibri"/>
          <w:color w:val="000000"/>
        </w:rPr>
        <w:t>4</w:t>
      </w:r>
      <w:r w:rsidR="00161296" w:rsidRPr="00FC2DA3">
        <w:rPr>
          <w:rFonts w:asciiTheme="minorHAnsi" w:hAnsiTheme="minorHAnsi" w:cs="Calibri"/>
          <w:color w:val="000000"/>
        </w:rPr>
        <w:t xml:space="preserve"> </w:t>
      </w:r>
      <w:r w:rsidR="00161296" w:rsidRPr="00FC2DA3">
        <w:rPr>
          <w:rFonts w:asciiTheme="minorHAnsi" w:hAnsiTheme="minorHAnsi" w:cs="Arial"/>
          <w:bCs/>
        </w:rPr>
        <w:t>Wdrażanie strategii niskoemisyjnych</w:t>
      </w:r>
      <w:r w:rsidRPr="00FC2DA3">
        <w:rPr>
          <w:rFonts w:asciiTheme="minorHAnsi" w:hAnsiTheme="minorHAnsi" w:cs="Arial"/>
        </w:rPr>
        <w:t>;</w:t>
      </w:r>
    </w:p>
    <w:p w14:paraId="651DD8EE" w14:textId="77777777" w:rsidR="00FC2DA3" w:rsidRPr="00FC2DA3" w:rsidRDefault="00FC2DA3" w:rsidP="00FC2DA3">
      <w:pPr>
        <w:pStyle w:val="Akapitzlist"/>
        <w:numPr>
          <w:ilvl w:val="0"/>
          <w:numId w:val="4"/>
        </w:numPr>
        <w:spacing w:before="0" w:line="240" w:lineRule="auto"/>
        <w:jc w:val="both"/>
        <w:rPr>
          <w:rFonts w:asciiTheme="minorHAnsi" w:hAnsiTheme="minorHAnsi" w:cs="Calibri"/>
          <w:szCs w:val="22"/>
        </w:rPr>
      </w:pPr>
      <w:r>
        <w:rPr>
          <w:rFonts w:asciiTheme="minorHAnsi" w:hAnsiTheme="minorHAnsi" w:cs="Calibri"/>
          <w:szCs w:val="22"/>
        </w:rPr>
        <w:t xml:space="preserve">Załącznik </w:t>
      </w:r>
      <w:r w:rsidRPr="001653A9">
        <w:rPr>
          <w:rFonts w:asciiTheme="minorHAnsi" w:hAnsiTheme="minorHAnsi" w:cs="Calibri"/>
          <w:szCs w:val="22"/>
        </w:rPr>
        <w:t xml:space="preserve">Powierzchnia, ludność oraz lokaty według miast (tabela 27 z opracowania Głównego Urzędu Statystycznego „Powierzchnia i ludność </w:t>
      </w:r>
      <w:r w:rsidR="000C6373">
        <w:rPr>
          <w:rFonts w:asciiTheme="minorHAnsi" w:hAnsiTheme="minorHAnsi" w:cs="Calibri"/>
          <w:szCs w:val="22"/>
        </w:rPr>
        <w:t>w przekroju terytorialnym w 2016</w:t>
      </w:r>
      <w:r w:rsidRPr="001653A9">
        <w:rPr>
          <w:rFonts w:asciiTheme="minorHAnsi" w:hAnsiTheme="minorHAnsi" w:cs="Calibri"/>
          <w:szCs w:val="22"/>
        </w:rPr>
        <w:t xml:space="preserve"> r.”).</w:t>
      </w:r>
    </w:p>
    <w:p w14:paraId="4518127B" w14:textId="77777777" w:rsidR="008A5379" w:rsidRPr="003C4247" w:rsidRDefault="008A5379" w:rsidP="00FC6920">
      <w:pPr>
        <w:spacing w:line="240" w:lineRule="auto"/>
        <w:ind w:firstLine="708"/>
      </w:pPr>
    </w:p>
    <w:sectPr w:rsidR="008A5379" w:rsidRPr="003C4247" w:rsidSect="005D6D57">
      <w:footerReference w:type="default" r:id="rId37"/>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D408" w14:textId="77777777" w:rsidR="00577F9C" w:rsidRDefault="00577F9C" w:rsidP="003C4247">
      <w:pPr>
        <w:spacing w:after="0" w:line="240" w:lineRule="auto"/>
      </w:pPr>
      <w:r>
        <w:separator/>
      </w:r>
    </w:p>
  </w:endnote>
  <w:endnote w:type="continuationSeparator" w:id="0">
    <w:p w14:paraId="58207C16" w14:textId="77777777" w:rsidR="00577F9C" w:rsidRDefault="00577F9C"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74999"/>
      <w:docPartObj>
        <w:docPartGallery w:val="Page Numbers (Bottom of Page)"/>
        <w:docPartUnique/>
      </w:docPartObj>
    </w:sdtPr>
    <w:sdtContent>
      <w:sdt>
        <w:sdtPr>
          <w:id w:val="860082579"/>
          <w:docPartObj>
            <w:docPartGallery w:val="Page Numbers (Top of Page)"/>
            <w:docPartUnique/>
          </w:docPartObj>
        </w:sdtPr>
        <w:sdtContent>
          <w:p w14:paraId="091C4CF5" w14:textId="364FBCA7" w:rsidR="00577F9C" w:rsidRDefault="00577F9C"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835AD3">
              <w:rPr>
                <w:b/>
                <w:bCs/>
                <w:noProof/>
                <w:sz w:val="18"/>
                <w:szCs w:val="18"/>
              </w:rPr>
              <w:t>20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835AD3">
              <w:rPr>
                <w:b/>
                <w:bCs/>
                <w:noProof/>
                <w:sz w:val="18"/>
                <w:szCs w:val="18"/>
              </w:rPr>
              <w:t>28</w:t>
            </w:r>
            <w:r w:rsidRPr="008C4AF0">
              <w:rPr>
                <w:b/>
                <w:bCs/>
                <w:sz w:val="18"/>
                <w:szCs w:val="18"/>
              </w:rPr>
              <w:fldChar w:fldCharType="end"/>
            </w:r>
          </w:p>
        </w:sdtContent>
      </w:sdt>
    </w:sdtContent>
  </w:sdt>
  <w:p w14:paraId="1DC0FF97" w14:textId="77777777" w:rsidR="00577F9C" w:rsidRDefault="00577F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4277" w14:textId="77777777" w:rsidR="00577F9C" w:rsidRDefault="00577F9C" w:rsidP="003C4247">
      <w:pPr>
        <w:spacing w:after="0" w:line="240" w:lineRule="auto"/>
      </w:pPr>
      <w:r>
        <w:separator/>
      </w:r>
    </w:p>
  </w:footnote>
  <w:footnote w:type="continuationSeparator" w:id="0">
    <w:p w14:paraId="7969AAF6" w14:textId="77777777" w:rsidR="00577F9C" w:rsidRDefault="00577F9C" w:rsidP="003C4247">
      <w:pPr>
        <w:spacing w:after="0" w:line="240" w:lineRule="auto"/>
      </w:pPr>
      <w:r>
        <w:continuationSeparator/>
      </w:r>
    </w:p>
  </w:footnote>
  <w:footnote w:id="1">
    <w:p w14:paraId="23F6A15A" w14:textId="77777777" w:rsidR="00577F9C" w:rsidRPr="00B12849" w:rsidRDefault="00577F9C"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skład </w:t>
      </w:r>
      <w:r w:rsidRPr="00B12849">
        <w:rPr>
          <w:rFonts w:cs="Arial"/>
          <w:sz w:val="20"/>
          <w:szCs w:val="20"/>
          <w:u w:val="single"/>
        </w:rPr>
        <w:t xml:space="preserve">Wrocławskiego Obszaru Funkcjonalnego określonego w Strategii ZIT </w:t>
      </w:r>
      <w:proofErr w:type="spellStart"/>
      <w:r w:rsidRPr="00B12849">
        <w:rPr>
          <w:rFonts w:cs="Arial"/>
          <w:sz w:val="20"/>
          <w:szCs w:val="20"/>
          <w:u w:val="single"/>
        </w:rPr>
        <w:t>WrOF</w:t>
      </w:r>
      <w:proofErr w:type="spellEnd"/>
      <w:r w:rsidRPr="00B12849">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w:t>
      </w:r>
      <w:r>
        <w:rPr>
          <w:rFonts w:cs="Calibri"/>
          <w:sz w:val="20"/>
          <w:szCs w:val="20"/>
        </w:rPr>
        <w:t>,</w:t>
      </w:r>
      <w:r w:rsidRPr="00B12849">
        <w:rPr>
          <w:rFonts w:cs="Calibri"/>
          <w:sz w:val="20"/>
          <w:szCs w:val="20"/>
        </w:rPr>
        <w:t xml:space="preserve"> Gmina Wisznia Mała, Gmina Żórawina, Gmina Oborniki Śląskie.</w:t>
      </w:r>
    </w:p>
    <w:p w14:paraId="4798B02B" w14:textId="77777777" w:rsidR="00577F9C" w:rsidRDefault="00577F9C">
      <w:pPr>
        <w:pStyle w:val="Tekstprzypisudolnego"/>
      </w:pPr>
    </w:p>
  </w:footnote>
  <w:footnote w:id="2">
    <w:p w14:paraId="47AB3D7C" w14:textId="77777777" w:rsidR="00577F9C" w:rsidRPr="006B1C24" w:rsidRDefault="00577F9C" w:rsidP="00FC737A">
      <w:pPr>
        <w:pStyle w:val="Tekstprzypisudolnego"/>
        <w:rPr>
          <w:rFonts w:asciiTheme="minorHAnsi" w:hAnsiTheme="minorHAnsi"/>
          <w:sz w:val="18"/>
        </w:rPr>
      </w:pPr>
      <w:r>
        <w:rPr>
          <w:rStyle w:val="Odwoanieprzypisudolnego"/>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3"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21"/>
  </w:num>
  <w:num w:numId="5">
    <w:abstractNumId w:val="29"/>
  </w:num>
  <w:num w:numId="6">
    <w:abstractNumId w:val="0"/>
  </w:num>
  <w:num w:numId="7">
    <w:abstractNumId w:val="3"/>
  </w:num>
  <w:num w:numId="8">
    <w:abstractNumId w:val="20"/>
  </w:num>
  <w:num w:numId="9">
    <w:abstractNumId w:val="20"/>
    <w:lvlOverride w:ilvl="0">
      <w:startOverride w:val="1"/>
    </w:lvlOverride>
  </w:num>
  <w:num w:numId="10">
    <w:abstractNumId w:val="8"/>
  </w:num>
  <w:num w:numId="11">
    <w:abstractNumId w:val="35"/>
  </w:num>
  <w:num w:numId="12">
    <w:abstractNumId w:val="19"/>
  </w:num>
  <w:num w:numId="13">
    <w:abstractNumId w:val="3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36"/>
  </w:num>
  <w:num w:numId="18">
    <w:abstractNumId w:val="7"/>
  </w:num>
  <w:num w:numId="19">
    <w:abstractNumId w:val="38"/>
  </w:num>
  <w:num w:numId="20">
    <w:abstractNumId w:val="5"/>
  </w:num>
  <w:num w:numId="21">
    <w:abstractNumId w:val="22"/>
  </w:num>
  <w:num w:numId="22">
    <w:abstractNumId w:val="31"/>
  </w:num>
  <w:num w:numId="23">
    <w:abstractNumId w:val="9"/>
  </w:num>
  <w:num w:numId="24">
    <w:abstractNumId w:val="4"/>
  </w:num>
  <w:num w:numId="25">
    <w:abstractNumId w:val="1"/>
  </w:num>
  <w:num w:numId="26">
    <w:abstractNumId w:val="26"/>
  </w:num>
  <w:num w:numId="27">
    <w:abstractNumId w:val="25"/>
  </w:num>
  <w:num w:numId="28">
    <w:abstractNumId w:val="34"/>
  </w:num>
  <w:num w:numId="29">
    <w:abstractNumId w:val="23"/>
  </w:num>
  <w:num w:numId="30">
    <w:abstractNumId w:val="27"/>
  </w:num>
  <w:num w:numId="31">
    <w:abstractNumId w:val="30"/>
  </w:num>
  <w:num w:numId="32">
    <w:abstractNumId w:val="12"/>
  </w:num>
  <w:num w:numId="33">
    <w:abstractNumId w:val="24"/>
  </w:num>
  <w:num w:numId="34">
    <w:abstractNumId w:val="18"/>
  </w:num>
  <w:num w:numId="35">
    <w:abstractNumId w:val="28"/>
  </w:num>
  <w:num w:numId="36">
    <w:abstractNumId w:val="33"/>
  </w:num>
  <w:num w:numId="37">
    <w:abstractNumId w:val="6"/>
  </w:num>
  <w:num w:numId="38">
    <w:abstractNumId w:val="11"/>
  </w:num>
  <w:num w:numId="39">
    <w:abstractNumId w:val="3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7"/>
    <w:rsid w:val="00002DC3"/>
    <w:rsid w:val="00006701"/>
    <w:rsid w:val="000121ED"/>
    <w:rsid w:val="00025135"/>
    <w:rsid w:val="00025709"/>
    <w:rsid w:val="0002783E"/>
    <w:rsid w:val="00031E1D"/>
    <w:rsid w:val="00034C10"/>
    <w:rsid w:val="000468CC"/>
    <w:rsid w:val="00065755"/>
    <w:rsid w:val="0007544D"/>
    <w:rsid w:val="00077296"/>
    <w:rsid w:val="00080C9F"/>
    <w:rsid w:val="000919B3"/>
    <w:rsid w:val="00094600"/>
    <w:rsid w:val="000A0673"/>
    <w:rsid w:val="000B3CCB"/>
    <w:rsid w:val="000B51B2"/>
    <w:rsid w:val="000B5E44"/>
    <w:rsid w:val="000B6646"/>
    <w:rsid w:val="000C0091"/>
    <w:rsid w:val="000C6373"/>
    <w:rsid w:val="000D5D17"/>
    <w:rsid w:val="000E1394"/>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81082"/>
    <w:rsid w:val="0019110D"/>
    <w:rsid w:val="00193154"/>
    <w:rsid w:val="001A0CC1"/>
    <w:rsid w:val="001A76C3"/>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7721F"/>
    <w:rsid w:val="002859FC"/>
    <w:rsid w:val="00293188"/>
    <w:rsid w:val="0029433D"/>
    <w:rsid w:val="00295647"/>
    <w:rsid w:val="00297A32"/>
    <w:rsid w:val="002B2F84"/>
    <w:rsid w:val="002B66EC"/>
    <w:rsid w:val="002D2417"/>
    <w:rsid w:val="002D4CED"/>
    <w:rsid w:val="002E6DAF"/>
    <w:rsid w:val="002F2A0E"/>
    <w:rsid w:val="002F4407"/>
    <w:rsid w:val="002F6A2E"/>
    <w:rsid w:val="00302A83"/>
    <w:rsid w:val="00304A28"/>
    <w:rsid w:val="003146FB"/>
    <w:rsid w:val="0032097F"/>
    <w:rsid w:val="0032187B"/>
    <w:rsid w:val="00321BB1"/>
    <w:rsid w:val="00325954"/>
    <w:rsid w:val="00332299"/>
    <w:rsid w:val="003336F9"/>
    <w:rsid w:val="003344F1"/>
    <w:rsid w:val="00355C2B"/>
    <w:rsid w:val="00364892"/>
    <w:rsid w:val="00364C8F"/>
    <w:rsid w:val="00365EE3"/>
    <w:rsid w:val="00380CB6"/>
    <w:rsid w:val="00381FCF"/>
    <w:rsid w:val="00382A26"/>
    <w:rsid w:val="003857A6"/>
    <w:rsid w:val="00386D86"/>
    <w:rsid w:val="00391287"/>
    <w:rsid w:val="00394171"/>
    <w:rsid w:val="003976D7"/>
    <w:rsid w:val="003A6642"/>
    <w:rsid w:val="003A71AC"/>
    <w:rsid w:val="003C23AC"/>
    <w:rsid w:val="003C247B"/>
    <w:rsid w:val="003C4247"/>
    <w:rsid w:val="003E0B50"/>
    <w:rsid w:val="003F1219"/>
    <w:rsid w:val="00400DBD"/>
    <w:rsid w:val="00401B30"/>
    <w:rsid w:val="00401F8A"/>
    <w:rsid w:val="00402B0D"/>
    <w:rsid w:val="004101D2"/>
    <w:rsid w:val="00411890"/>
    <w:rsid w:val="00411D37"/>
    <w:rsid w:val="00413A28"/>
    <w:rsid w:val="00424A53"/>
    <w:rsid w:val="00426037"/>
    <w:rsid w:val="00426DC7"/>
    <w:rsid w:val="00442D08"/>
    <w:rsid w:val="00454534"/>
    <w:rsid w:val="00472EB4"/>
    <w:rsid w:val="004731EE"/>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10593"/>
    <w:rsid w:val="0051114A"/>
    <w:rsid w:val="00511DC9"/>
    <w:rsid w:val="00512FD5"/>
    <w:rsid w:val="00513A65"/>
    <w:rsid w:val="0054153C"/>
    <w:rsid w:val="005419DA"/>
    <w:rsid w:val="005425BB"/>
    <w:rsid w:val="0055021C"/>
    <w:rsid w:val="00565B92"/>
    <w:rsid w:val="00566676"/>
    <w:rsid w:val="00570F03"/>
    <w:rsid w:val="00576EA6"/>
    <w:rsid w:val="00576FB6"/>
    <w:rsid w:val="00577F9C"/>
    <w:rsid w:val="005826BA"/>
    <w:rsid w:val="00587B47"/>
    <w:rsid w:val="005938A9"/>
    <w:rsid w:val="005C1CC3"/>
    <w:rsid w:val="005C3B3B"/>
    <w:rsid w:val="005C5049"/>
    <w:rsid w:val="005C5BE8"/>
    <w:rsid w:val="005D2E6E"/>
    <w:rsid w:val="005D6D57"/>
    <w:rsid w:val="005E6D3B"/>
    <w:rsid w:val="005E7EAA"/>
    <w:rsid w:val="006107FA"/>
    <w:rsid w:val="006122A8"/>
    <w:rsid w:val="00615158"/>
    <w:rsid w:val="006165EF"/>
    <w:rsid w:val="0062186B"/>
    <w:rsid w:val="0062382B"/>
    <w:rsid w:val="00624A3C"/>
    <w:rsid w:val="00625E92"/>
    <w:rsid w:val="00626229"/>
    <w:rsid w:val="00650AF5"/>
    <w:rsid w:val="0065292B"/>
    <w:rsid w:val="006577C0"/>
    <w:rsid w:val="00660937"/>
    <w:rsid w:val="006827A4"/>
    <w:rsid w:val="0069559F"/>
    <w:rsid w:val="006962EB"/>
    <w:rsid w:val="006B0F59"/>
    <w:rsid w:val="006B1C24"/>
    <w:rsid w:val="006B71CD"/>
    <w:rsid w:val="006C04D9"/>
    <w:rsid w:val="006C17C7"/>
    <w:rsid w:val="006C6DB8"/>
    <w:rsid w:val="006D05C3"/>
    <w:rsid w:val="006E2C1E"/>
    <w:rsid w:val="0070117F"/>
    <w:rsid w:val="00703A28"/>
    <w:rsid w:val="00705727"/>
    <w:rsid w:val="00705B1C"/>
    <w:rsid w:val="00707129"/>
    <w:rsid w:val="0072388D"/>
    <w:rsid w:val="007251BB"/>
    <w:rsid w:val="00742E34"/>
    <w:rsid w:val="00745DB3"/>
    <w:rsid w:val="0075059D"/>
    <w:rsid w:val="00760667"/>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659A"/>
    <w:rsid w:val="00877C21"/>
    <w:rsid w:val="00883B46"/>
    <w:rsid w:val="00892819"/>
    <w:rsid w:val="00893086"/>
    <w:rsid w:val="00895892"/>
    <w:rsid w:val="008A5379"/>
    <w:rsid w:val="008A7147"/>
    <w:rsid w:val="008C4AF0"/>
    <w:rsid w:val="008C73C9"/>
    <w:rsid w:val="008D5F22"/>
    <w:rsid w:val="008E130C"/>
    <w:rsid w:val="008F208B"/>
    <w:rsid w:val="008F7F6F"/>
    <w:rsid w:val="00907113"/>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175A"/>
    <w:rsid w:val="00A90B31"/>
    <w:rsid w:val="00A91696"/>
    <w:rsid w:val="00A92147"/>
    <w:rsid w:val="00AA0271"/>
    <w:rsid w:val="00AA0D48"/>
    <w:rsid w:val="00AA1B65"/>
    <w:rsid w:val="00AA2438"/>
    <w:rsid w:val="00AA48B6"/>
    <w:rsid w:val="00AB027E"/>
    <w:rsid w:val="00AC3170"/>
    <w:rsid w:val="00AC3CA4"/>
    <w:rsid w:val="00AC756C"/>
    <w:rsid w:val="00AD0959"/>
    <w:rsid w:val="00AD1B08"/>
    <w:rsid w:val="00AD5E37"/>
    <w:rsid w:val="00AE6852"/>
    <w:rsid w:val="00AF71FB"/>
    <w:rsid w:val="00B01C2E"/>
    <w:rsid w:val="00B0351C"/>
    <w:rsid w:val="00B12849"/>
    <w:rsid w:val="00B23CB6"/>
    <w:rsid w:val="00B30CD3"/>
    <w:rsid w:val="00B53E29"/>
    <w:rsid w:val="00B5537C"/>
    <w:rsid w:val="00B55385"/>
    <w:rsid w:val="00B55C32"/>
    <w:rsid w:val="00B719C1"/>
    <w:rsid w:val="00B71A84"/>
    <w:rsid w:val="00B756C2"/>
    <w:rsid w:val="00B84CA1"/>
    <w:rsid w:val="00B86AA6"/>
    <w:rsid w:val="00B91D6A"/>
    <w:rsid w:val="00B93768"/>
    <w:rsid w:val="00BA5C1C"/>
    <w:rsid w:val="00BA641E"/>
    <w:rsid w:val="00BB4F65"/>
    <w:rsid w:val="00BC6321"/>
    <w:rsid w:val="00BE0779"/>
    <w:rsid w:val="00BE4068"/>
    <w:rsid w:val="00BE6296"/>
    <w:rsid w:val="00BE70B0"/>
    <w:rsid w:val="00BF1E78"/>
    <w:rsid w:val="00C06F4A"/>
    <w:rsid w:val="00C2034E"/>
    <w:rsid w:val="00C255F2"/>
    <w:rsid w:val="00C27DA1"/>
    <w:rsid w:val="00C414C6"/>
    <w:rsid w:val="00C4214D"/>
    <w:rsid w:val="00C450B8"/>
    <w:rsid w:val="00C5109A"/>
    <w:rsid w:val="00C53CB5"/>
    <w:rsid w:val="00C61697"/>
    <w:rsid w:val="00C62337"/>
    <w:rsid w:val="00C64112"/>
    <w:rsid w:val="00C746C9"/>
    <w:rsid w:val="00C8138E"/>
    <w:rsid w:val="00C82274"/>
    <w:rsid w:val="00C827C6"/>
    <w:rsid w:val="00C906AD"/>
    <w:rsid w:val="00C94C61"/>
    <w:rsid w:val="00CA7A02"/>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30D1B"/>
    <w:rsid w:val="00D41590"/>
    <w:rsid w:val="00D41D2F"/>
    <w:rsid w:val="00D42394"/>
    <w:rsid w:val="00D4254E"/>
    <w:rsid w:val="00D42560"/>
    <w:rsid w:val="00D43DEB"/>
    <w:rsid w:val="00D64F89"/>
    <w:rsid w:val="00D67B1B"/>
    <w:rsid w:val="00D84422"/>
    <w:rsid w:val="00D86581"/>
    <w:rsid w:val="00D95462"/>
    <w:rsid w:val="00D96666"/>
    <w:rsid w:val="00D9714E"/>
    <w:rsid w:val="00DA1073"/>
    <w:rsid w:val="00DA454B"/>
    <w:rsid w:val="00DB0EEB"/>
    <w:rsid w:val="00DB106F"/>
    <w:rsid w:val="00DB6F0D"/>
    <w:rsid w:val="00DC78D4"/>
    <w:rsid w:val="00DD0FEF"/>
    <w:rsid w:val="00DD7050"/>
    <w:rsid w:val="00DE3D77"/>
    <w:rsid w:val="00DE6F60"/>
    <w:rsid w:val="00DE6FBE"/>
    <w:rsid w:val="00DF262D"/>
    <w:rsid w:val="00DF5FCB"/>
    <w:rsid w:val="00E06EAA"/>
    <w:rsid w:val="00E15BC1"/>
    <w:rsid w:val="00E3015F"/>
    <w:rsid w:val="00E302AC"/>
    <w:rsid w:val="00E34955"/>
    <w:rsid w:val="00E3612D"/>
    <w:rsid w:val="00E4552A"/>
    <w:rsid w:val="00E46015"/>
    <w:rsid w:val="00E622A8"/>
    <w:rsid w:val="00E75E69"/>
    <w:rsid w:val="00E840E1"/>
    <w:rsid w:val="00E87349"/>
    <w:rsid w:val="00E87558"/>
    <w:rsid w:val="00E9735E"/>
    <w:rsid w:val="00EB2794"/>
    <w:rsid w:val="00EE1E9F"/>
    <w:rsid w:val="00EE69CC"/>
    <w:rsid w:val="00EF12B3"/>
    <w:rsid w:val="00EF26F7"/>
    <w:rsid w:val="00EF50DE"/>
    <w:rsid w:val="00EF56AE"/>
    <w:rsid w:val="00F02146"/>
    <w:rsid w:val="00F23B34"/>
    <w:rsid w:val="00F2459D"/>
    <w:rsid w:val="00F306F3"/>
    <w:rsid w:val="00F40A54"/>
    <w:rsid w:val="00F40BEE"/>
    <w:rsid w:val="00F4345D"/>
    <w:rsid w:val="00F43B82"/>
    <w:rsid w:val="00F526B3"/>
    <w:rsid w:val="00F541E3"/>
    <w:rsid w:val="00F575C3"/>
    <w:rsid w:val="00F71AF1"/>
    <w:rsid w:val="00F73963"/>
    <w:rsid w:val="00F770FC"/>
    <w:rsid w:val="00F771C1"/>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2D399AB4-0402-42CA-B9A8-D4E221B3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styleId="Wzmianka">
    <w:name w:val="Mention"/>
    <w:basedOn w:val="Domylnaczcionkaakapitu"/>
    <w:uiPriority w:val="99"/>
    <w:semiHidden/>
    <w:unhideWhenUsed/>
    <w:rsid w:val="00F771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imada.mos.gov.pl" TargetMode="External"/><Relationship Id="rId18" Type="http://schemas.openxmlformats.org/officeDocument/2006/relationships/hyperlink" Target="https://snow-umwd.dolnyslask.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http://&#8230;&#8230;&#8230;&#8230;&#8230;&#8230;&#82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rpo.dolnyslask.pl/skorzystaj-2-2-2/skorzystaj-2/" TargetMode="External"/><Relationship Id="rId29" Type="http://schemas.openxmlformats.org/officeDocument/2006/relationships/hyperlink" Target="http://www.zitwrof.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8230;&#8230;&#8230;&#8230;&#8230;&#8230;&#823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www.rpo.dolnyslask.pl" TargetMode="External"/><Relationship Id="rId36" Type="http://schemas.openxmlformats.org/officeDocument/2006/relationships/hyperlink" Target="http://www.bazakonkurencyjnosci.funduszeeuropejskie.gov.pl" TargetMode="External"/><Relationship Id="rId10" Type="http://schemas.openxmlformats.org/officeDocument/2006/relationships/hyperlink" Target="http://www.zitwrof.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zitwrof.pl" TargetMode="External"/><Relationship Id="rId27" Type="http://schemas.openxmlformats.org/officeDocument/2006/relationships/hyperlink" Target="http://www.funduszeeuropejskie.gov.pl/media/8776/metodyka_dostepnosci_cenowej.pdf" TargetMode="External"/><Relationship Id="rId30" Type="http://schemas.openxmlformats.org/officeDocument/2006/relationships/hyperlink" Target="http://www.funduszeeuropejskie.gov.pl" TargetMode="External"/><Relationship Id="rId35"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6702-BC00-4DEF-B108-A6054C6B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28</Pages>
  <Words>12607</Words>
  <Characters>75642</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77</cp:revision>
  <cp:lastPrinted>2017-05-16T09:57:00Z</cp:lastPrinted>
  <dcterms:created xsi:type="dcterms:W3CDTF">2017-05-09T09:25:00Z</dcterms:created>
  <dcterms:modified xsi:type="dcterms:W3CDTF">2017-05-16T10:38:00Z</dcterms:modified>
</cp:coreProperties>
</file>