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3" w:rsidRPr="00E71843" w:rsidRDefault="00E71843" w:rsidP="00E71843">
      <w:pPr>
        <w:pStyle w:val="Akapitzlist"/>
        <w:autoSpaceDE w:val="0"/>
        <w:autoSpaceDN w:val="0"/>
        <w:adjustRightInd w:val="0"/>
        <w:spacing w:after="58" w:line="240" w:lineRule="auto"/>
        <w:ind w:left="360"/>
        <w:jc w:val="center"/>
        <w:rPr>
          <w:rFonts w:ascii="Calibri" w:hAnsi="Calibri"/>
          <w:b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E71843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dla </w:t>
      </w:r>
      <w:r w:rsidRPr="00E71843">
        <w:rPr>
          <w:rFonts w:ascii="Calibri" w:hAnsi="Calibri"/>
          <w:b/>
          <w:sz w:val="24"/>
          <w:szCs w:val="24"/>
        </w:rPr>
        <w:t>naboru RPDS.02.01.01-IZ.00-02-219/17</w:t>
      </w:r>
    </w:p>
    <w:p w:rsidR="006A0FA8" w:rsidRPr="006A0FA8" w:rsidRDefault="006A0FA8" w:rsidP="006A0FA8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6A0FA8" w:rsidRPr="006A0FA8" w:rsidRDefault="006A0FA8" w:rsidP="006A0FA8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zmierzenie,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:rsidR="006A0FA8" w:rsidRPr="006A0FA8" w:rsidRDefault="006A0FA8" w:rsidP="006A0FA8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Wybór wskaźników projektu powinien być powiązany z typem realizowanego przedsięwzięcia </w:t>
      </w:r>
      <w:r w:rsidRPr="006A0FA8">
        <w:rPr>
          <w:rFonts w:asciiTheme="minorHAnsi" w:eastAsiaTheme="minorHAnsi" w:hAnsiTheme="minorHAnsi" w:cs="Calibri"/>
          <w:szCs w:val="22"/>
          <w:lang w:eastAsia="en-US"/>
        </w:rPr>
        <w:br/>
        <w:t xml:space="preserve">i planowanymi działaniami, które Wnioskodawca zamierza podjąć w ramach projektu. </w:t>
      </w:r>
      <w:r w:rsidRPr="006A0FA8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:rsidR="006A0FA8" w:rsidRPr="006A0FA8" w:rsidRDefault="006A0FA8" w:rsidP="006A0FA8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6A0FA8">
        <w:rPr>
          <w:rFonts w:asciiTheme="minorHAnsi" w:hAnsiTheme="minorHAnsi"/>
          <w:szCs w:val="22"/>
        </w:rPr>
        <w:t>Każdy ze wskaźników powinien posiadać następujące cechy:</w:t>
      </w:r>
    </w:p>
    <w:p w:rsidR="006A0FA8" w:rsidRPr="006A0FA8" w:rsidRDefault="006A0FA8" w:rsidP="006A0FA8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A0FA8" w:rsidRPr="006A0FA8" w:rsidRDefault="006A0FA8" w:rsidP="006A0FA8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:rsidR="006A0FA8" w:rsidRPr="006A0FA8" w:rsidRDefault="006A0FA8" w:rsidP="006A0FA8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A0FA8" w:rsidRPr="006A0FA8" w:rsidRDefault="006A0FA8" w:rsidP="006A0FA8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A0FA8" w:rsidRPr="006A0FA8" w:rsidRDefault="006A0FA8" w:rsidP="006A0FA8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określony w czasie –wartość wskaźnika powinna zostać określona w czasie, tj. określony rok osiągnięcia wartości docelowej wskaźnika oraz okres, w którym będzie mierzony wskaźnik</w:t>
      </w:r>
    </w:p>
    <w:p w:rsid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b/>
          <w:szCs w:val="22"/>
          <w:u w:val="single"/>
          <w:lang w:eastAsia="en-US"/>
        </w:rPr>
      </w:pPr>
      <w:r w:rsidRPr="006A0FA8">
        <w:rPr>
          <w:rFonts w:asciiTheme="minorHAnsi" w:eastAsiaTheme="minorHAnsi" w:hAnsiTheme="minorHAnsi" w:cs="Calibri"/>
          <w:b/>
          <w:szCs w:val="22"/>
          <w:u w:val="single"/>
          <w:lang w:eastAsia="en-US"/>
        </w:rPr>
        <w:t xml:space="preserve">Należy wybrać wszystkie adekwatne wskaźniki określające cel i zakres projektu. </w:t>
      </w:r>
    </w:p>
    <w:p w:rsidR="006A0FA8" w:rsidRPr="006A0FA8" w:rsidRDefault="006A0FA8" w:rsidP="006A0FA8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6A0FA8" w:rsidRPr="006A0FA8" w:rsidRDefault="006A0FA8" w:rsidP="006A0FA8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6A0FA8"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6A0FA8" w:rsidRPr="006A0FA8" w:rsidRDefault="006A0FA8" w:rsidP="006A0FA8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6A0FA8">
        <w:rPr>
          <w:rFonts w:asciiTheme="minorHAnsi" w:hAnsiTheme="minorHAnsi"/>
          <w:b/>
          <w:szCs w:val="22"/>
        </w:rPr>
        <w:t>obligatoryjne – wskaźniki ujęte w RPO WD 2014-2020, SZOOP RPO D 2014-2020</w:t>
      </w:r>
    </w:p>
    <w:p w:rsidR="006A0FA8" w:rsidRPr="006A0FA8" w:rsidRDefault="006A0FA8" w:rsidP="006A0FA8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6A0FA8">
        <w:rPr>
          <w:rFonts w:asciiTheme="minorHAnsi" w:hAnsiTheme="minorHAnsi"/>
          <w:b/>
          <w:szCs w:val="22"/>
        </w:rPr>
        <w:t xml:space="preserve">horyzontalne </w:t>
      </w:r>
    </w:p>
    <w:p w:rsidR="006A0FA8" w:rsidRPr="006A0FA8" w:rsidRDefault="006A0FA8" w:rsidP="006A0FA8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6A0FA8">
        <w:rPr>
          <w:rFonts w:asciiTheme="minorHAnsi" w:hAnsiTheme="minorHAnsi"/>
          <w:b/>
          <w:szCs w:val="22"/>
        </w:rPr>
        <w:t>dodatkowe – wskaźniki projektowe</w:t>
      </w:r>
    </w:p>
    <w:p w:rsidR="006A0FA8" w:rsidRPr="006A0FA8" w:rsidRDefault="006A0FA8" w:rsidP="006A0FA8">
      <w:pPr>
        <w:spacing w:before="120" w:after="120" w:line="240" w:lineRule="auto"/>
        <w:ind w:left="720"/>
        <w:jc w:val="both"/>
        <w:rPr>
          <w:rFonts w:asciiTheme="minorHAnsi" w:hAnsiTheme="minorHAnsi"/>
          <w:b/>
          <w:szCs w:val="22"/>
        </w:rPr>
      </w:pPr>
    </w:p>
    <w:p w:rsidR="006A0FA8" w:rsidRPr="006A0FA8" w:rsidRDefault="006A0FA8" w:rsidP="006A0FA8">
      <w:pPr>
        <w:keepNext/>
        <w:spacing w:before="120" w:after="120"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Cs w:val="22"/>
        </w:rPr>
      </w:pPr>
      <w:r w:rsidRPr="006A0FA8">
        <w:rPr>
          <w:rFonts w:asciiTheme="minorHAnsi" w:hAnsiTheme="minorHAnsi" w:cs="Arial"/>
          <w:b/>
          <w:bCs/>
          <w:kern w:val="32"/>
          <w:szCs w:val="22"/>
        </w:rPr>
        <w:t>Wymagania w zakresie wskaźników w projekcie</w:t>
      </w:r>
    </w:p>
    <w:p w:rsid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W ramach wniosku o dofinansowanie projektu Wnioskodawca określa </w:t>
      </w:r>
      <w:r w:rsidRPr="006A0FA8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 celów założonych w projekcie.</w:t>
      </w:r>
      <w:r w:rsidRPr="006A0FA8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</w:t>
      </w:r>
      <w:r w:rsidRPr="006A0FA8">
        <w:rPr>
          <w:rFonts w:asciiTheme="minorHAnsi" w:eastAsiaTheme="minorHAnsi" w:hAnsiTheme="minorHAnsi" w:cs="Calibri"/>
          <w:szCs w:val="22"/>
          <w:lang w:eastAsia="en-US"/>
        </w:rPr>
        <w:br/>
        <w:t xml:space="preserve">w szczególności na uwadze zapisy niniejszego regulaminu </w:t>
      </w:r>
    </w:p>
    <w:p w:rsid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hAnsiTheme="minorHAnsi"/>
          <w:b/>
          <w:szCs w:val="22"/>
        </w:rPr>
        <w:t>W przypadku, gdy w ramach danego Działania uwzględniony został wskaźnik z RPO WD 2014-2020, który odzwierciedla zakres projektu, jego wykazanie dla Wnioskodawcy jest obligatoryjne.</w:t>
      </w:r>
    </w:p>
    <w:p w:rsidR="006A0FA8" w:rsidRDefault="006A0FA8" w:rsidP="006A0FA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6A0FA8">
        <w:rPr>
          <w:rFonts w:asciiTheme="minorHAnsi" w:hAnsiTheme="minorHAnsi" w:cs="Arial"/>
          <w:b/>
          <w:color w:val="000000"/>
        </w:rPr>
        <w:t>W</w:t>
      </w:r>
      <w:r w:rsidRPr="006A0FA8">
        <w:rPr>
          <w:rFonts w:asciiTheme="minorHAnsi" w:hAnsiTheme="minorHAnsi" w:cs="Arial"/>
          <w:b/>
          <w:bCs/>
          <w:color w:val="000000"/>
        </w:rPr>
        <w:t>skaźniki produktu</w:t>
      </w:r>
      <w:r w:rsidRPr="006A0FA8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6A0FA8">
        <w:rPr>
          <w:rFonts w:asciiTheme="minorHAnsi" w:hAnsiTheme="minorHAnsi" w:cs="Arial"/>
          <w:color w:val="000000"/>
        </w:rPr>
        <w:t xml:space="preserve">, mierzone konkretnymi wielkościami. Liczone są w jednostkach fizycznych lub monetarnych. Wybrane </w:t>
      </w:r>
      <w:r w:rsidRPr="006A0FA8">
        <w:rPr>
          <w:rFonts w:asciiTheme="minorHAnsi" w:hAnsiTheme="minorHAnsi" w:cs="Arial"/>
          <w:color w:val="000000"/>
        </w:rPr>
        <w:lastRenderedPageBreak/>
        <w:t xml:space="preserve">przez Wnioskodawcę wskaźniki muszą być adekwatne do zakresu projektu oraz mają być powiązane </w:t>
      </w:r>
      <w:r w:rsidRPr="006A0FA8">
        <w:rPr>
          <w:rFonts w:asciiTheme="minorHAnsi" w:hAnsiTheme="minorHAnsi" w:cs="Arial"/>
          <w:color w:val="000000"/>
        </w:rPr>
        <w:br/>
        <w:t>z głównymi kategoriami wydatków w projekcie.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</w:rPr>
      </w:pPr>
      <w:r w:rsidRPr="006A0FA8">
        <w:rPr>
          <w:rFonts w:asciiTheme="minorHAnsi" w:hAnsiTheme="minorHAnsi" w:cs="TimesNewRoman,Bold"/>
          <w:szCs w:val="22"/>
        </w:rPr>
        <w:t xml:space="preserve">Dla każdego z wybranych wskaźników Wnioskodawca zobowiązany jest do wskazania </w:t>
      </w:r>
      <w:r w:rsidRPr="006A0FA8">
        <w:rPr>
          <w:rFonts w:asciiTheme="minorHAnsi" w:hAnsiTheme="minorHAnsi" w:cs="TimesNewRoman,Bold"/>
          <w:i/>
          <w:szCs w:val="22"/>
        </w:rPr>
        <w:t>„Jednostki miary”</w:t>
      </w:r>
      <w:r w:rsidRPr="006A0FA8">
        <w:rPr>
          <w:rFonts w:asciiTheme="minorHAnsi" w:hAnsiTheme="minorHAnsi" w:cs="TimesNewRoman,Bold"/>
          <w:szCs w:val="22"/>
        </w:rPr>
        <w:t xml:space="preserve">, </w:t>
      </w:r>
      <w:r w:rsidRPr="006A0FA8">
        <w:rPr>
          <w:rFonts w:asciiTheme="minorHAnsi" w:hAnsiTheme="minorHAnsi" w:cs="TimesNewRoman,Bold"/>
          <w:i/>
          <w:szCs w:val="22"/>
        </w:rPr>
        <w:t>„Wartości bazowej”</w:t>
      </w:r>
      <w:r w:rsidRPr="006A0FA8">
        <w:rPr>
          <w:rFonts w:asciiTheme="minorHAnsi" w:hAnsiTheme="minorHAnsi" w:cs="TimesNewRoman,Bold"/>
          <w:szCs w:val="22"/>
        </w:rPr>
        <w:t xml:space="preserve">, </w:t>
      </w:r>
      <w:r w:rsidRPr="006A0FA8">
        <w:rPr>
          <w:rFonts w:asciiTheme="minorHAnsi" w:hAnsiTheme="minorHAnsi" w:cs="TimesNewRoman,Bold"/>
          <w:i/>
          <w:szCs w:val="22"/>
        </w:rPr>
        <w:t>„Wartości docelowej wskaźnika”</w:t>
      </w:r>
      <w:r w:rsidRPr="006A0FA8">
        <w:rPr>
          <w:rFonts w:asciiTheme="minorHAnsi" w:hAnsiTheme="minorHAnsi" w:cs="TimesNewRoman,Bold"/>
          <w:szCs w:val="22"/>
        </w:rPr>
        <w:t xml:space="preserve">, a także </w:t>
      </w:r>
      <w:r w:rsidRPr="006A0FA8">
        <w:rPr>
          <w:rFonts w:asciiTheme="minorHAnsi" w:hAnsiTheme="minorHAnsi" w:cs="TimesNewRoman,Bold"/>
          <w:i/>
          <w:szCs w:val="22"/>
        </w:rPr>
        <w:t>„Źródła informacji o wskaźniku”</w:t>
      </w:r>
      <w:r w:rsidRPr="006A0FA8">
        <w:rPr>
          <w:rFonts w:asciiTheme="minorHAnsi" w:hAnsiTheme="minorHAnsi" w:cs="TimesNewRoman,Bold"/>
          <w:szCs w:val="22"/>
        </w:rPr>
        <w:t xml:space="preserve">. 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</w:rPr>
      </w:pPr>
      <w:r w:rsidRPr="006A0FA8">
        <w:rPr>
          <w:rFonts w:asciiTheme="minorHAnsi" w:hAnsiTheme="minorHAnsi" w:cs="TimesNewRoman,Bold"/>
          <w:szCs w:val="22"/>
        </w:rPr>
        <w:t xml:space="preserve">Wartość docelowa dla wskaźnika produktu to wyrażony liczbowo stan danego wskaźnika na moment zakończenia rzeczowej realizacji projektu. 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  <w:highlight w:val="yellow"/>
        </w:rPr>
      </w:pPr>
      <w:r w:rsidRPr="006A0FA8">
        <w:rPr>
          <w:rFonts w:asciiTheme="minorHAnsi" w:hAnsiTheme="minorHAnsi" w:cs="TimesNewRoman,Bold"/>
          <w:szCs w:val="22"/>
        </w:rPr>
        <w:t xml:space="preserve">Jako źródło informacji o wskaźniku wskazać należy odpowiedni dokument (np. </w:t>
      </w:r>
      <w:r w:rsidR="00DD181F">
        <w:rPr>
          <w:rFonts w:asciiTheme="minorHAnsi" w:hAnsiTheme="minorHAnsi" w:cs="TimesNewRoman,Bold"/>
          <w:szCs w:val="22"/>
        </w:rPr>
        <w:t>rejestr świadczonych usług</w:t>
      </w:r>
      <w:r w:rsidRPr="006A0FA8">
        <w:rPr>
          <w:rFonts w:asciiTheme="minorHAnsi" w:hAnsiTheme="minorHAnsi" w:cs="TimesNewRoman,Bold"/>
          <w:szCs w:val="22"/>
        </w:rPr>
        <w:t>).</w:t>
      </w:r>
      <w:r w:rsidRPr="006A0FA8">
        <w:rPr>
          <w:rFonts w:asciiTheme="minorHAnsi" w:hAnsiTheme="minorHAnsi" w:cs="TimesNewRoman,Bold"/>
          <w:szCs w:val="22"/>
          <w:highlight w:val="yellow"/>
        </w:rPr>
        <w:t xml:space="preserve"> </w:t>
      </w: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 xml:space="preserve">W ramach Działania 2.1 określono poniższe wskaźniki </w:t>
      </w:r>
      <w:r w:rsidRPr="006A0FA8">
        <w:rPr>
          <w:rFonts w:asciiTheme="minorHAnsi" w:hAnsiTheme="minorHAnsi"/>
          <w:b/>
          <w:szCs w:val="22"/>
        </w:rPr>
        <w:t>produktu:</w:t>
      </w: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51"/>
        <w:gridCol w:w="4536"/>
        <w:gridCol w:w="1807"/>
      </w:tblGrid>
      <w:tr w:rsidR="006A0FA8" w:rsidRPr="006A0FA8" w:rsidTr="000E2A4F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A0FA8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6A0FA8" w:rsidRPr="006A0FA8" w:rsidTr="000E2A4F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Liczba usług publicznych udostępnionych on-line o stopniu dojrzałości 3 dwustronna interakcja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Usługa on-line o stopniu dojrzałości 3 umożliwia transfer danych w dwóch kierunkach: od usługodawcy do klienta oraz od klienta do usługodawcy. Typowym sposobem jej realizacji jest pobranie, wypełnienie i odesłanie formularza drogą elektroniczną. Usługi powyższe obejmują m.in. usługi powstałe 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br/>
              <w:t>w ramach digitalizacji map, GIS.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W ramach wskaźnika należy ujmować usługi:</w:t>
            </w:r>
          </w:p>
          <w:p w:rsidR="006A0FA8" w:rsidRPr="006A0FA8" w:rsidRDefault="006A0FA8" w:rsidP="006A0FA8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nowe lub istotnie udoskonalone,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skierowane do klientów spoza administracji publicznej: obywateli (usługi A2C, Administration to </w:t>
            </w:r>
            <w:proofErr w:type="spellStart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Citizen</w:t>
            </w:r>
            <w:proofErr w:type="spellEnd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) i/lub przedsiębiorców (A2B, Administration to Business). Powyższe warunki należy traktować łącznie.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hAnsi="Calibri"/>
                <w:szCs w:val="22"/>
              </w:rPr>
              <w:t>Metoda pomiaru: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Należy zliczyć udostępnione on-line usługi 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br/>
              <w:t>o stopniu dojrzałości 3, których wykonanie bez wykorzystania technologii informacyjnej jest niemożliwe w formie ogólnodostępnych serwisów informacyjnych.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W przypadku, gdy projekt dotyczy kilku podmiotów nie należy liczyć tych samych usług tyle razy, ile podmiotów jest zaangażowanych w projekt.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973" w:type="pct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RPO 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Liczba podmiotów, które udostępniły </w:t>
            </w:r>
            <w:r w:rsidRPr="006A0FA8">
              <w:rPr>
                <w:rFonts w:asciiTheme="minorHAnsi" w:hAnsiTheme="minorHAnsi"/>
                <w:szCs w:val="22"/>
              </w:rPr>
              <w:lastRenderedPageBreak/>
              <w:t>on-line informacje sektora publicznego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Liczba podmiotów (wymienionych zgodnie z art. </w:t>
            </w:r>
            <w:r w:rsidRPr="006A0FA8">
              <w:rPr>
                <w:rFonts w:asciiTheme="minorHAnsi" w:hAnsiTheme="minorHAnsi"/>
                <w:szCs w:val="22"/>
              </w:rPr>
              <w:lastRenderedPageBreak/>
              <w:t>9 ustawy o finansach publicznych), które w wyniku interwencji udostępniły on-line informacje sektora publicznego.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Przez informacje sektora publicznego należy rozumieć: 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-  informację publiczną w rozumieniu ustawy z dnia 6 września 2001 r. o dostępie do informacji publicznej, 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audiowizualne, pod warunkiem ich udostępniania do ponownego wykorzystywania,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archiwalne, pod warunkiem ich udostępnienia do ponownego wykorzystania,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kultury, pod warunkiem ich udostepnienia do ponownego wykorzystania.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nauki, pod warunkiem ich udostępniania do ponownego wykorzystywania.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Metoda pomiaru: Do wartości wskaźnika wliczyć należy liczbę wszystkich podmiotów, które w wyniku realizacji projektu, udostępniły on-line informacje sektora publicznego, tj. beneficjenta, jak i partnerów.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RPO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EF5AA6" w:rsidRDefault="006A0FA8" w:rsidP="006A0FA8">
            <w:pPr>
              <w:spacing w:before="40" w:after="40" w:line="240" w:lineRule="auto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hAnsiTheme="minorHAnsi"/>
                <w:szCs w:val="22"/>
              </w:rPr>
              <w:lastRenderedPageBreak/>
              <w:t>Liczba urzędów, które wdrożyły katalog rekomendacji dotyczących awansu cyfrowego</w:t>
            </w:r>
          </w:p>
          <w:p w:rsidR="006A0FA8" w:rsidRPr="00EF5AA6" w:rsidRDefault="006A0FA8" w:rsidP="006A0FA8">
            <w:pPr>
              <w:spacing w:before="40" w:after="40" w:line="240" w:lineRule="auto"/>
              <w:ind w:left="316"/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6A0FA8" w:rsidRPr="00EF5AA6" w:rsidRDefault="006A0FA8" w:rsidP="006A0FA8">
            <w:pPr>
              <w:spacing w:before="40" w:after="4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8" w:type="pct"/>
          </w:tcPr>
          <w:p w:rsidR="006A0FA8" w:rsidRPr="00EF5AA6" w:rsidRDefault="006A0FA8" w:rsidP="006A0FA8">
            <w:pPr>
              <w:spacing w:line="240" w:lineRule="auto"/>
              <w:jc w:val="both"/>
              <w:rPr>
                <w:szCs w:val="22"/>
              </w:rPr>
            </w:pPr>
            <w:r w:rsidRPr="00EF5AA6">
              <w:rPr>
                <w:rFonts w:asciiTheme="minorHAnsi" w:hAnsiTheme="minorHAnsi"/>
                <w:szCs w:val="22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Dokument zawierający katalog rekomendacji awansu cyfrowego (tzw. Katalog Rekomendacji Cyfrowego Urzędu - KRCU) zostanie opracowany przez ministra właściwego do spraw informatyzacji na użytek POPC, przy czym może on być wykorzystany również w programach regionalnych, przewidujących wsparcie rozwiązań „</w:t>
            </w:r>
            <w:proofErr w:type="spellStart"/>
            <w:r w:rsidRPr="00EF5AA6">
              <w:rPr>
                <w:rFonts w:ascii="Calibri" w:eastAsia="Calibri" w:hAnsi="Calibri"/>
                <w:szCs w:val="22"/>
                <w:lang w:eastAsia="en-US"/>
              </w:rPr>
              <w:t>back-office</w:t>
            </w:r>
            <w:proofErr w:type="spellEnd"/>
            <w:r w:rsidRPr="00EF5AA6">
              <w:rPr>
                <w:rFonts w:ascii="Calibri" w:eastAsia="Calibri" w:hAnsi="Calibri"/>
                <w:szCs w:val="22"/>
                <w:lang w:eastAsia="en-US"/>
              </w:rPr>
              <w:t xml:space="preserve">” w administracji publicznej. </w:t>
            </w: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 xml:space="preserve">Samoocena - analiza stanu cyfryzacji jednostki  (w oparciu o ten dokument), będzie podstawą do oceny przez instytucję zarządzającą, czy dana jednostka kwalifikuje się do wsparcia oraz  do określenia zakresu wsparcia. </w:t>
            </w: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3E12B2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 xml:space="preserve">W przypadku projektów partnerskich samoocena musi zostać dokonana przez każdego partnera z osobna. </w:t>
            </w: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Za wdrożenie katalogu przez dany urząd oraz wynikający z tego awans cyfrowy należy rozumieć spełnienie, dzięki realizacji projektu, dowolnej, uzależnionej od stanu cyfryzacji urzędu i jego potrzeb, liczby rekomendacji ujętych w katalogu, dotyczących rozwiązań cyfrowych usprawniających funkcjonowanie urzędu.</w:t>
            </w: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Wskaźnik obejmuje liczbę wszystkich urzędów, które dokonały samooceny w oparciu o Katalog Rekomendacji Cyfrowego Urzędu, w tym poszczególnych partnerów wdrażających rozwiązania informatyczne będące przedmiotem wspólnego projektu.</w:t>
            </w:r>
          </w:p>
          <w:p w:rsidR="003E12B2" w:rsidRPr="00EF5AA6" w:rsidRDefault="003E12B2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5F7B50" w:rsidRPr="00EF5AA6" w:rsidRDefault="005F7B50" w:rsidP="005F7B50">
            <w:pPr>
              <w:spacing w:before="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Wskaźnik dedykowany jest wyłącznie podmiotom, których celem jest świadczenie usług administracyjnych  w sferze publicznej. Przedmiotowego wskaźnika nie należy zatem stosować do podmiotów wykonujących bezpośrednio inne funkcje np. szpitali, fundacji itp.</w:t>
            </w:r>
          </w:p>
          <w:p w:rsidR="003E12B2" w:rsidRPr="00EF5AA6" w:rsidRDefault="003E12B2" w:rsidP="005F7B50">
            <w:pPr>
              <w:spacing w:before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3E12B2" w:rsidRPr="00EF5AA6" w:rsidRDefault="003E12B2" w:rsidP="003E12B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hAnsiTheme="minorHAnsi"/>
                <w:szCs w:val="22"/>
              </w:rPr>
              <w:t>Metoda pomiaru: Urzędy mogą składać się z biur/placówek pozamiejscowych /delegatur itp. Urząd jest aparatem pomocniczym organów administracji publicznej, w tym jednostek podległych i nadzorowanych. Wskaźnik obejmuje liczbę wszystkich urzędów, które dokonały samooceny, w tym poszczególnych partnerów wdrażających rozwiązania informatyczne będące przedmiotem wspólnego projektu.</w:t>
            </w:r>
          </w:p>
          <w:p w:rsidR="003E12B2" w:rsidRPr="00EF5AA6" w:rsidRDefault="003E12B2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3E12B2" w:rsidRPr="00EF5AA6" w:rsidRDefault="003E12B2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73" w:type="pct"/>
          </w:tcPr>
          <w:p w:rsidR="006A0FA8" w:rsidRPr="00EF5AA6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hAnsiTheme="minorHAnsi"/>
                <w:szCs w:val="22"/>
              </w:rPr>
              <w:lastRenderedPageBreak/>
              <w:t>RPO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color w:val="FF0000"/>
                <w:szCs w:val="22"/>
              </w:rPr>
            </w:pPr>
            <w:r w:rsidRPr="006A0FA8">
              <w:rPr>
                <w:rFonts w:ascii="Calibri" w:hAnsi="Calibri" w:cs="Arial"/>
              </w:rPr>
              <w:lastRenderedPageBreak/>
              <w:t>Liczba usług publicznych udostępnionych on-line o stopniu dojrzałości co najmniej 4-transakcja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Usługa on-line o stopniu dojrzałości 4 umożliwia pełne załatwienie danej sprawy drogą elektroniczną, łącznie z ewentualną płatnością. W ramach wskaźnika należy ujmować również usługi o stopniu dojrzałości 5, czyli takie, które oprócz możliwości pełnego załatwienia danej sprawy zawierają dodatkowo mechanizmy personalizacji, tj. dostosowania sposobu świadczenia do szczególnych uwarunkowań i potrzeb klienta (np. oferowanie częściowo wypełnionych formularzy, poinformowanie 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lastRenderedPageBreak/>
              <w:t xml:space="preserve">klienta </w:t>
            </w:r>
            <w:proofErr w:type="spellStart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sms-em</w:t>
            </w:r>
            <w:proofErr w:type="spellEnd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 o zbliżającej się potrzebie wykonania danej czynności urzędowej). 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W ramach wskaźnika należy ujmować usługi: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nowe  lub istotnie udoskonalone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- skierowane do klientów spoza administracji publicznej: obywateli (usługi A2C, Administration to </w:t>
            </w:r>
            <w:proofErr w:type="spellStart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Citizen</w:t>
            </w:r>
            <w:proofErr w:type="spellEnd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) i/lub przedsiębiorców (A2B, Administration to Business). Powyższe warunki należy traktować łącznie.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Metoda pomiaru: 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Należy zliczyć udostępnione on-line usługi o stopniu dojrzałości </w:t>
            </w:r>
            <w:r w:rsidRPr="006A0FA8">
              <w:rPr>
                <w:rFonts w:ascii="Calibri" w:eastAsia="Calibri" w:hAnsi="Calibri" w:cs="Arial Narrow"/>
                <w:b/>
                <w:szCs w:val="22"/>
                <w:lang w:eastAsia="en-US"/>
              </w:rPr>
              <w:t>co najmniej 4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, których wykonanie bez wykorzystania technologii informacyjnej jest niemożliwe w formie ogólnodostępnych serwisów informacyjnych.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Nie należy wliczać usług udostępnionych on-line o stopniu dojrzałości 3.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W przypadku, gdy projekt dotyczy kilku podmiotów nie należy liczyć tych samych usług tyle razy, ile podmiotów jest zaangażowanych w projekt.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lastRenderedPageBreak/>
              <w:t>Liczba udostępnionych usług wewnątrzadministracyjnych (A2A)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Liczba usług elektronicznie udostępnionych przez organ administracji publicznej innemu organowi tej administracji</w:t>
            </w:r>
            <w:r w:rsidR="00A47D66">
              <w:rPr>
                <w:rStyle w:val="Odwoanieprzypisudolnego"/>
                <w:rFonts w:asciiTheme="minorHAnsi" w:hAnsiTheme="minorHAnsi"/>
                <w:szCs w:val="22"/>
              </w:rPr>
              <w:footnoteReference w:id="1"/>
            </w:r>
            <w:r w:rsidRPr="006A0FA8">
              <w:rPr>
                <w:rFonts w:asciiTheme="minorHAnsi" w:hAnsiTheme="minorHAnsi"/>
                <w:szCs w:val="22"/>
              </w:rPr>
              <w:t xml:space="preserve">, umożliwiających realizację części jego zadań drogą elektroniczną.  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t>Liczba podmiotów udostępniających usługi wewnątrzadministracyjne (A2A)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Liczba organów administracji publicznej  udostępniających usługi innemu organowi tej administracji, umożliwiających realizację części jego zadań drogą elektroniczną.  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 w:cs="Arial"/>
              </w:rPr>
            </w:pPr>
            <w:r w:rsidRPr="006A0FA8">
              <w:rPr>
                <w:rFonts w:ascii="Calibri" w:hAnsi="Calibri" w:cs="Arial"/>
              </w:rPr>
              <w:t xml:space="preserve">Liczba </w:t>
            </w:r>
            <w:proofErr w:type="spellStart"/>
            <w:r w:rsidRPr="006A0FA8">
              <w:rPr>
                <w:rFonts w:ascii="Calibri" w:hAnsi="Calibri" w:cs="Arial"/>
              </w:rPr>
              <w:t>zdigitalizowanych</w:t>
            </w:r>
            <w:proofErr w:type="spellEnd"/>
            <w:r w:rsidRPr="006A0FA8">
              <w:rPr>
                <w:rFonts w:ascii="Calibri" w:hAnsi="Calibri" w:cs="Arial"/>
              </w:rPr>
              <w:t xml:space="preserve"> dokumentów zawierających informacje sektora publicznego</w:t>
            </w:r>
          </w:p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 w:cs="Arial"/>
              </w:rPr>
            </w:pPr>
          </w:p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Liczba dokumentów stanowiących informacje sektora publicznego, które w wyniku wsparcia, zostaną przetworzone z postaci analogowej do postaci cyfrowej. 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"Dokument" oznacza (na podstawie dyrektywy 2003/98/</w:t>
            </w:r>
            <w:bookmarkStart w:id="3" w:name="_GoBack"/>
            <w:bookmarkEnd w:id="3"/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WE) jakąkolwiek treść niezależnie od zastosowanego nośnika (zapisaną na papierze lub zapisaną w formie elektronicznej lub zarejestrowaną w formie dźwiękowej, wizualnej albo audiowizualnej). 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Na użytek POPC przez informacje sektora </w:t>
            </w: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lastRenderedPageBreak/>
              <w:t xml:space="preserve">publicznego należy rozumieć: 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 xml:space="preserve">-  informację publiczną w rozumieniu ustawy z dnia 6 września 2001 r. o dostępie do informacji publicznej, 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zasoby audiowizualne, pod warunkiem ich udostępniania do ponownego wykorzystywania,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zasoby archiwalne, pod warunkiem ich udostępnienia do ponownego wykorzystania,</w:t>
            </w:r>
          </w:p>
          <w:p w:rsidR="006A0FA8" w:rsidRPr="006A0FA8" w:rsidRDefault="006A0FA8" w:rsidP="006A0FA8">
            <w:pPr>
              <w:spacing w:before="0" w:line="276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zasoby kultury, pod warunkiem ich udostepnienia do ponownego wykorzystania.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  <w:r w:rsidRPr="006A0FA8">
              <w:rPr>
                <w:rFonts w:ascii="Calibri" w:eastAsia="Calibri" w:hAnsi="Calibri" w:cs="Arial Narrow"/>
                <w:szCs w:val="22"/>
                <w:lang w:eastAsia="en-US"/>
              </w:rPr>
              <w:t>- zasoby nauki, pod warunkiem ich udostępniania do ponownego wykorzystywania.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 Narrow"/>
                <w:szCs w:val="22"/>
                <w:lang w:eastAsia="en-US"/>
              </w:rPr>
            </w:pP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Metoda pomiaru: Liczba utworów z zasobów publicznych przetworzonych z postaci analogowej na cyfrową.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lastRenderedPageBreak/>
              <w:t>Liczba udostępnionych on-line dokumentów zawierających informacje sektora publicznego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Informacje sektora publicznego należy rozumieć: 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-  informację publiczną w rozumieniu ustawy z dnia 6 września 2001 r. o dostępie do informacji publicznej, 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- zasoby audiowizualne, pod warunkiem ich udostępniania do ponownego wykorzystywania,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archiwalne, pod warunkiem ich udostępnienia do ponownego wykorzystania,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kultury, pod warunkiem ich udostepnienia do ponownego wykorzystania.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nauki, pod warunkiem ich udostępniania do ponownego wykorzystywania.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lastRenderedPageBreak/>
              <w:t>Liczba uruchomionych systemów teleinformatycznych w podmiotach wykonujących zadania publiczne</w:t>
            </w:r>
          </w:p>
        </w:tc>
        <w:tc>
          <w:tcPr>
            <w:tcW w:w="458" w:type="pct"/>
          </w:tcPr>
          <w:p w:rsidR="006A0FA8" w:rsidRPr="00EF5AA6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EF5AA6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hAnsiTheme="minorHAnsi"/>
                <w:szCs w:val="22"/>
              </w:rPr>
              <w:t>Przez system teleinformatyczny należy rozumieć zespół współpracujących ze sobą urządzeń informatycznych i oprogramowania zapewniający przetwarzanie, przechowywanie, a także wysyłanie i odbieranie danych przez sieci telekomunikacyjne.</w:t>
            </w:r>
          </w:p>
          <w:p w:rsidR="005F7B50" w:rsidRPr="00EF5AA6" w:rsidRDefault="005F7B50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5F7B50" w:rsidRPr="00EF5AA6" w:rsidRDefault="005F7B50" w:rsidP="005F7B50">
            <w:pPr>
              <w:spacing w:before="0" w:after="12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Wskaźnik obejmuje zarówno wdrożenie, rozbudowę, jak i unowocześnienie systemu teleinformatycznego używanego do realizacji zadań publicznych.</w:t>
            </w:r>
          </w:p>
          <w:p w:rsidR="005F7B50" w:rsidRPr="00EF5AA6" w:rsidRDefault="005F7B50" w:rsidP="005F7B50">
            <w:pPr>
              <w:spacing w:before="0" w:after="120" w:line="240" w:lineRule="auto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EF5AA6">
              <w:rPr>
                <w:rFonts w:ascii="Calibri" w:eastAsia="Calibri" w:hAnsi="Calibri"/>
                <w:szCs w:val="22"/>
                <w:lang w:eastAsia="en-US"/>
              </w:rPr>
              <w:t>Jako system należy również traktować pojedyncze aplikacje. Przez aplikację należy rozumieć program użytkowy, który ma bezpośredni kontakt z użytkownikiem i nie musi on być elementem większego programu; wykonuje konkretne zadania i wyposażony jest w interfejs użytkownika (zarówno program instalowany na urządzeniu użytkownika - takim jak np. komputer, tablet czy telefon komórkowy, jak i program pracujący na serwerze internetowym, dostępny przez przeglądarkę www).</w:t>
            </w:r>
          </w:p>
          <w:p w:rsidR="005F7B50" w:rsidRPr="00EF5AA6" w:rsidRDefault="005F7B50" w:rsidP="005F7B50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/>
                <w:szCs w:val="22"/>
              </w:rPr>
            </w:pPr>
            <w:r w:rsidRPr="00EF5AA6">
              <w:rPr>
                <w:rFonts w:ascii="Calibri" w:eastAsia="Calibri" w:hAnsi="Calibri"/>
                <w:szCs w:val="22"/>
              </w:rPr>
              <w:t>Daną aplikację wdrażaną w wielu kopiach należy wykazywać raz, niezależnie od liczby licencji. Nie należy zliczać aplikacji wchodzących w skład 1 systemu. W przypadku udostępnienia systemu/aplikacji w tzw. „chmurze” wielu podmiotom, monitorowany jest tylko 1 system/aplikacja.</w:t>
            </w:r>
          </w:p>
          <w:p w:rsidR="005F7B50" w:rsidRPr="00EF5AA6" w:rsidRDefault="005F7B50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73" w:type="pct"/>
          </w:tcPr>
          <w:p w:rsidR="007207C0" w:rsidRPr="007207C0" w:rsidRDefault="006A0FA8" w:rsidP="007207C0">
            <w:pPr>
              <w:spacing w:after="120" w:line="240" w:lineRule="auto"/>
              <w:rPr>
                <w:rFonts w:ascii="Times New Roman" w:eastAsia="Calibri" w:hAnsi="Times New Roman"/>
                <w:szCs w:val="22"/>
                <w:highlight w:val="yellow"/>
                <w:lang w:eastAsia="en-US"/>
              </w:rPr>
            </w:pPr>
            <w:r w:rsidRPr="006A0FA8">
              <w:rPr>
                <w:rFonts w:asciiTheme="minorHAnsi" w:hAnsiTheme="minorHAnsi"/>
                <w:szCs w:val="22"/>
              </w:rPr>
              <w:t>SZOOP</w:t>
            </w:r>
            <w:r w:rsidR="007207C0" w:rsidRPr="007207C0">
              <w:rPr>
                <w:rFonts w:ascii="Times New Roman" w:eastAsia="Calibri" w:hAnsi="Times New Roman"/>
                <w:szCs w:val="22"/>
                <w:highlight w:val="yellow"/>
                <w:lang w:eastAsia="en-US"/>
              </w:rPr>
              <w:t xml:space="preserve"> </w:t>
            </w:r>
          </w:p>
          <w:p w:rsidR="006A0FA8" w:rsidRPr="006A0FA8" w:rsidRDefault="006A0FA8" w:rsidP="007207C0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t>Liczba utworzonych API</w:t>
            </w:r>
          </w:p>
        </w:tc>
        <w:tc>
          <w:tcPr>
            <w:tcW w:w="458" w:type="pct"/>
          </w:tcPr>
          <w:p w:rsidR="006A0FA8" w:rsidRPr="00EF5AA6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EF5AA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EF5AA6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/>
                <w:szCs w:val="22"/>
              </w:rPr>
            </w:pPr>
            <w:r w:rsidRPr="00EF5AA6">
              <w:rPr>
                <w:rFonts w:ascii="Calibri" w:eastAsia="Calibri" w:hAnsi="Calibri" w:cs="Arial Narrow"/>
                <w:szCs w:val="22"/>
                <w:lang w:eastAsia="en-US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 zestaw procedur dostępnych </w:t>
            </w:r>
            <w:r w:rsidRPr="00EF5AA6">
              <w:rPr>
                <w:rFonts w:ascii="Calibri" w:eastAsia="Calibri" w:hAnsi="Calibri" w:cs="Arial Narrow"/>
                <w:szCs w:val="22"/>
                <w:lang w:eastAsia="en-US"/>
              </w:rPr>
              <w:lastRenderedPageBreak/>
              <w:t>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6A0FA8" w:rsidRPr="006A0FA8" w:rsidRDefault="006A0FA8" w:rsidP="006A0FA8">
            <w:pPr>
              <w:spacing w:before="40" w:after="40" w:line="240" w:lineRule="auto"/>
              <w:rPr>
                <w:rFonts w:ascii="Calibri" w:hAnsi="Calibri"/>
                <w:szCs w:val="22"/>
              </w:rPr>
            </w:pPr>
            <w:r w:rsidRPr="006A0FA8">
              <w:rPr>
                <w:rFonts w:ascii="Calibri" w:hAnsi="Calibri" w:cs="Arial"/>
              </w:rPr>
              <w:lastRenderedPageBreak/>
              <w:t>Liczba baz danych udostępnionych on-line poprzez API</w:t>
            </w:r>
          </w:p>
        </w:tc>
        <w:tc>
          <w:tcPr>
            <w:tcW w:w="458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  <w:tc>
          <w:tcPr>
            <w:tcW w:w="97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D2500C" w:rsidRPr="006A0FA8" w:rsidTr="00D1306A">
        <w:trPr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458" w:type="pct"/>
            <w:vAlign w:val="center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odnosi się do liczby obiektów, które zaopatrzono w specjalne podjazdy, windy, urządzenia głośnomówiące, bądź inne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rozwiązania umożliwiające dostęp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(tj. usunięcie barier w dostępie, w szczególności barier architektonicznych) do tych obiektów i poruszanie się po nich osobom niepełnosprawnym ruchowo czy sensorycznie.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Należy podać liczbę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wspartych lub zaopatrzonych w sprzęt obiektów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, a nie liczbę sprzętów, urządzeń itp., w które obiekty zaopatrzono.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973" w:type="pct"/>
          </w:tcPr>
          <w:p w:rsidR="00D2500C" w:rsidRPr="00604576" w:rsidRDefault="00D2500C" w:rsidP="000E2A4F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Pr="00604576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2500C" w:rsidRPr="006A0FA8" w:rsidTr="00D1306A">
        <w:trPr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D2500C" w:rsidRPr="00604576" w:rsidRDefault="00D2500C" w:rsidP="000E2A4F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podmiotów wykorzystujących technologie informacyjno-komunikacyjne (TIK)</w:t>
            </w:r>
          </w:p>
        </w:tc>
        <w:tc>
          <w:tcPr>
            <w:tcW w:w="458" w:type="pct"/>
            <w:vAlign w:val="center"/>
          </w:tcPr>
          <w:p w:rsidR="00D2500C" w:rsidRPr="00604576" w:rsidRDefault="00D2500C" w:rsidP="000E2A4F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podmiotów, które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celu realizacji projektu zainwestowały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technologie informacyjno-komunikacyjne,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a w przypadku projektów edukacyjno-szkoleniowych, również podmiotów, które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podjęły działania upowszechniające wykorzystanie TIK.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Przez technologie informacyjno-komunikacyjne (ang. ICT – Information and Communications Technology) należy rozumieć technologie pozyskiwania produkcji, gromadzenia, przechowywania, przesyłania, przetwarzania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i rozpowszechniania informacji w formie elektronicznej oraz wszelkie działania zawiązane z produkcją i wykorzystaniem urządzeń telekomunikacyjnych i informatycznych oraz usług im towarzyszących działania edukacyjne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i szkoleniowe.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jeden podmiot, we wskaźniku należy ująć wartość „1”. W przypadku, gdy projekt jest realizowany przez partnerstwo podmiotów,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wartości wskaźnika należy ująć każdy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z podmiotów wchodzących w skład partnerstwa, który wdrożył w swojej działalności narzędzia TIK.</w:t>
            </w:r>
          </w:p>
        </w:tc>
        <w:tc>
          <w:tcPr>
            <w:tcW w:w="973" w:type="pct"/>
            <w:vAlign w:val="center"/>
          </w:tcPr>
          <w:p w:rsidR="00D2500C" w:rsidRPr="00604576" w:rsidRDefault="00D2500C" w:rsidP="000E2A4F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D2500C" w:rsidRPr="006A0FA8" w:rsidTr="00D1306A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osób objętych szkoleniami / doradztwem w zakresie kompetencji cyfrowych O/K/M</w:t>
            </w:r>
          </w:p>
        </w:tc>
        <w:tc>
          <w:tcPr>
            <w:tcW w:w="458" w:type="pct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os.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osób objętych szkoleniami/doradztwem w zakresie nabywania /doskonalenia umiejętności warunkujących efektywne korzystanie z mediów elektronicznych tj. m.in. korzystania z komputera, różnych rodzajów oprogramowania, </w:t>
            </w:r>
            <w:proofErr w:type="spellStart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973" w:type="pct"/>
          </w:tcPr>
          <w:p w:rsidR="00D2500C" w:rsidRPr="00604576" w:rsidRDefault="00D2500C" w:rsidP="000E2A4F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Pr="00604576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2500C" w:rsidRPr="006A0FA8" w:rsidTr="00D1306A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458" w:type="pct"/>
          </w:tcPr>
          <w:p w:rsidR="00D2500C" w:rsidRPr="00604576" w:rsidRDefault="00D2500C" w:rsidP="000E2A4F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szt. 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D2500C" w:rsidRPr="00604576" w:rsidRDefault="00D2500C" w:rsidP="000E2A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Racjonalne usprawnienie oznacza konieczne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br/>
              <w:t xml:space="preserve">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osobami. Wskaźnik mierzony w momencie rozliczenia wydatku związanego z racjonalnymi usprawnieniami.</w:t>
            </w:r>
          </w:p>
          <w:p w:rsidR="00D2500C" w:rsidRPr="00604576" w:rsidRDefault="00D2500C" w:rsidP="000E2A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:rsidR="00D2500C" w:rsidRPr="00604576" w:rsidRDefault="00D2500C" w:rsidP="000E2A4F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Definicja na podstawie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t xml:space="preserve">Wytycznych w zakresie realizacji zasady równości szans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br/>
              <w:t>i niedyskryminacji, w tym dostępności dla osób z niepełnosprawnościami oraz równości szans kobiet i mężczyzn w ramach funduszy unijnych na lata 2014-2020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.</w:t>
            </w:r>
          </w:p>
        </w:tc>
        <w:tc>
          <w:tcPr>
            <w:tcW w:w="973" w:type="pct"/>
          </w:tcPr>
          <w:p w:rsidR="00D2500C" w:rsidRPr="00604576" w:rsidRDefault="00D2500C" w:rsidP="000E2A4F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h</w:t>
            </w:r>
            <w:r w:rsidRPr="00604576">
              <w:rPr>
                <w:rFonts w:asciiTheme="minorHAnsi" w:hAnsiTheme="minorHAnsi"/>
                <w:szCs w:val="22"/>
              </w:rPr>
              <w:t>oryzontalny</w:t>
            </w:r>
          </w:p>
        </w:tc>
      </w:tr>
    </w:tbl>
    <w:p w:rsidR="00D2500C" w:rsidRDefault="00D2500C" w:rsidP="006A0FA8">
      <w:pPr>
        <w:spacing w:line="240" w:lineRule="auto"/>
        <w:jc w:val="both"/>
        <w:rPr>
          <w:rFonts w:asciiTheme="minorHAnsi" w:hAnsiTheme="minorHAnsi"/>
          <w:b/>
          <w:szCs w:val="22"/>
        </w:rPr>
      </w:pPr>
    </w:p>
    <w:p w:rsidR="00D2500C" w:rsidRDefault="00D2500C" w:rsidP="006A0FA8">
      <w:pPr>
        <w:spacing w:line="240" w:lineRule="auto"/>
        <w:jc w:val="both"/>
        <w:rPr>
          <w:rFonts w:asciiTheme="minorHAnsi" w:hAnsiTheme="minorHAnsi"/>
          <w:b/>
          <w:szCs w:val="22"/>
        </w:rPr>
      </w:pPr>
    </w:p>
    <w:p w:rsidR="006A0FA8" w:rsidRPr="006A0FA8" w:rsidRDefault="006A0FA8" w:rsidP="006A0FA8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6A0FA8">
        <w:rPr>
          <w:rFonts w:asciiTheme="minorHAnsi" w:hAnsiTheme="minorHAnsi"/>
          <w:b/>
          <w:szCs w:val="22"/>
        </w:rPr>
        <w:t>Wskaźniki rezultatu bezpośredniego</w:t>
      </w:r>
      <w:r w:rsidRPr="006A0FA8">
        <w:rPr>
          <w:rFonts w:asciiTheme="minorHAnsi" w:hAnsiTheme="minorHAnsi"/>
          <w:szCs w:val="22"/>
        </w:rPr>
        <w:t xml:space="preserve"> są to w</w:t>
      </w:r>
      <w:r w:rsidRPr="006A0FA8">
        <w:rPr>
          <w:rFonts w:asciiTheme="minorHAnsi" w:hAnsiTheme="minorHAnsi" w:cs="Arial"/>
          <w:szCs w:val="22"/>
        </w:rPr>
        <w:t>skaźniki odnoszące się do bezpośrednich efektów projektu, stanowią wynik realizacji projektu, ale mogą mieć na niego wpływ także inne zewnętrzne czynniki; niepowiązane bezpośrednio z wydatkami ponoszonymi w projekcie. Dostarczają informacji o zmianach jakie nastąpiły w wyniku realizacji projektu, w porównaniu z wielkością wyjściową (bazową). Są logicznie powiązane ze wskaźnikami produktu.  Muszą być adekwatne do celu projektu.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="TimesNewRoman,Bold" w:hAnsi="TimesNewRoman,Bold" w:cs="TimesNewRoman,Bold"/>
          <w:szCs w:val="22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</w:rPr>
      </w:pPr>
      <w:r w:rsidRPr="006A0FA8">
        <w:rPr>
          <w:rFonts w:asciiTheme="minorHAnsi" w:hAnsiTheme="minorHAnsi" w:cs="TimesNewRoman,Bold"/>
          <w:szCs w:val="22"/>
        </w:rPr>
        <w:t xml:space="preserve">Dla każdego z wybranych wskaźników Wnioskodawca zobowiązany jest do wskazania </w:t>
      </w:r>
      <w:r w:rsidRPr="006A0FA8">
        <w:rPr>
          <w:rFonts w:asciiTheme="minorHAnsi" w:hAnsiTheme="minorHAnsi" w:cs="TimesNewRoman,Bold"/>
          <w:i/>
          <w:szCs w:val="22"/>
        </w:rPr>
        <w:t>„Jednostki miary”</w:t>
      </w:r>
      <w:r w:rsidRPr="006A0FA8">
        <w:rPr>
          <w:rFonts w:asciiTheme="minorHAnsi" w:hAnsiTheme="minorHAnsi" w:cs="TimesNewRoman,Bold"/>
          <w:szCs w:val="22"/>
        </w:rPr>
        <w:t xml:space="preserve">, </w:t>
      </w:r>
      <w:r w:rsidRPr="006A0FA8">
        <w:rPr>
          <w:rFonts w:asciiTheme="minorHAnsi" w:hAnsiTheme="minorHAnsi" w:cs="TimesNewRoman,Bold"/>
          <w:i/>
          <w:szCs w:val="22"/>
        </w:rPr>
        <w:t>„Wartości bazowej”</w:t>
      </w:r>
      <w:r w:rsidRPr="006A0FA8">
        <w:rPr>
          <w:rFonts w:asciiTheme="minorHAnsi" w:hAnsiTheme="minorHAnsi" w:cs="TimesNewRoman,Bold"/>
          <w:szCs w:val="22"/>
        </w:rPr>
        <w:t xml:space="preserve">, </w:t>
      </w:r>
      <w:r w:rsidRPr="006A0FA8">
        <w:rPr>
          <w:rFonts w:asciiTheme="minorHAnsi" w:hAnsiTheme="minorHAnsi" w:cs="TimesNewRoman,Bold"/>
          <w:i/>
          <w:szCs w:val="22"/>
        </w:rPr>
        <w:t>„Wartości docelowej wskaźnika”</w:t>
      </w:r>
      <w:r w:rsidRPr="006A0FA8">
        <w:rPr>
          <w:rFonts w:asciiTheme="minorHAnsi" w:hAnsiTheme="minorHAnsi" w:cs="TimesNewRoman,Bold"/>
          <w:szCs w:val="22"/>
        </w:rPr>
        <w:t xml:space="preserve">, a także </w:t>
      </w:r>
      <w:r w:rsidRPr="006A0FA8">
        <w:rPr>
          <w:rFonts w:asciiTheme="minorHAnsi" w:hAnsiTheme="minorHAnsi" w:cs="TimesNewRoman,Bold"/>
          <w:i/>
          <w:szCs w:val="22"/>
        </w:rPr>
        <w:t>„Źródła informacji o wskaźniku”</w:t>
      </w:r>
      <w:r w:rsidRPr="006A0FA8">
        <w:rPr>
          <w:rFonts w:asciiTheme="minorHAnsi" w:hAnsiTheme="minorHAnsi" w:cs="TimesNewRoman,Bold"/>
          <w:szCs w:val="22"/>
        </w:rPr>
        <w:t xml:space="preserve">. 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TimesNewRoman,Bold"/>
          <w:szCs w:val="22"/>
        </w:rPr>
      </w:pPr>
      <w:r w:rsidRPr="006A0FA8">
        <w:rPr>
          <w:rFonts w:asciiTheme="minorHAnsi" w:hAnsiTheme="minorHAnsi" w:cs="TimesNewRoman,Bold"/>
          <w:szCs w:val="22"/>
        </w:rPr>
        <w:t xml:space="preserve">Wartość docelowa dla wskaźnika rezultatu to wyrażony liczbowo stan danego wskaźnika uzyskany w efekcie realizacji projektu </w:t>
      </w: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6A0FA8">
        <w:rPr>
          <w:rFonts w:asciiTheme="minorHAnsi" w:hAnsiTheme="minorHAnsi"/>
        </w:rPr>
        <w:t>Jako źródło informacji o wskaźniku wskazać należy odpowiedni dokument (np. liczba odwiedzin na stronie, liczba użytkowników baz danych).</w:t>
      </w:r>
    </w:p>
    <w:p w:rsidR="006A0FA8" w:rsidRPr="006A0FA8" w:rsidRDefault="006A0FA8" w:rsidP="006A0FA8">
      <w:pPr>
        <w:spacing w:line="240" w:lineRule="auto"/>
        <w:rPr>
          <w:rFonts w:cs="Arial"/>
          <w:szCs w:val="22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6A0FA8">
        <w:rPr>
          <w:rFonts w:asciiTheme="minorHAnsi" w:hAnsiTheme="minorHAnsi"/>
          <w:szCs w:val="22"/>
        </w:rPr>
        <w:t>W ramach Działania 2.1 określono poniższe wskaźniki</w:t>
      </w:r>
      <w:r w:rsidRPr="006A0FA8">
        <w:rPr>
          <w:rFonts w:asciiTheme="minorHAnsi" w:hAnsiTheme="minorHAnsi"/>
          <w:b/>
          <w:szCs w:val="22"/>
        </w:rPr>
        <w:t xml:space="preserve"> rezultatu bezpośredniego</w:t>
      </w:r>
      <w:r w:rsidRPr="006A0FA8">
        <w:rPr>
          <w:rFonts w:asciiTheme="minorHAnsi" w:hAnsiTheme="minorHAnsi"/>
          <w:szCs w:val="22"/>
        </w:rPr>
        <w:t>:</w:t>
      </w:r>
    </w:p>
    <w:tbl>
      <w:tblPr>
        <w:tblW w:w="5127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1303"/>
        <w:gridCol w:w="4065"/>
        <w:gridCol w:w="1949"/>
      </w:tblGrid>
      <w:tr w:rsidR="006A0FA8" w:rsidRPr="006A0FA8" w:rsidTr="000E2A4F">
        <w:trPr>
          <w:trHeight w:val="20"/>
          <w:jc w:val="center"/>
        </w:trPr>
        <w:tc>
          <w:tcPr>
            <w:tcW w:w="1159" w:type="pct"/>
            <w:shd w:val="clear" w:color="auto" w:fill="auto"/>
            <w:vAlign w:val="center"/>
          </w:tcPr>
          <w:p w:rsidR="006A0FA8" w:rsidRPr="006A0FA8" w:rsidRDefault="006A0FA8" w:rsidP="006A0FA8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A0FA8">
              <w:rPr>
                <w:rFonts w:asciiTheme="minorHAnsi" w:hAnsiTheme="minorHAnsi"/>
                <w:b/>
                <w:szCs w:val="22"/>
              </w:rPr>
              <w:t>Nazwa wskaźnika rezultatu bezpośredniego</w:t>
            </w:r>
          </w:p>
        </w:tc>
        <w:tc>
          <w:tcPr>
            <w:tcW w:w="684" w:type="pct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23" w:type="pct"/>
          </w:tcPr>
          <w:p w:rsidR="006A0FA8" w:rsidRPr="006A0FA8" w:rsidRDefault="006A0FA8" w:rsidP="006A0FA8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A0FA8"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59" w:type="pct"/>
            <w:shd w:val="clear" w:color="auto" w:fill="auto"/>
          </w:tcPr>
          <w:p w:rsidR="006A0FA8" w:rsidRPr="006A0FA8" w:rsidRDefault="006A0FA8" w:rsidP="006A0FA8">
            <w:pPr>
              <w:tabs>
                <w:tab w:val="left" w:pos="316"/>
              </w:tabs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 w:rsidRPr="006A0FA8">
              <w:rPr>
                <w:rFonts w:ascii="Calibri" w:hAnsi="Calibri" w:cs="Arial"/>
                <w:szCs w:val="22"/>
              </w:rPr>
              <w:t xml:space="preserve">Liczba pobrań/uruchomień aplikacji opartych na ponownym wykorzystaniu informacji sektora publicznego i e-usług </w:t>
            </w:r>
            <w:r w:rsidRPr="006A0FA8">
              <w:rPr>
                <w:rFonts w:ascii="Calibri" w:hAnsi="Calibri" w:cs="Arial"/>
                <w:szCs w:val="22"/>
              </w:rPr>
              <w:lastRenderedPageBreak/>
              <w:t xml:space="preserve">publicznych </w:t>
            </w:r>
          </w:p>
          <w:p w:rsidR="006A0FA8" w:rsidRPr="006A0FA8" w:rsidRDefault="006A0FA8" w:rsidP="006A0FA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84" w:type="pct"/>
          </w:tcPr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Szt.</w:t>
            </w:r>
          </w:p>
        </w:tc>
        <w:tc>
          <w:tcPr>
            <w:tcW w:w="2134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Wskaźnik należy definiować jako liczbę pobrań (w przypadku aplikacji instalowanych na urządzeniu użytkownika) lub uruchomień (w przypadku aplikacji dostępnych zdalnie z serwera) aplikacji opartych na ponownym wykorzystaniu informacji sektora publicznego i e-usług publicznych w ciągu roku od daty </w:t>
            </w:r>
            <w:r w:rsidRPr="006A0FA8"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 xml:space="preserve">zakończenia realizacji projektu. 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="Arial"/>
                <w:szCs w:val="22"/>
                <w:lang w:eastAsia="en-US"/>
              </w:rPr>
              <w:t>Jako aplikację należy rozumieć program wykonujący konkretne zadania, wyposażony w interfejs użytkownika (zarówno program instalowany na urządzeniu użytkownika - takim jak np. komputer, tablet czy telefon komórkowy; jak i program pracujący na serwerze internetowym, dostępny przez przeglądarkę www).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="Arial"/>
                <w:szCs w:val="22"/>
                <w:lang w:eastAsia="en-US"/>
              </w:rPr>
              <w:t>Jako ponowne wykorzystanie informacji sektora publicznego należy rozumieć „wykorzystywanie przez osoby fizyczne lub prawne dokumentów będących w posiadaniu organów sektora publicznego, do celów komercyjnych lub niekomercyjnych innych niż ich pierwotne przeznaczenie w ramach zadań publicznych, dla których te dokumenty zostały wyprodukowane" (art. 2 ust. 4, dyrektywa 2003/98/WE).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="Arial"/>
                <w:szCs w:val="22"/>
                <w:lang w:eastAsia="en-US"/>
              </w:rPr>
              <w:t>W ramach wskaźnika liczone są aplikacje wytworzone przez podmioty niepubliczne, przetwarzające informacje pochodzące od podmiotów publicznych.</w:t>
            </w:r>
          </w:p>
        </w:tc>
        <w:tc>
          <w:tcPr>
            <w:tcW w:w="102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  <w:lang w:val="en-US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0E2A4F">
        <w:trPr>
          <w:trHeight w:val="20"/>
          <w:jc w:val="center"/>
        </w:trPr>
        <w:tc>
          <w:tcPr>
            <w:tcW w:w="1159" w:type="pct"/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="Calibri" w:hAnsi="Calibri" w:cs="Arial"/>
                <w:szCs w:val="22"/>
              </w:rPr>
              <w:lastRenderedPageBreak/>
              <w:t>Liczba pobrań/</w:t>
            </w:r>
            <w:proofErr w:type="spellStart"/>
            <w:r w:rsidRPr="006A0FA8">
              <w:rPr>
                <w:rFonts w:ascii="Calibri" w:hAnsi="Calibri" w:cs="Arial"/>
                <w:szCs w:val="22"/>
              </w:rPr>
              <w:t>odtworzeń</w:t>
            </w:r>
            <w:proofErr w:type="spellEnd"/>
            <w:r w:rsidRPr="006A0FA8">
              <w:rPr>
                <w:rFonts w:ascii="Calibri" w:hAnsi="Calibri" w:cs="Arial"/>
                <w:szCs w:val="22"/>
              </w:rPr>
              <w:t xml:space="preserve"> dokumentów zawierających informacje sektora publicznego </w:t>
            </w:r>
          </w:p>
        </w:tc>
        <w:tc>
          <w:tcPr>
            <w:tcW w:w="684" w:type="pct"/>
          </w:tcPr>
          <w:p w:rsidR="006A0FA8" w:rsidRPr="006A0FA8" w:rsidRDefault="006A0FA8" w:rsidP="006A0FA8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Szt.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833AD5" w:rsidRPr="00414AF4" w:rsidRDefault="00833AD5" w:rsidP="00414AF4">
            <w:pPr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Liczba pobrań/ </w:t>
            </w:r>
            <w:proofErr w:type="spellStart"/>
            <w:r w:rsidRPr="00414AF4">
              <w:rPr>
                <w:rFonts w:ascii="Calibri" w:hAnsi="Calibri" w:cs="Arial"/>
                <w:szCs w:val="22"/>
              </w:rPr>
              <w:t>odtworzeń</w:t>
            </w:r>
            <w:proofErr w:type="spellEnd"/>
            <w:r w:rsidRPr="00414AF4">
              <w:rPr>
                <w:rFonts w:ascii="Calibri" w:hAnsi="Calibri" w:cs="Arial"/>
                <w:szCs w:val="22"/>
              </w:rPr>
              <w:t xml:space="preserve"> udostępnionych w ramach Projektu dokumentów </w:t>
            </w:r>
          </w:p>
          <w:p w:rsidR="00833AD5" w:rsidRPr="00414AF4" w:rsidRDefault="00833AD5" w:rsidP="00414AF4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stanowiących informacje sektora publicznego, które w wyniku wsparcia, </w:t>
            </w:r>
          </w:p>
          <w:p w:rsidR="00833AD5" w:rsidRPr="00414AF4" w:rsidRDefault="00833AD5" w:rsidP="00414AF4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zostaną pobrane/ wyświetlone przez użytkowników końcowych. </w:t>
            </w:r>
          </w:p>
          <w:p w:rsidR="00833AD5" w:rsidRPr="00414AF4" w:rsidRDefault="00833AD5" w:rsidP="00414AF4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 </w:t>
            </w:r>
          </w:p>
          <w:p w:rsidR="00833AD5" w:rsidRPr="00414AF4" w:rsidRDefault="00833AD5" w:rsidP="00414AF4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</w:p>
          <w:p w:rsidR="00833AD5" w:rsidRPr="00414AF4" w:rsidRDefault="00833AD5" w:rsidP="00414AF4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Wartość wskaźnika należy liczyć jako sumę liczby pobrań </w:t>
            </w:r>
            <w:r w:rsidR="00DD181F">
              <w:rPr>
                <w:rFonts w:ascii="Calibri" w:hAnsi="Calibri" w:cs="Arial"/>
                <w:szCs w:val="22"/>
              </w:rPr>
              <w:t>lub</w:t>
            </w:r>
            <w:r w:rsidR="00DD181F" w:rsidRPr="00414AF4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414AF4">
              <w:rPr>
                <w:rFonts w:ascii="Calibri" w:hAnsi="Calibri" w:cs="Arial"/>
                <w:szCs w:val="22"/>
              </w:rPr>
              <w:t>odtworzeń</w:t>
            </w:r>
            <w:proofErr w:type="spellEnd"/>
            <w:r w:rsidRPr="00414AF4">
              <w:rPr>
                <w:rFonts w:ascii="Calibri" w:hAnsi="Calibri" w:cs="Arial"/>
                <w:szCs w:val="22"/>
              </w:rPr>
              <w:t xml:space="preserve"> </w:t>
            </w:r>
          </w:p>
          <w:p w:rsidR="00833AD5" w:rsidRPr="00414AF4" w:rsidRDefault="00833AD5" w:rsidP="00057C26">
            <w:pPr>
              <w:spacing w:before="0" w:line="240" w:lineRule="auto"/>
              <w:jc w:val="both"/>
              <w:rPr>
                <w:rFonts w:ascii="Calibri" w:hAnsi="Calibri" w:cs="Arial"/>
                <w:szCs w:val="22"/>
              </w:rPr>
            </w:pPr>
            <w:r w:rsidRPr="00414AF4">
              <w:rPr>
                <w:rFonts w:ascii="Calibri" w:hAnsi="Calibri" w:cs="Arial"/>
                <w:szCs w:val="22"/>
              </w:rPr>
              <w:t xml:space="preserve">poszczególnych dokumentów w </w:t>
            </w:r>
            <w:r w:rsidR="00DD181F">
              <w:rPr>
                <w:rFonts w:ascii="Calibri" w:hAnsi="Calibri" w:cs="Arial"/>
                <w:szCs w:val="22"/>
              </w:rPr>
              <w:t>okresie</w:t>
            </w:r>
            <w:r w:rsidR="00414AF4">
              <w:rPr>
                <w:rFonts w:ascii="Calibri" w:hAnsi="Calibri" w:cs="Arial"/>
                <w:szCs w:val="22"/>
              </w:rPr>
              <w:t xml:space="preserve"> </w:t>
            </w:r>
            <w:r w:rsidRPr="00414AF4">
              <w:rPr>
                <w:rFonts w:ascii="Calibri" w:hAnsi="Calibri" w:cs="Arial"/>
                <w:szCs w:val="22"/>
              </w:rPr>
              <w:t>od zakończenia realizacji projektu</w:t>
            </w:r>
            <w:r w:rsidR="00DD181F">
              <w:rPr>
                <w:rFonts w:ascii="Calibri" w:hAnsi="Calibri" w:cs="Arial"/>
                <w:szCs w:val="22"/>
              </w:rPr>
              <w:t>.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 xml:space="preserve">Przez informacje sektora publicznego należy rozumieć: 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 xml:space="preserve">- informację publiczną w rozumieniu ustawy z dnia 6 września 2001 r. o dostępie do informacji publicznej, 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audiowizualne, pod warunkiem ich udostępniania do ponownego wykorzystywania,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archiwalne, pod warunkiem ich udostępnienia do ponownego wykorzystania,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kultury, pod warunkiem ich udostepnienia do ponownego wykorzystania,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- zasoby nauki, pod warunkiem ich udostępniania do ponownego wykorzystywania.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Metoda pomiaru: Jeden utwór w rozumieniu ustawy o prawie autorskim i prawach pokrewnych powinien być zliczany jako jeden dokument, niezależnie od liczby części (plików), w których został udostępniony</w:t>
            </w:r>
            <w:r w:rsidR="00833AD5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="00833AD5">
              <w:rPr>
                <w:rFonts w:asciiTheme="minorHAnsi" w:hAnsiTheme="minorHAnsi"/>
                <w:szCs w:val="22"/>
              </w:rPr>
              <w:t>zdigitalizowany</w:t>
            </w:r>
            <w:proofErr w:type="spellEnd"/>
            <w:r w:rsidRPr="006A0FA8">
              <w:rPr>
                <w:rFonts w:asciiTheme="minorHAnsi" w:hAnsiTheme="minorHAnsi"/>
                <w:szCs w:val="22"/>
              </w:rPr>
              <w:t xml:space="preserve">. </w:t>
            </w:r>
          </w:p>
          <w:p w:rsidR="006A0FA8" w:rsidRPr="006A0FA8" w:rsidRDefault="006A0FA8" w:rsidP="006A0FA8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3" w:type="pct"/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  <w:tr w:rsidR="006A0FA8" w:rsidRPr="006A0FA8" w:rsidTr="00DD181F">
        <w:trPr>
          <w:trHeight w:val="973"/>
          <w:jc w:val="center"/>
        </w:trPr>
        <w:tc>
          <w:tcPr>
            <w:tcW w:w="115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lastRenderedPageBreak/>
              <w:t>Wzrost zatrudnienia we wspieranych podmiotach (innych niż przedsiębiorstwa)</w:t>
            </w:r>
          </w:p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O/K/M</w:t>
            </w:r>
          </w:p>
        </w:tc>
        <w:tc>
          <w:tcPr>
            <w:tcW w:w="6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6A0FA8" w:rsidRPr="006A0FA8" w:rsidRDefault="006A0FA8" w:rsidP="006A0FA8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13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A0FA8" w:rsidRPr="006A0FA8" w:rsidRDefault="006A0FA8" w:rsidP="00DD181F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>Nowe miejsca pracy brutto we wspartych  </w:t>
            </w:r>
            <w:r w:rsidR="00DD181F">
              <w:rPr>
                <w:rFonts w:asciiTheme="minorHAnsi" w:hAnsiTheme="minorHAnsi"/>
                <w:i/>
                <w:szCs w:val="22"/>
              </w:rPr>
              <w:t>podmiotach</w:t>
            </w:r>
            <w:r w:rsidR="00DD181F" w:rsidRPr="006A0FA8"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wyrażone w ekwiwalencie pełnego czasu pracy (EPC). </w:t>
            </w:r>
          </w:p>
          <w:p w:rsidR="006A0FA8" w:rsidRPr="006A0FA8" w:rsidRDefault="006A0FA8" w:rsidP="00DD181F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Wskaźnik ukazuje zmianę "przed-po"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i obejmuje część wzrostu zatrudnienia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w </w:t>
            </w:r>
            <w:r w:rsidR="00DD181F">
              <w:rPr>
                <w:rFonts w:asciiTheme="minorHAnsi" w:hAnsiTheme="minorHAnsi"/>
                <w:i/>
                <w:szCs w:val="22"/>
              </w:rPr>
              <w:t>podmiocie</w:t>
            </w:r>
            <w:r w:rsidR="00DD181F" w:rsidRPr="006A0FA8"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będącego bezpośrednim skutkiem zakończenia realizacji projektu (nie są wliczani pracownicy zatrudnieni do realizacji projektu). </w:t>
            </w:r>
          </w:p>
          <w:p w:rsidR="006A0FA8" w:rsidRPr="006A0FA8" w:rsidRDefault="006A0FA8" w:rsidP="00DD181F">
            <w:pPr>
              <w:spacing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Uwzględnia się obsadzone miejsca pracy (wakaty nie są liczone), które zwiększają łączną liczbę miejsc pracy w </w:t>
            </w:r>
            <w:r w:rsidR="00DD181F"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. Brak wzrostu w całkowitym zatrudnieniu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w </w:t>
            </w:r>
            <w:r w:rsidR="00DD181F">
              <w:rPr>
                <w:rFonts w:asciiTheme="minorHAnsi" w:hAnsiTheme="minorHAnsi"/>
                <w:i/>
                <w:szCs w:val="22"/>
              </w:rPr>
              <w:t>podmiocie</w:t>
            </w:r>
            <w:r w:rsidR="00DD181F" w:rsidRPr="006A0FA8"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oznacza, że wartość wskaźnika jest równa zero, co traktuje się </w:t>
            </w:r>
            <w:r w:rsidRPr="006A0FA8">
              <w:rPr>
                <w:rFonts w:asciiTheme="minorHAnsi" w:hAnsiTheme="minorHAnsi"/>
                <w:i/>
                <w:szCs w:val="22"/>
              </w:rPr>
              <w:lastRenderedPageBreak/>
              <w:t>jako wyrównanie miejsc pracy, a nie wzrost. Nie wlicza się miejsc pracy, np. utrzymanych dzięki realizacji projektu.</w:t>
            </w:r>
          </w:p>
          <w:p w:rsidR="006A0FA8" w:rsidRPr="006A0FA8" w:rsidRDefault="006A0FA8" w:rsidP="00DD181F">
            <w:pPr>
              <w:spacing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Brutto: Nie uwzględniamy miejsca pracy otrzymanego w wyniku zmian wewnątrz </w:t>
            </w:r>
            <w:r w:rsidR="00DD181F" w:rsidRPr="006A0FA8">
              <w:rPr>
                <w:rFonts w:asciiTheme="minorHAnsi" w:hAnsiTheme="minorHAnsi"/>
                <w:i/>
                <w:szCs w:val="22"/>
              </w:rPr>
              <w:t>p</w:t>
            </w:r>
            <w:r w:rsidR="00DD181F">
              <w:rPr>
                <w:rFonts w:asciiTheme="minorHAnsi" w:hAnsiTheme="minorHAnsi"/>
                <w:i/>
                <w:szCs w:val="22"/>
              </w:rPr>
              <w:t>odmiocie</w:t>
            </w:r>
            <w:r w:rsidRPr="006A0FA8">
              <w:rPr>
                <w:rFonts w:asciiTheme="minorHAnsi" w:hAnsiTheme="minorHAnsi"/>
                <w:i/>
                <w:szCs w:val="22"/>
              </w:rPr>
              <w:t>, dopóki nie przyczyni się to do całkowitego wzrostu liczby miejsc pracy</w:t>
            </w:r>
            <w:r w:rsidR="00DD181F">
              <w:rPr>
                <w:rFonts w:asciiTheme="minorHAnsi" w:hAnsiTheme="minorHAnsi"/>
                <w:i/>
                <w:szCs w:val="22"/>
              </w:rPr>
              <w:t>.</w:t>
            </w:r>
            <w:r w:rsidRPr="006A0FA8">
              <w:rPr>
                <w:rFonts w:asciiTheme="minorHAnsi" w:hAnsiTheme="minorHAnsi"/>
                <w:i/>
                <w:szCs w:val="22"/>
              </w:rPr>
              <w:t>. Wskaźnik powinien być zastosowany, jeżeli wzrost zatrudnienia może być wiarygodnie przypisany do wsparcia w ramach projektu.</w:t>
            </w:r>
          </w:p>
          <w:p w:rsidR="006A0FA8" w:rsidRPr="006A0FA8" w:rsidRDefault="006A0FA8" w:rsidP="00DD181F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Ekwiwalent pełnego czasu pracy: miejsca pracy mogą być pełnoetatowe, na część etatu lub sezonowe, przy czym etaty częściowe podlegają sumowaniu lecz nie są zaokrąglane do pełnych jednostek. Zatrudnienie sezonowe i na część etatu przelicza się na EPC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z wykorzystaniem standardów ILO (Międzynarodowa Organizacja Pracy)/ statystycznych/innych. </w:t>
            </w:r>
          </w:p>
          <w:p w:rsidR="006A0FA8" w:rsidRPr="006A0FA8" w:rsidRDefault="006A0FA8" w:rsidP="00DD181F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6A0FA8" w:rsidRPr="006A0FA8" w:rsidRDefault="006A0FA8" w:rsidP="00DD181F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6A0FA8" w:rsidRPr="006A0FA8" w:rsidTr="000E2A4F">
        <w:trPr>
          <w:cantSplit/>
          <w:trHeight w:val="20"/>
          <w:jc w:val="center"/>
        </w:trPr>
        <w:tc>
          <w:tcPr>
            <w:tcW w:w="115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lastRenderedPageBreak/>
              <w:t>Liczba utrzymanych miejsc pracy</w:t>
            </w:r>
          </w:p>
        </w:tc>
        <w:tc>
          <w:tcPr>
            <w:tcW w:w="6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A0FA8" w:rsidRPr="006A0FA8" w:rsidRDefault="006A0FA8" w:rsidP="006A0FA8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13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Miejsca pracy utworzone w wyniku realizacji projektu, lecz nie powodują wzrostu zatrudnienia w organizacji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6A0FA8" w:rsidRPr="006A0FA8" w:rsidTr="000E2A4F">
        <w:trPr>
          <w:cantSplit/>
          <w:trHeight w:val="20"/>
          <w:jc w:val="center"/>
        </w:trPr>
        <w:tc>
          <w:tcPr>
            <w:tcW w:w="115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 xml:space="preserve">Liczba nowo utworzonych miejsc pracy - pozostałe formy </w:t>
            </w:r>
          </w:p>
        </w:tc>
        <w:tc>
          <w:tcPr>
            <w:tcW w:w="6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6A0FA8" w:rsidRPr="006A0FA8" w:rsidRDefault="006A0FA8" w:rsidP="006A0FA8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13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A0FA8" w:rsidRPr="006A0FA8" w:rsidRDefault="006A0FA8" w:rsidP="006A0FA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iCs/>
                <w:szCs w:val="22"/>
                <w:lang w:eastAsia="en-US"/>
              </w:rPr>
              <w:t>Pozostałe formy</w:t>
            </w:r>
            <w:r w:rsidRPr="006A0FA8">
              <w:rPr>
                <w:rFonts w:asciiTheme="minorHAnsi" w:eastAsiaTheme="minorHAnsi" w:hAnsiTheme="minorHAnsi" w:cs="Verdana"/>
                <w:szCs w:val="22"/>
                <w:lang w:eastAsia="en-US"/>
              </w:rPr>
              <w:t xml:space="preserve">, np. umowy cywilnoprawne, miejsca pracy do obsługi projektu, nietrwałe miejsca pracy </w:t>
            </w:r>
          </w:p>
          <w:p w:rsidR="006A0FA8" w:rsidRPr="006A0FA8" w:rsidRDefault="006A0FA8" w:rsidP="006A0FA8">
            <w:pPr>
              <w:spacing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A0FA8" w:rsidRPr="006A0FA8" w:rsidRDefault="006A0FA8" w:rsidP="006A0FA8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6A0FA8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6A0FA8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6A0FA8">
        <w:rPr>
          <w:rFonts w:asciiTheme="minorHAnsi" w:eastAsiaTheme="minorHAnsi" w:hAnsiTheme="minorHAnsi" w:cs="Arial"/>
          <w:szCs w:val="22"/>
          <w:lang w:eastAsia="en-US"/>
        </w:rPr>
        <w:t xml:space="preserve"> wskaźniki produktu oraz rezultatu bezpośredniego z listy przedstawionej </w:t>
      </w:r>
      <w:r w:rsidRPr="006A0FA8">
        <w:rPr>
          <w:rFonts w:asciiTheme="minorHAnsi" w:eastAsiaTheme="minorHAnsi" w:hAnsiTheme="minorHAnsi" w:cs="Arial"/>
          <w:szCs w:val="22"/>
          <w:lang w:eastAsia="en-US"/>
        </w:rPr>
        <w:br/>
        <w:t xml:space="preserve">w powyższych tabelach, odpowiadające celowi projektu. </w:t>
      </w:r>
      <w:r w:rsidRPr="006A0FA8">
        <w:rPr>
          <w:rFonts w:asciiTheme="minorHAnsi" w:hAnsiTheme="minorHAnsi"/>
          <w:szCs w:val="22"/>
        </w:rPr>
        <w:t xml:space="preserve">Dodatkowo w ramach wniosku </w:t>
      </w:r>
      <w:r w:rsidRPr="006A0FA8">
        <w:rPr>
          <w:rFonts w:asciiTheme="minorHAnsi" w:hAnsiTheme="minorHAnsi"/>
          <w:szCs w:val="22"/>
        </w:rPr>
        <w:br/>
        <w:t>o dofinansowanie Wnioskodawca może określić inne, dodatkowe wskaźniki specyficzne dla danego projektu, o ile będzie to niezbędne dla prawidłowej realizacji projektu (tzw. wskaźniki projektowe).</w:t>
      </w:r>
    </w:p>
    <w:p w:rsidR="006A0FA8" w:rsidRPr="006A0FA8" w:rsidRDefault="006A0FA8" w:rsidP="006A0F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b/>
          <w:iCs/>
          <w:szCs w:val="22"/>
          <w:lang w:eastAsia="en-US"/>
        </w:rPr>
      </w:pPr>
    </w:p>
    <w:p w:rsidR="006A0FA8" w:rsidRPr="006A0FA8" w:rsidRDefault="006A0FA8" w:rsidP="006A0FA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A0FA8">
        <w:rPr>
          <w:rFonts w:asciiTheme="minorHAnsi" w:eastAsiaTheme="minorHAnsi" w:hAnsiTheme="minorHAnsi" w:cstheme="minorBidi"/>
          <w:szCs w:val="22"/>
          <w:lang w:eastAsia="en-US"/>
        </w:rPr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6A0FA8" w:rsidRPr="006A0FA8" w:rsidRDefault="006A0FA8" w:rsidP="006A0FA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6A0FA8" w:rsidRPr="006A0FA8" w:rsidRDefault="006A0FA8" w:rsidP="006A0FA8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6A0FA8">
        <w:rPr>
          <w:rFonts w:asciiTheme="minorHAnsi" w:hAnsiTheme="minorHAnsi" w:cs="Arial"/>
          <w:b/>
          <w:u w:val="single"/>
        </w:rPr>
        <w:t>Wartość bazowa (tzn. wartość w momencie rozpoczęcia realizacji projektu) w przypadku każdego wskaźnika powinna być wykazana na poziomie „0”.</w:t>
      </w:r>
    </w:p>
    <w:p w:rsidR="006A0FA8" w:rsidRPr="006A0FA8" w:rsidRDefault="006A0FA8" w:rsidP="006A0FA8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6A0FA8">
        <w:rPr>
          <w:rFonts w:asciiTheme="minorHAnsi" w:hAnsiTheme="minorHAnsi" w:cs="Arial"/>
          <w:b/>
          <w:u w:val="single"/>
        </w:rPr>
        <w:lastRenderedPageBreak/>
        <w:t xml:space="preserve">O ile w umowie o dofinansowanie projektu nie wskazano inaczej, efekt wsparcia na poziomie projektu występuje: </w:t>
      </w:r>
    </w:p>
    <w:p w:rsidR="006A0FA8" w:rsidRPr="006A0FA8" w:rsidRDefault="006A0FA8" w:rsidP="006A0FA8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6A0FA8">
        <w:rPr>
          <w:rFonts w:asciiTheme="minorHAnsi" w:hAnsiTheme="minorHAnsi" w:cs="Arial"/>
          <w:b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:rsidR="006A0FA8" w:rsidRPr="006A0FA8" w:rsidRDefault="006A0FA8" w:rsidP="006A0FA8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6A0FA8">
        <w:rPr>
          <w:rFonts w:asciiTheme="minorHAnsi" w:hAnsiTheme="minorHAnsi" w:cs="Arial"/>
          <w:b/>
          <w:u w:val="single"/>
        </w:rPr>
        <w:t xml:space="preserve">b) w przypadku wskaźników rezultatu określonych na poziomie projektu: </w:t>
      </w:r>
    </w:p>
    <w:p w:rsidR="006A0FA8" w:rsidRPr="006A0FA8" w:rsidRDefault="006A0FA8" w:rsidP="006A0FA8">
      <w:pPr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u w:val="single"/>
        </w:rPr>
      </w:pPr>
      <w:r w:rsidRPr="006A0FA8">
        <w:rPr>
          <w:rFonts w:asciiTheme="minorHAnsi" w:hAnsiTheme="minorHAnsi" w:cs="Arial"/>
          <w:b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p w:rsidR="006A0FA8" w:rsidRPr="006A0FA8" w:rsidRDefault="006A0FA8" w:rsidP="006A0FA8">
      <w:pPr>
        <w:spacing w:line="240" w:lineRule="auto"/>
        <w:rPr>
          <w:szCs w:val="22"/>
        </w:rPr>
      </w:pPr>
    </w:p>
    <w:bookmarkEnd w:id="0"/>
    <w:bookmarkEnd w:id="1"/>
    <w:bookmarkEnd w:id="2"/>
    <w:p w:rsidR="0032765F" w:rsidRPr="00217AF8" w:rsidRDefault="0032765F" w:rsidP="007650AC">
      <w:pPr>
        <w:spacing w:line="240" w:lineRule="auto"/>
        <w:rPr>
          <w:rFonts w:asciiTheme="minorHAnsi" w:hAnsiTheme="minorHAnsi"/>
          <w:szCs w:val="22"/>
        </w:rPr>
      </w:pPr>
    </w:p>
    <w:sectPr w:rsidR="0032765F" w:rsidRPr="00217AF8" w:rsidSect="003A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B" w:rsidRDefault="00E1332B" w:rsidP="008C495E">
      <w:pPr>
        <w:spacing w:before="0" w:line="240" w:lineRule="auto"/>
      </w:pPr>
      <w:r>
        <w:separator/>
      </w:r>
    </w:p>
  </w:endnote>
  <w:endnote w:type="continuationSeparator" w:id="0">
    <w:p w:rsidR="00E1332B" w:rsidRDefault="00E1332B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30044"/>
      <w:docPartObj>
        <w:docPartGallery w:val="Page Numbers (Bottom of Page)"/>
        <w:docPartUnique/>
      </w:docPartObj>
    </w:sdtPr>
    <w:sdtEndPr/>
    <w:sdtContent>
      <w:p w:rsidR="00A66C0C" w:rsidRDefault="00E4616B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A47D66">
          <w:rPr>
            <w:noProof/>
          </w:rPr>
          <w:t>5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0"/>
      <w:docPartObj>
        <w:docPartGallery w:val="Page Numbers (Bottom of Page)"/>
        <w:docPartUnique/>
      </w:docPartObj>
    </w:sdtPr>
    <w:sdtEndPr/>
    <w:sdtContent>
      <w:p w:rsidR="009F3688" w:rsidRDefault="00C02A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688" w:rsidRDefault="009F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B" w:rsidRDefault="00E1332B" w:rsidP="008C495E">
      <w:pPr>
        <w:spacing w:before="0" w:line="240" w:lineRule="auto"/>
      </w:pPr>
      <w:r>
        <w:separator/>
      </w:r>
    </w:p>
  </w:footnote>
  <w:footnote w:type="continuationSeparator" w:id="0">
    <w:p w:rsidR="00E1332B" w:rsidRDefault="00E1332B" w:rsidP="008C495E">
      <w:pPr>
        <w:spacing w:before="0" w:line="240" w:lineRule="auto"/>
      </w:pPr>
      <w:r>
        <w:continuationSeparator/>
      </w:r>
    </w:p>
  </w:footnote>
  <w:footnote w:id="1">
    <w:p w:rsidR="00A47D66" w:rsidRDefault="00A47D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7D66">
        <w:t>Przez inny organ tej administracji należy rozumieć inny podmiot wykonujący te zadania (np. inny podmiot leczniczy) lub inną komórkę organizacyjną w ramach tego samego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88" w:rsidRDefault="009F3688" w:rsidP="003A3F65">
    <w:pPr>
      <w:pStyle w:val="Nagwek"/>
      <w:jc w:val="right"/>
      <w:rPr>
        <w:sz w:val="16"/>
        <w:szCs w:val="16"/>
      </w:rPr>
    </w:pPr>
    <w:r w:rsidRPr="009F368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5AC4BE7" wp14:editId="3DE88681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F3688" w:rsidRDefault="009F3688" w:rsidP="009F3688">
    <w:pPr>
      <w:pStyle w:val="Nagwek"/>
      <w:rPr>
        <w:sz w:val="16"/>
        <w:szCs w:val="16"/>
      </w:rPr>
    </w:pP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80DED" w:rsidRDefault="00980DED" w:rsidP="003A3F65">
    <w:pPr>
      <w:pStyle w:val="Nagwek"/>
      <w:jc w:val="right"/>
      <w:rPr>
        <w:rFonts w:asciiTheme="minorHAnsi" w:hAnsiTheme="minorHAnsi"/>
        <w:sz w:val="16"/>
        <w:szCs w:val="16"/>
      </w:rPr>
    </w:pPr>
  </w:p>
  <w:p w:rsidR="003A3F65" w:rsidRPr="009B235B" w:rsidRDefault="003A3F65" w:rsidP="003A3F65">
    <w:pPr>
      <w:pStyle w:val="Nagwek"/>
      <w:jc w:val="right"/>
      <w:rPr>
        <w:rFonts w:asciiTheme="minorHAnsi" w:hAnsiTheme="minorHAnsi"/>
        <w:sz w:val="16"/>
        <w:szCs w:val="16"/>
      </w:rPr>
    </w:pPr>
    <w:r w:rsidRPr="009B235B">
      <w:rPr>
        <w:rFonts w:asciiTheme="minorHAnsi" w:hAnsiTheme="minorHAnsi"/>
        <w:sz w:val="16"/>
        <w:szCs w:val="16"/>
      </w:rPr>
      <w:t>Załącznik  nr 2 do Regulaminu konkurs</w:t>
    </w:r>
    <w:r w:rsidR="00980DED">
      <w:rPr>
        <w:rFonts w:asciiTheme="minorHAnsi" w:hAnsiTheme="minorHAnsi"/>
        <w:sz w:val="16"/>
        <w:szCs w:val="16"/>
      </w:rPr>
      <w:t>ów</w:t>
    </w:r>
    <w:r w:rsidRPr="009B235B">
      <w:rPr>
        <w:rFonts w:asciiTheme="minorHAnsi" w:hAnsiTheme="minorHAnsi"/>
        <w:sz w:val="16"/>
        <w:szCs w:val="16"/>
      </w:rPr>
      <w:t xml:space="preserve"> </w:t>
    </w:r>
  </w:p>
  <w:p w:rsidR="00980DED" w:rsidRPr="009B235B" w:rsidRDefault="00980DED" w:rsidP="003A3F65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00"/>
    <w:multiLevelType w:val="hybridMultilevel"/>
    <w:tmpl w:val="29842B04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128AA"/>
    <w:multiLevelType w:val="hybridMultilevel"/>
    <w:tmpl w:val="6A8C1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AA3"/>
    <w:multiLevelType w:val="hybridMultilevel"/>
    <w:tmpl w:val="0372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20271"/>
    <w:multiLevelType w:val="hybridMultilevel"/>
    <w:tmpl w:val="E460F12C"/>
    <w:lvl w:ilvl="0" w:tplc="E304C5BA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5E"/>
    <w:rsid w:val="00002E70"/>
    <w:rsid w:val="000253C7"/>
    <w:rsid w:val="00057C26"/>
    <w:rsid w:val="00094C3F"/>
    <w:rsid w:val="000972D6"/>
    <w:rsid w:val="000B05C7"/>
    <w:rsid w:val="000C0A4C"/>
    <w:rsid w:val="000F2F7C"/>
    <w:rsid w:val="000F5C98"/>
    <w:rsid w:val="00141571"/>
    <w:rsid w:val="001437C9"/>
    <w:rsid w:val="0015486C"/>
    <w:rsid w:val="00184A53"/>
    <w:rsid w:val="0019150A"/>
    <w:rsid w:val="00191605"/>
    <w:rsid w:val="001C4F9E"/>
    <w:rsid w:val="00204697"/>
    <w:rsid w:val="00217AF8"/>
    <w:rsid w:val="00222A42"/>
    <w:rsid w:val="002261A4"/>
    <w:rsid w:val="002275FC"/>
    <w:rsid w:val="00237177"/>
    <w:rsid w:val="002408B0"/>
    <w:rsid w:val="00253FAA"/>
    <w:rsid w:val="00266D58"/>
    <w:rsid w:val="002972E4"/>
    <w:rsid w:val="002B246A"/>
    <w:rsid w:val="002B5DA0"/>
    <w:rsid w:val="002B7FEA"/>
    <w:rsid w:val="002C76F4"/>
    <w:rsid w:val="002D5507"/>
    <w:rsid w:val="002F6273"/>
    <w:rsid w:val="00307535"/>
    <w:rsid w:val="0032765F"/>
    <w:rsid w:val="00335935"/>
    <w:rsid w:val="00340A6B"/>
    <w:rsid w:val="00370466"/>
    <w:rsid w:val="00370881"/>
    <w:rsid w:val="00380861"/>
    <w:rsid w:val="00381C30"/>
    <w:rsid w:val="00396F3C"/>
    <w:rsid w:val="003A3F65"/>
    <w:rsid w:val="003A6137"/>
    <w:rsid w:val="003C55C7"/>
    <w:rsid w:val="003D2C3D"/>
    <w:rsid w:val="003D3BC5"/>
    <w:rsid w:val="003E12B2"/>
    <w:rsid w:val="003F6A6D"/>
    <w:rsid w:val="0041446A"/>
    <w:rsid w:val="00414AF4"/>
    <w:rsid w:val="00421C29"/>
    <w:rsid w:val="0044238B"/>
    <w:rsid w:val="00443051"/>
    <w:rsid w:val="0046263E"/>
    <w:rsid w:val="0046493A"/>
    <w:rsid w:val="00471B0C"/>
    <w:rsid w:val="00476947"/>
    <w:rsid w:val="00485CDD"/>
    <w:rsid w:val="004B303A"/>
    <w:rsid w:val="005025FD"/>
    <w:rsid w:val="00506413"/>
    <w:rsid w:val="00516B06"/>
    <w:rsid w:val="00522930"/>
    <w:rsid w:val="00530E5D"/>
    <w:rsid w:val="00535E8F"/>
    <w:rsid w:val="00555321"/>
    <w:rsid w:val="005615C8"/>
    <w:rsid w:val="005657D8"/>
    <w:rsid w:val="00572667"/>
    <w:rsid w:val="005A1857"/>
    <w:rsid w:val="005F7B50"/>
    <w:rsid w:val="0060140B"/>
    <w:rsid w:val="00604576"/>
    <w:rsid w:val="0061737E"/>
    <w:rsid w:val="00620A45"/>
    <w:rsid w:val="00620B41"/>
    <w:rsid w:val="00635DB0"/>
    <w:rsid w:val="0067179E"/>
    <w:rsid w:val="00677786"/>
    <w:rsid w:val="006A09F0"/>
    <w:rsid w:val="006A0FA8"/>
    <w:rsid w:val="006A2353"/>
    <w:rsid w:val="006B05A8"/>
    <w:rsid w:val="006C3827"/>
    <w:rsid w:val="006C652C"/>
    <w:rsid w:val="00701E65"/>
    <w:rsid w:val="00704B1F"/>
    <w:rsid w:val="007207C0"/>
    <w:rsid w:val="00726AC4"/>
    <w:rsid w:val="0072750F"/>
    <w:rsid w:val="007300ED"/>
    <w:rsid w:val="00741B27"/>
    <w:rsid w:val="007650AC"/>
    <w:rsid w:val="00770BD0"/>
    <w:rsid w:val="00782324"/>
    <w:rsid w:val="00785C6B"/>
    <w:rsid w:val="00787387"/>
    <w:rsid w:val="007B58EE"/>
    <w:rsid w:val="007D1CF1"/>
    <w:rsid w:val="007D7DE7"/>
    <w:rsid w:val="007E025A"/>
    <w:rsid w:val="007E26CB"/>
    <w:rsid w:val="007E6D53"/>
    <w:rsid w:val="00831FC4"/>
    <w:rsid w:val="0083253A"/>
    <w:rsid w:val="00833AD5"/>
    <w:rsid w:val="008554A8"/>
    <w:rsid w:val="0085713F"/>
    <w:rsid w:val="008A09D1"/>
    <w:rsid w:val="008A195C"/>
    <w:rsid w:val="008B21E1"/>
    <w:rsid w:val="008B673D"/>
    <w:rsid w:val="008C495E"/>
    <w:rsid w:val="008E3F0D"/>
    <w:rsid w:val="009024D3"/>
    <w:rsid w:val="00905F01"/>
    <w:rsid w:val="00911273"/>
    <w:rsid w:val="00916677"/>
    <w:rsid w:val="009449EE"/>
    <w:rsid w:val="009456DB"/>
    <w:rsid w:val="00945728"/>
    <w:rsid w:val="00946665"/>
    <w:rsid w:val="00957260"/>
    <w:rsid w:val="009609F6"/>
    <w:rsid w:val="00980DED"/>
    <w:rsid w:val="00982504"/>
    <w:rsid w:val="009926BE"/>
    <w:rsid w:val="0099367C"/>
    <w:rsid w:val="009B235B"/>
    <w:rsid w:val="009B52F7"/>
    <w:rsid w:val="009D3C56"/>
    <w:rsid w:val="009E65D0"/>
    <w:rsid w:val="009F3688"/>
    <w:rsid w:val="00A318E7"/>
    <w:rsid w:val="00A459F4"/>
    <w:rsid w:val="00A47D66"/>
    <w:rsid w:val="00A66C0C"/>
    <w:rsid w:val="00A7445E"/>
    <w:rsid w:val="00A804DB"/>
    <w:rsid w:val="00AD2437"/>
    <w:rsid w:val="00AF478C"/>
    <w:rsid w:val="00B145AE"/>
    <w:rsid w:val="00B17F26"/>
    <w:rsid w:val="00B204DD"/>
    <w:rsid w:val="00B235B0"/>
    <w:rsid w:val="00B32BB7"/>
    <w:rsid w:val="00B40F0F"/>
    <w:rsid w:val="00B6146D"/>
    <w:rsid w:val="00B61B7A"/>
    <w:rsid w:val="00B65942"/>
    <w:rsid w:val="00B840A9"/>
    <w:rsid w:val="00BC03CE"/>
    <w:rsid w:val="00C0278F"/>
    <w:rsid w:val="00C02ABB"/>
    <w:rsid w:val="00C10532"/>
    <w:rsid w:val="00C40E8D"/>
    <w:rsid w:val="00C426DA"/>
    <w:rsid w:val="00C43453"/>
    <w:rsid w:val="00C645A3"/>
    <w:rsid w:val="00C90F5E"/>
    <w:rsid w:val="00C9174F"/>
    <w:rsid w:val="00C94E13"/>
    <w:rsid w:val="00C96A75"/>
    <w:rsid w:val="00CC7758"/>
    <w:rsid w:val="00CF5466"/>
    <w:rsid w:val="00CF69D1"/>
    <w:rsid w:val="00D03CAB"/>
    <w:rsid w:val="00D11CB4"/>
    <w:rsid w:val="00D11E26"/>
    <w:rsid w:val="00D135E7"/>
    <w:rsid w:val="00D2500C"/>
    <w:rsid w:val="00D5098A"/>
    <w:rsid w:val="00D57D29"/>
    <w:rsid w:val="00D93881"/>
    <w:rsid w:val="00DB617A"/>
    <w:rsid w:val="00DC184F"/>
    <w:rsid w:val="00DD181F"/>
    <w:rsid w:val="00E1332B"/>
    <w:rsid w:val="00E232BD"/>
    <w:rsid w:val="00E32094"/>
    <w:rsid w:val="00E32822"/>
    <w:rsid w:val="00E32B6F"/>
    <w:rsid w:val="00E4616B"/>
    <w:rsid w:val="00E46E68"/>
    <w:rsid w:val="00E6017F"/>
    <w:rsid w:val="00E61834"/>
    <w:rsid w:val="00E71843"/>
    <w:rsid w:val="00E72468"/>
    <w:rsid w:val="00E90CA0"/>
    <w:rsid w:val="00EA265F"/>
    <w:rsid w:val="00EF5AA6"/>
    <w:rsid w:val="00F02218"/>
    <w:rsid w:val="00F065BF"/>
    <w:rsid w:val="00F11106"/>
    <w:rsid w:val="00F17083"/>
    <w:rsid w:val="00F33FEF"/>
    <w:rsid w:val="00F56AFD"/>
    <w:rsid w:val="00F66AA4"/>
    <w:rsid w:val="00F72230"/>
    <w:rsid w:val="00F762C4"/>
    <w:rsid w:val="00FC6B1D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8C495E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  <w:style w:type="character" w:customStyle="1" w:styleId="hps">
    <w:name w:val="hps"/>
    <w:basedOn w:val="Domylnaczcionkaakapitu"/>
    <w:rsid w:val="00E4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3326-FD8F-4BDA-9728-19EECD3C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3765</Words>
  <Characters>22594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15</cp:revision>
  <cp:lastPrinted>2016-04-20T06:26:00Z</cp:lastPrinted>
  <dcterms:created xsi:type="dcterms:W3CDTF">2016-10-17T10:05:00Z</dcterms:created>
  <dcterms:modified xsi:type="dcterms:W3CDTF">2016-12-29T14:03:00Z</dcterms:modified>
</cp:coreProperties>
</file>