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1ED" w:rsidRPr="001D51ED" w:rsidRDefault="001D51ED" w:rsidP="001D51ED">
      <w:pPr>
        <w:rPr>
          <w:rFonts w:asciiTheme="minorHAnsi" w:hAnsiTheme="minorHAnsi"/>
        </w:rPr>
      </w:pPr>
    </w:p>
    <w:p w:rsidR="001D51ED" w:rsidRPr="001D51ED" w:rsidRDefault="001D51ED" w:rsidP="001D51ED">
      <w:pPr>
        <w:pStyle w:val="Akapitzlist"/>
        <w:numPr>
          <w:ilvl w:val="0"/>
          <w:numId w:val="3"/>
        </w:numPr>
        <w:jc w:val="both"/>
        <w:rPr>
          <w:rFonts w:asciiTheme="minorHAnsi" w:hAnsiTheme="minorHAnsi"/>
          <w:b/>
        </w:rPr>
      </w:pPr>
      <w:r w:rsidRPr="001D51ED">
        <w:rPr>
          <w:rFonts w:asciiTheme="minorHAnsi" w:hAnsiTheme="minorHAnsi"/>
          <w:b/>
        </w:rPr>
        <w:t>W prezentacji odnośnie najczęściej popełnianych błędów jest zawarta informacja, że w zakresie 10.2.D – wsparcie indywidualizacji pracy z uczniem możliwe jest tylko dla klasy ISP i od klasy 4 SP. Czy dobrze rozumiem, że klasy 2 i 3 nie mogą korzystać z tego działania? Pozostałe klasy mogą – kl. 4-8 ?</w:t>
      </w:r>
    </w:p>
    <w:p w:rsidR="001D51ED" w:rsidRPr="001D51ED" w:rsidRDefault="001D51ED" w:rsidP="001D51ED">
      <w:pPr>
        <w:jc w:val="both"/>
        <w:rPr>
          <w:rFonts w:asciiTheme="minorHAnsi" w:hAnsiTheme="minorHAnsi"/>
        </w:rPr>
      </w:pPr>
    </w:p>
    <w:p w:rsidR="001D51ED" w:rsidRPr="001D51ED" w:rsidRDefault="001D51ED" w:rsidP="001D51ED">
      <w:pPr>
        <w:pStyle w:val="Default"/>
        <w:jc w:val="both"/>
        <w:rPr>
          <w:rFonts w:asciiTheme="minorHAnsi" w:eastAsiaTheme="minorHAnsi" w:hAnsiTheme="minorHAnsi" w:cs="Times New Roman"/>
          <w:color w:val="auto"/>
          <w:sz w:val="22"/>
          <w:szCs w:val="22"/>
        </w:rPr>
      </w:pPr>
      <w:r w:rsidRPr="001D51ED">
        <w:rPr>
          <w:rFonts w:asciiTheme="minorHAnsi" w:eastAsiaTheme="minorHAnsi" w:hAnsiTheme="minorHAnsi" w:cs="Times New Roman"/>
          <w:color w:val="auto"/>
          <w:sz w:val="22"/>
          <w:szCs w:val="22"/>
        </w:rPr>
        <w:t>W prezentacji odnośnie najczęściej popełnianych błędów w poprzednich konkursach w ramach Działania 10.2 jest informacja, dotycząca indywidualizacji nauczania, która odnosiła się do poprzednich konkursów realizowanych jeszcze w oparciu o „stare” Wytyczne w zakresie realizacji przedsięwzięć z udziałem środków Europejskiego Funduszu Społecznego w obszarze edukacji na lata 2014-2020, które rzeczywiście wykluczały indywidualizację dla klasy II i klasy III szkoły podstawowej. Aktualne konkursy są realizowane w oparciu o „nowe” Wytyczne w zakresie realizacji przedsięwzięć z udziałem środków Europejskiego Funduszu Społecznego w obszarze edukacji na lata 2014-2020, które zostały opublikowane 7 września 2016 r. i wprowadziły modyfikację w zakresie wsparcia w formie indywidualizacji nauczania.</w:t>
      </w:r>
    </w:p>
    <w:p w:rsidR="001D51ED" w:rsidRPr="001D51ED" w:rsidRDefault="001D51ED" w:rsidP="001D51ED">
      <w:pPr>
        <w:pStyle w:val="Default"/>
        <w:jc w:val="both"/>
        <w:rPr>
          <w:rFonts w:asciiTheme="minorHAnsi" w:eastAsiaTheme="minorHAnsi" w:hAnsiTheme="minorHAnsi" w:cs="Times New Roman"/>
          <w:color w:val="auto"/>
          <w:sz w:val="22"/>
          <w:szCs w:val="22"/>
        </w:rPr>
      </w:pPr>
    </w:p>
    <w:p w:rsidR="001D51ED" w:rsidRPr="001D51ED" w:rsidRDefault="001D51ED" w:rsidP="001D51ED">
      <w:pPr>
        <w:pStyle w:val="Default"/>
        <w:jc w:val="both"/>
        <w:rPr>
          <w:rFonts w:asciiTheme="minorHAnsi" w:eastAsiaTheme="minorHAnsi" w:hAnsiTheme="minorHAnsi" w:cs="Times New Roman"/>
          <w:color w:val="auto"/>
          <w:sz w:val="22"/>
          <w:szCs w:val="22"/>
        </w:rPr>
      </w:pPr>
      <w:r w:rsidRPr="001D51ED">
        <w:rPr>
          <w:rFonts w:asciiTheme="minorHAnsi" w:eastAsiaTheme="minorHAnsi" w:hAnsiTheme="minorHAnsi" w:cs="Times New Roman"/>
          <w:color w:val="auto"/>
          <w:sz w:val="22"/>
          <w:szCs w:val="22"/>
        </w:rPr>
        <w:t xml:space="preserve">W aktualnych konkursach wsparcie w zakresie indywidualizacji pracy z uczniem </w:t>
      </w:r>
      <w:r w:rsidRPr="001D51ED">
        <w:rPr>
          <w:rFonts w:asciiTheme="minorHAnsi" w:eastAsiaTheme="minorHAnsi" w:hAnsiTheme="minorHAnsi" w:cs="Times New Roman"/>
          <w:color w:val="auto"/>
          <w:sz w:val="22"/>
          <w:szCs w:val="22"/>
          <w:u w:val="single"/>
        </w:rPr>
        <w:t>ze specjalnymi potrzebami rozwojowymi i edukacyjnymi</w:t>
      </w:r>
      <w:r w:rsidRPr="001D51ED">
        <w:rPr>
          <w:rFonts w:asciiTheme="minorHAnsi" w:eastAsiaTheme="minorHAnsi" w:hAnsiTheme="minorHAnsi" w:cs="Times New Roman"/>
          <w:color w:val="auto"/>
          <w:sz w:val="22"/>
          <w:szCs w:val="22"/>
        </w:rPr>
        <w:t xml:space="preserve"> w ramach typu projektu 10.2.D może być realizowane na dwa sposoby:</w:t>
      </w:r>
    </w:p>
    <w:p w:rsidR="001D51ED" w:rsidRPr="001D51ED" w:rsidRDefault="001D51ED" w:rsidP="001D51ED">
      <w:pPr>
        <w:pStyle w:val="Default"/>
        <w:ind w:firstLine="360"/>
        <w:jc w:val="both"/>
        <w:rPr>
          <w:rFonts w:asciiTheme="minorHAnsi" w:eastAsiaTheme="minorHAnsi" w:hAnsiTheme="minorHAnsi" w:cs="Times New Roman"/>
          <w:color w:val="auto"/>
          <w:sz w:val="22"/>
          <w:szCs w:val="22"/>
        </w:rPr>
      </w:pPr>
      <w:r w:rsidRPr="001D51ED">
        <w:rPr>
          <w:rFonts w:asciiTheme="minorHAnsi" w:eastAsiaTheme="minorHAnsi" w:hAnsiTheme="minorHAnsi" w:cs="Times New Roman"/>
          <w:color w:val="auto"/>
          <w:sz w:val="22"/>
          <w:szCs w:val="22"/>
        </w:rPr>
        <w:t xml:space="preserve">Pierwszy sposób to wsparcie w formie Kompleksowych Programów Wspomagania, które obejmują wszystkie 3 działania: zajęcia dla uczniów, przygotowanie nauczycieli do prowadzenia indywidualizacji i zakup doposażenia. Jeżeli zdecydujemy się na realizację Kompleksowych Programów Wspomagania to mogą one dotyczyć </w:t>
      </w:r>
      <w:r w:rsidRPr="001D51ED">
        <w:rPr>
          <w:rFonts w:asciiTheme="minorHAnsi" w:eastAsiaTheme="minorHAnsi" w:hAnsiTheme="minorHAnsi" w:cs="Times New Roman"/>
          <w:color w:val="auto"/>
          <w:sz w:val="22"/>
          <w:szCs w:val="22"/>
          <w:u w:val="single"/>
        </w:rPr>
        <w:t>II i III etapu edukacyjnego</w:t>
      </w:r>
      <w:r w:rsidRPr="001D51ED">
        <w:rPr>
          <w:rFonts w:asciiTheme="minorHAnsi" w:eastAsiaTheme="minorHAnsi" w:hAnsiTheme="minorHAnsi" w:cs="Times New Roman"/>
          <w:color w:val="auto"/>
          <w:sz w:val="22"/>
          <w:szCs w:val="22"/>
        </w:rPr>
        <w:t xml:space="preserve"> czyli klas IV-VI szkoły podstawowej i klas I-III gimnazjum.</w:t>
      </w:r>
    </w:p>
    <w:p w:rsidR="001D51ED" w:rsidRPr="001D51ED" w:rsidRDefault="001D51ED" w:rsidP="001D51ED">
      <w:pPr>
        <w:pStyle w:val="Default"/>
        <w:ind w:firstLine="360"/>
        <w:jc w:val="both"/>
        <w:rPr>
          <w:rFonts w:asciiTheme="minorHAnsi" w:eastAsiaTheme="minorHAnsi" w:hAnsiTheme="minorHAnsi" w:cs="Times New Roman"/>
          <w:color w:val="auto"/>
          <w:sz w:val="22"/>
          <w:szCs w:val="22"/>
        </w:rPr>
      </w:pPr>
      <w:r w:rsidRPr="001D51ED">
        <w:rPr>
          <w:rFonts w:asciiTheme="minorHAnsi" w:eastAsiaTheme="minorHAnsi" w:hAnsiTheme="minorHAnsi" w:cs="Times New Roman"/>
          <w:color w:val="auto"/>
          <w:sz w:val="22"/>
          <w:szCs w:val="22"/>
        </w:rPr>
        <w:t xml:space="preserve">Drugi sposób to zaplanowanie w projekcie bezpośredniego wsparcia dla uczniów w formie zajęć uzupełniających ofertę szkoły. Takie zajęcia mogą być realizowane na </w:t>
      </w:r>
      <w:r w:rsidRPr="001D51ED">
        <w:rPr>
          <w:rFonts w:asciiTheme="minorHAnsi" w:eastAsiaTheme="minorHAnsi" w:hAnsiTheme="minorHAnsi" w:cs="Times New Roman"/>
          <w:color w:val="auto"/>
          <w:sz w:val="22"/>
          <w:szCs w:val="22"/>
          <w:u w:val="single"/>
        </w:rPr>
        <w:t>I, II i III etapie edukacyjnym</w:t>
      </w:r>
      <w:r w:rsidRPr="001D51ED">
        <w:rPr>
          <w:rFonts w:asciiTheme="minorHAnsi" w:eastAsiaTheme="minorHAnsi" w:hAnsiTheme="minorHAnsi" w:cs="Times New Roman"/>
          <w:color w:val="auto"/>
          <w:sz w:val="22"/>
          <w:szCs w:val="22"/>
        </w:rPr>
        <w:t xml:space="preserve"> czyli dla uczniów klas I-III szkoły podstawowej, klas IV-VI szkoły podstawowej i I-III gimnazjum. W ramach indywidualizacji nauczania zajęcia dla uczniów z niepełnosprawnością (zawężona grupa dzieci ze specjalnymi potrzebami edukacyjnymi i rozwojowymi do dzieci posiadających orzeczenia) mogą być realizowane bez względu na etap edukacyjny. Zajęcia dla uczniów młodszych (zawężona grupa dzieci ze specjalnymi potrzebami edukacyjnymi i rozwojowymi) mogą być realizowane dla uczniów przekraczających etapy edukacyjne czyli uczniów klasy I szkoły podstawowej, klasy IV szkoły podstawowej i klasy I gimnazjum.</w:t>
      </w:r>
    </w:p>
    <w:p w:rsidR="001D51ED" w:rsidRPr="001D51ED" w:rsidRDefault="001D51ED" w:rsidP="001D51ED">
      <w:pPr>
        <w:jc w:val="both"/>
        <w:rPr>
          <w:rFonts w:asciiTheme="minorHAnsi" w:hAnsiTheme="minorHAnsi"/>
        </w:rPr>
      </w:pPr>
    </w:p>
    <w:p w:rsidR="001D51ED" w:rsidRPr="001D51ED" w:rsidRDefault="001D51ED" w:rsidP="001D51ED">
      <w:pPr>
        <w:jc w:val="both"/>
        <w:rPr>
          <w:rFonts w:asciiTheme="minorHAnsi" w:hAnsiTheme="minorHAnsi"/>
        </w:rPr>
      </w:pPr>
    </w:p>
    <w:p w:rsidR="001D51ED" w:rsidRPr="001D51ED" w:rsidRDefault="001D51ED" w:rsidP="001D51ED">
      <w:pPr>
        <w:pStyle w:val="Akapitzlist"/>
        <w:numPr>
          <w:ilvl w:val="0"/>
          <w:numId w:val="3"/>
        </w:numPr>
        <w:jc w:val="both"/>
        <w:rPr>
          <w:rFonts w:asciiTheme="minorHAnsi" w:hAnsiTheme="minorHAnsi"/>
          <w:b/>
        </w:rPr>
      </w:pPr>
      <w:r w:rsidRPr="001D51ED">
        <w:rPr>
          <w:rFonts w:asciiTheme="minorHAnsi" w:hAnsiTheme="minorHAnsi"/>
          <w:b/>
        </w:rPr>
        <w:t xml:space="preserve">Czy jeśli będziemy chcieli objąć uczniów klas 1-3 zajęciami logopedycznymi, </w:t>
      </w:r>
      <w:proofErr w:type="spellStart"/>
      <w:r w:rsidRPr="001D51ED">
        <w:rPr>
          <w:rFonts w:asciiTheme="minorHAnsi" w:hAnsiTheme="minorHAnsi"/>
          <w:b/>
        </w:rPr>
        <w:t>korekcyjno-kompesacyjnymi</w:t>
      </w:r>
      <w:proofErr w:type="spellEnd"/>
      <w:r w:rsidRPr="001D51ED">
        <w:rPr>
          <w:rFonts w:asciiTheme="minorHAnsi" w:hAnsiTheme="minorHAnsi"/>
          <w:b/>
        </w:rPr>
        <w:t>, z pedagogiem specjalnym oraz zajęciami socjoterapeutycznymi – to będą to zajęcia w ramach działania 10.2.E? Czy w ramach tego działania można zakupić niezbędne materiały/sprzęt/pomoce dydaktyczne niezbędne do prowadzenia zajęć? Chcielibyśmy zakupić m.in.: gry i pomoce logopedyczne, usprawniające percepcję wzrokową, motorykę małą i dużą, do terapii ręki, zręcznościowe, magnetyczne tablice, sensoryczne narzędzia, gry, plansze i karty planszowe, klocki interaktywne, materiały ćwiczeniowe oraz materiały papiernicze do prowadzenia zajęć. Dodatkowo planujemy Zakup laptopa wraz z drukarką dla pedagoga specjalnego - będzie niezbędny do prowadzenia zajęć w celu wyeliminowania lub złagodzenia zdiagnozowanych problemów. Czy takie zakupy są możliwe?</w:t>
      </w:r>
    </w:p>
    <w:p w:rsidR="001D51ED" w:rsidRPr="001D51ED" w:rsidRDefault="001D51ED" w:rsidP="001D51ED">
      <w:pPr>
        <w:jc w:val="both"/>
        <w:rPr>
          <w:rFonts w:asciiTheme="minorHAnsi" w:hAnsiTheme="minorHAnsi"/>
        </w:rPr>
      </w:pPr>
    </w:p>
    <w:p w:rsidR="001D51ED" w:rsidRPr="001D51ED" w:rsidRDefault="001D51ED" w:rsidP="001D51ED">
      <w:pPr>
        <w:jc w:val="both"/>
        <w:rPr>
          <w:rFonts w:asciiTheme="minorHAnsi" w:hAnsiTheme="minorHAnsi"/>
        </w:rPr>
      </w:pPr>
      <w:r w:rsidRPr="001D51ED">
        <w:rPr>
          <w:rFonts w:asciiTheme="minorHAnsi" w:hAnsiTheme="minorHAnsi"/>
        </w:rPr>
        <w:t xml:space="preserve">Zarówno typ 10.2.D Indywidualizacja nauczania dla uczniów z </w:t>
      </w:r>
      <w:proofErr w:type="spellStart"/>
      <w:r w:rsidRPr="001D51ED">
        <w:rPr>
          <w:rFonts w:asciiTheme="minorHAnsi" w:hAnsiTheme="minorHAnsi"/>
        </w:rPr>
        <w:t>SPEiR</w:t>
      </w:r>
      <w:proofErr w:type="spellEnd"/>
      <w:r w:rsidRPr="001D51ED">
        <w:rPr>
          <w:rFonts w:asciiTheme="minorHAnsi" w:hAnsiTheme="minorHAnsi"/>
        </w:rPr>
        <w:t>, jak i 10.2.E Doradztwo i pomoc psychologiczno-pedagogiczna dotyczą organizowania i udzielania pomocy psychologiczno-pedagogicznej w oparciu o Rozporządzenie MEN z dnia 30 kwietnia 2013 r. w sprawie zasad udzielania i organizacji pomocy psychologiczno-pedagogicznej w publicznych przedszkolach, szkołach i placówkach. Te dwa typy projektów się uzupełniają.</w:t>
      </w:r>
    </w:p>
    <w:p w:rsidR="001D51ED" w:rsidRPr="001D51ED" w:rsidRDefault="001D51ED" w:rsidP="001D51ED">
      <w:pPr>
        <w:jc w:val="both"/>
        <w:rPr>
          <w:rFonts w:asciiTheme="minorHAnsi" w:hAnsiTheme="minorHAnsi"/>
        </w:rPr>
      </w:pPr>
    </w:p>
    <w:p w:rsidR="001D51ED" w:rsidRPr="001D51ED" w:rsidRDefault="001D51ED" w:rsidP="001D51ED">
      <w:pPr>
        <w:jc w:val="both"/>
        <w:rPr>
          <w:rFonts w:asciiTheme="minorHAnsi" w:hAnsiTheme="minorHAnsi"/>
        </w:rPr>
      </w:pPr>
      <w:r w:rsidRPr="001D51ED">
        <w:rPr>
          <w:rFonts w:asciiTheme="minorHAnsi" w:hAnsiTheme="minorHAnsi"/>
        </w:rPr>
        <w:t xml:space="preserve">W związku z tym, że </w:t>
      </w:r>
      <w:r w:rsidRPr="001D51ED">
        <w:rPr>
          <w:rFonts w:asciiTheme="minorHAnsi" w:hAnsiTheme="minorHAnsi"/>
          <w:u w:val="single"/>
        </w:rPr>
        <w:t xml:space="preserve">zakupy </w:t>
      </w:r>
      <w:r w:rsidRPr="001D51ED">
        <w:rPr>
          <w:rFonts w:asciiTheme="minorHAnsi" w:hAnsiTheme="minorHAnsi"/>
          <w:bCs/>
          <w:u w:val="single"/>
        </w:rPr>
        <w:t>doposażenia</w:t>
      </w:r>
      <w:r w:rsidRPr="001D51ED">
        <w:rPr>
          <w:rFonts w:asciiTheme="minorHAnsi" w:hAnsiTheme="minorHAnsi"/>
        </w:rPr>
        <w:t xml:space="preserve"> szkół lub placówek systemu oświaty </w:t>
      </w:r>
      <w:r w:rsidRPr="001D51ED">
        <w:rPr>
          <w:rFonts w:asciiTheme="minorHAnsi" w:hAnsiTheme="minorHAnsi"/>
          <w:bCs/>
        </w:rPr>
        <w:t>w pomoce dydaktyczne</w:t>
      </w:r>
      <w:r w:rsidRPr="001D51ED">
        <w:rPr>
          <w:rFonts w:asciiTheme="minorHAnsi" w:hAnsiTheme="minorHAnsi"/>
        </w:rPr>
        <w:t xml:space="preserve"> oraz </w:t>
      </w:r>
      <w:r w:rsidRPr="001D51ED">
        <w:rPr>
          <w:rFonts w:asciiTheme="minorHAnsi" w:hAnsiTheme="minorHAnsi"/>
          <w:bCs/>
        </w:rPr>
        <w:t>specjalistyczny sprzęt do rozpoznawania potrzeb</w:t>
      </w:r>
      <w:r w:rsidRPr="001D51ED">
        <w:rPr>
          <w:rFonts w:asciiTheme="minorHAnsi" w:hAnsiTheme="minorHAnsi"/>
        </w:rPr>
        <w:t xml:space="preserve"> rozwojowych, edukacyjnych i możliwości psychofizycznych oraz </w:t>
      </w:r>
      <w:r w:rsidRPr="001D51ED">
        <w:rPr>
          <w:rFonts w:asciiTheme="minorHAnsi" w:hAnsiTheme="minorHAnsi"/>
          <w:bCs/>
        </w:rPr>
        <w:t>wspomagania rozwoju</w:t>
      </w:r>
      <w:r w:rsidRPr="001D51ED">
        <w:rPr>
          <w:rFonts w:asciiTheme="minorHAnsi" w:hAnsiTheme="minorHAnsi"/>
        </w:rPr>
        <w:t xml:space="preserve"> i </w:t>
      </w:r>
      <w:r w:rsidRPr="001D51ED">
        <w:rPr>
          <w:rFonts w:asciiTheme="minorHAnsi" w:hAnsiTheme="minorHAnsi"/>
          <w:bCs/>
        </w:rPr>
        <w:t>prowadzenia terapii,</w:t>
      </w:r>
      <w:r w:rsidRPr="001D51ED">
        <w:rPr>
          <w:rFonts w:asciiTheme="minorHAnsi" w:hAnsiTheme="minorHAnsi"/>
        </w:rPr>
        <w:t xml:space="preserve"> a także </w:t>
      </w:r>
      <w:r w:rsidRPr="001D51ED">
        <w:rPr>
          <w:rFonts w:asciiTheme="minorHAnsi" w:hAnsiTheme="minorHAnsi"/>
          <w:bCs/>
        </w:rPr>
        <w:t xml:space="preserve">podręczniki szkolne i materiały dydaktyczne </w:t>
      </w:r>
      <w:r w:rsidRPr="001D51ED">
        <w:rPr>
          <w:rFonts w:asciiTheme="minorHAnsi" w:hAnsiTheme="minorHAnsi"/>
        </w:rPr>
        <w:t xml:space="preserve">dostosowane do potrzeb </w:t>
      </w:r>
      <w:r w:rsidRPr="001D51ED">
        <w:rPr>
          <w:rFonts w:asciiTheme="minorHAnsi" w:hAnsiTheme="minorHAnsi"/>
          <w:bCs/>
        </w:rPr>
        <w:t>uczniów z niepełnosprawnością</w:t>
      </w:r>
      <w:r w:rsidRPr="001D51ED">
        <w:rPr>
          <w:rFonts w:asciiTheme="minorHAnsi" w:hAnsiTheme="minorHAnsi"/>
        </w:rPr>
        <w:t xml:space="preserve"> </w:t>
      </w:r>
      <w:r w:rsidRPr="001D51ED">
        <w:rPr>
          <w:rFonts w:asciiTheme="minorHAnsi" w:hAnsiTheme="minorHAnsi"/>
          <w:u w:val="single"/>
        </w:rPr>
        <w:t>są możliwe w ramach typu projektu 10.2.D Indywidualizacja,</w:t>
      </w:r>
      <w:r w:rsidRPr="001D51ED">
        <w:rPr>
          <w:rFonts w:asciiTheme="minorHAnsi" w:hAnsiTheme="minorHAnsi"/>
        </w:rPr>
        <w:t xml:space="preserve"> wskazanym jest zastosowanie się do warunków i możliwości realizacji typu projektu 10.2.D. Tym samym będzie możliwy zakup doposażenia, o którym Państwo piszecie w pytaniu. Zakup doposażenia należy połączyć z zajęciami dla uczniów uzupełniającymi ofertę szkoły, również w ramach typu projektu 10.2.D, oczywiście jeżeli z diagnozy wynika, że mają Państwo potrzebę objęcia wsparciem </w:t>
      </w:r>
      <w:r w:rsidRPr="001D51ED">
        <w:rPr>
          <w:rFonts w:asciiTheme="minorHAnsi" w:hAnsiTheme="minorHAnsi"/>
          <w:u w:val="single"/>
        </w:rPr>
        <w:t>uczniów ze specjalnymi potrzebami edukacyjnymi i rozwojowymi w klasach I-III w celu indywidualizacji nauczania</w:t>
      </w:r>
      <w:r w:rsidRPr="001D51ED">
        <w:rPr>
          <w:rFonts w:asciiTheme="minorHAnsi" w:hAnsiTheme="minorHAnsi"/>
        </w:rPr>
        <w:t xml:space="preserve">. Mogą Państwo zaplanować zajęcia uzupełniające ofertę szkoły o zajęcia specjalistyczne (korekcyjno-kompensacyjne, logopedyczne, socjoterapeutyczne, </w:t>
      </w:r>
      <w:proofErr w:type="spellStart"/>
      <w:r w:rsidRPr="001D51ED">
        <w:rPr>
          <w:rFonts w:asciiTheme="minorHAnsi" w:hAnsiTheme="minorHAnsi"/>
        </w:rPr>
        <w:t>psychoedukacyjne</w:t>
      </w:r>
      <w:proofErr w:type="spellEnd"/>
      <w:r w:rsidRPr="001D51ED">
        <w:rPr>
          <w:rFonts w:asciiTheme="minorHAnsi" w:hAnsiTheme="minorHAnsi"/>
        </w:rPr>
        <w:t xml:space="preserve"> i  inne o charakterze terapeutycznym), dydaktyczno-wyrównawcze, warsztaty, porady i konsultacje. Jeśli wynika to z diagnozy potrzeb edukacyjnych, wartościowym byłoby szczególne uwzględnienie wsparcia dla uczniów młodszych (uczniowie klasy I szkoły podstawowej w Państwa grupie docelowej) ponieważ typ projektu 10.2.D jest skierowany w szczególności w celu eliminowania trudności przy przechodzeniu na kolejne etapy edukacyjne. </w:t>
      </w:r>
    </w:p>
    <w:p w:rsidR="001D51ED" w:rsidRPr="001D51ED" w:rsidRDefault="001D51ED" w:rsidP="001D51ED">
      <w:pPr>
        <w:jc w:val="both"/>
        <w:rPr>
          <w:rFonts w:asciiTheme="minorHAnsi" w:hAnsiTheme="minorHAnsi"/>
        </w:rPr>
      </w:pPr>
      <w:r w:rsidRPr="001D51ED">
        <w:rPr>
          <w:rFonts w:asciiTheme="minorHAnsi" w:hAnsiTheme="minorHAnsi"/>
        </w:rPr>
        <w:t xml:space="preserve">Istotnym jest wskazanie we wniosku o dofinansowanie, że </w:t>
      </w:r>
      <w:r w:rsidRPr="001D51ED">
        <w:rPr>
          <w:rFonts w:asciiTheme="minorHAnsi" w:hAnsiTheme="minorHAnsi"/>
          <w:u w:val="single"/>
        </w:rPr>
        <w:t>zakupione doposażenie</w:t>
      </w:r>
      <w:r w:rsidRPr="001D51ED">
        <w:rPr>
          <w:rFonts w:asciiTheme="minorHAnsi" w:hAnsiTheme="minorHAnsi"/>
        </w:rPr>
        <w:t xml:space="preserve"> w ramach projektu </w:t>
      </w:r>
      <w:r w:rsidRPr="001D51ED">
        <w:rPr>
          <w:rFonts w:asciiTheme="minorHAnsi" w:hAnsiTheme="minorHAnsi"/>
          <w:u w:val="single"/>
        </w:rPr>
        <w:t>będzie wykorzystywane do organizowania i udzielania przez szkołę pomocy psychologiczno-pedagogicznej w trakcie bieżącej pracy z uczniem oraz w formach wymienionych w rozporządzeniu Ministra Edukacji Narodowej</w:t>
      </w:r>
      <w:r w:rsidRPr="001D51ED">
        <w:rPr>
          <w:rFonts w:asciiTheme="minorHAnsi" w:hAnsiTheme="minorHAnsi"/>
        </w:rPr>
        <w:t xml:space="preserve"> oraz (jeśli dotyczy) do opracowania i realizacji w trakcie bieżącej pracy z uczniem indywidualnych programów edukacyjno-terapeutycznych dla uczniów posiadających orzeczenie o potrzebie kształcenia specjalnego.</w:t>
      </w:r>
    </w:p>
    <w:p w:rsidR="001D51ED" w:rsidRPr="001D51ED" w:rsidRDefault="001D51ED" w:rsidP="001D51ED">
      <w:pPr>
        <w:jc w:val="both"/>
        <w:rPr>
          <w:rFonts w:asciiTheme="minorHAnsi" w:hAnsiTheme="minorHAnsi"/>
        </w:rPr>
      </w:pPr>
      <w:r w:rsidRPr="001D51ED">
        <w:rPr>
          <w:rFonts w:asciiTheme="minorHAnsi" w:hAnsiTheme="minorHAnsi"/>
        </w:rPr>
        <w:t xml:space="preserve">Należy również podkreślić, że wsparcie w zakresie indywidualizacji nauczania będzie realizowane </w:t>
      </w:r>
      <w:r w:rsidRPr="001D51ED">
        <w:rPr>
          <w:rFonts w:asciiTheme="minorHAnsi" w:hAnsiTheme="minorHAnsi"/>
          <w:u w:val="single"/>
        </w:rPr>
        <w:t>z uwzględnieniem współpracy z rodzicami</w:t>
      </w:r>
      <w:r w:rsidRPr="001D51ED">
        <w:rPr>
          <w:rFonts w:asciiTheme="minorHAnsi" w:hAnsiTheme="minorHAnsi"/>
        </w:rPr>
        <w:t xml:space="preserve"> (np. poprzez udzielanie porad i konsultacji dla rodziców/opiekunów prawnych), zgodnie z założeniami Rozporządzenia dot. pomocy psychologiczno-pedagogicznej, które wskazuje, że w/w pomoc jest udzielana dobrowolnie i polega również na wspieraniu rodziców poprzez rozwijanie ich umiejętności wychowawczych w celu zwiększania efektywności pomocy psychologiczno-pedagogicznej dla uczniów.</w:t>
      </w:r>
    </w:p>
    <w:p w:rsidR="001D51ED" w:rsidRPr="001D51ED" w:rsidRDefault="001D51ED" w:rsidP="001D51ED">
      <w:pPr>
        <w:jc w:val="both"/>
        <w:rPr>
          <w:rFonts w:asciiTheme="minorHAnsi" w:hAnsiTheme="minorHAnsi"/>
        </w:rPr>
      </w:pPr>
    </w:p>
    <w:p w:rsidR="001D51ED" w:rsidRPr="001D51ED" w:rsidRDefault="001D51ED" w:rsidP="001D51ED">
      <w:pPr>
        <w:jc w:val="both"/>
        <w:rPr>
          <w:rFonts w:asciiTheme="minorHAnsi" w:hAnsiTheme="minorHAnsi"/>
        </w:rPr>
      </w:pPr>
    </w:p>
    <w:p w:rsidR="001D51ED" w:rsidRPr="001D51ED" w:rsidRDefault="001D51ED" w:rsidP="001D51ED">
      <w:pPr>
        <w:pStyle w:val="Akapitzlist"/>
        <w:numPr>
          <w:ilvl w:val="0"/>
          <w:numId w:val="3"/>
        </w:numPr>
        <w:jc w:val="both"/>
        <w:rPr>
          <w:rFonts w:asciiTheme="minorHAnsi" w:hAnsiTheme="minorHAnsi"/>
          <w:b/>
        </w:rPr>
      </w:pPr>
      <w:r w:rsidRPr="001D51ED">
        <w:rPr>
          <w:rFonts w:asciiTheme="minorHAnsi" w:hAnsiTheme="minorHAnsi"/>
          <w:b/>
        </w:rPr>
        <w:t xml:space="preserve">Pytanie odnośnie działania 10.2.F – czy można prowadzić doradztwo również w podstawówce? Będziemy chcieli doradztwo prowadzić dla klas 7 SP. Planuje się stworzyć Szkolny Ośrodek Kariery, tak aby „walczyć” z niską motywacją, samooceną, problemami rodzinnymi, przedwczesną inicjacją seksualną, </w:t>
      </w:r>
      <w:proofErr w:type="spellStart"/>
      <w:r w:rsidRPr="001D51ED">
        <w:rPr>
          <w:rFonts w:asciiTheme="minorHAnsi" w:hAnsiTheme="minorHAnsi"/>
          <w:b/>
        </w:rPr>
        <w:t>probl</w:t>
      </w:r>
      <w:proofErr w:type="spellEnd"/>
      <w:r w:rsidRPr="001D51ED">
        <w:rPr>
          <w:rFonts w:asciiTheme="minorHAnsi" w:hAnsiTheme="minorHAnsi"/>
          <w:b/>
        </w:rPr>
        <w:t xml:space="preserve">. dojrzewania, relacji międzyludzkich i motywacji – by przygotować uczniów na rynek pracy. W ramach Szkolnego Ośrodka Kariery planuje się realizację projektu „Umiem się zaprezentować”. Szkoła będzie współpracować z różnymi instytucjami rynku pracy i przedsiębiorcami. </w:t>
      </w:r>
    </w:p>
    <w:p w:rsidR="001D51ED" w:rsidRPr="001D51ED" w:rsidRDefault="001D51ED" w:rsidP="001D51ED">
      <w:pPr>
        <w:jc w:val="both"/>
        <w:rPr>
          <w:rFonts w:asciiTheme="minorHAnsi" w:hAnsiTheme="minorHAnsi"/>
        </w:rPr>
      </w:pPr>
    </w:p>
    <w:p w:rsidR="001D51ED" w:rsidRPr="001D51ED" w:rsidRDefault="001D51ED" w:rsidP="001D51ED">
      <w:pPr>
        <w:jc w:val="both"/>
        <w:rPr>
          <w:rFonts w:asciiTheme="minorHAnsi" w:hAnsiTheme="minorHAnsi"/>
        </w:rPr>
      </w:pPr>
      <w:r w:rsidRPr="001D51ED">
        <w:rPr>
          <w:rFonts w:asciiTheme="minorHAnsi" w:hAnsiTheme="minorHAnsi"/>
        </w:rPr>
        <w:t xml:space="preserve">Aktualne Wytyczne dot. edukacji wskazują, że Szkolne Punkty Informacji i Kariery </w:t>
      </w:r>
      <w:proofErr w:type="spellStart"/>
      <w:r w:rsidRPr="001D51ED">
        <w:rPr>
          <w:rFonts w:asciiTheme="minorHAnsi" w:hAnsiTheme="minorHAnsi"/>
        </w:rPr>
        <w:t>(SPInk</w:t>
      </w:r>
      <w:proofErr w:type="spellEnd"/>
      <w:r w:rsidRPr="001D51ED">
        <w:rPr>
          <w:rFonts w:asciiTheme="minorHAnsi" w:hAnsiTheme="minorHAnsi"/>
        </w:rPr>
        <w:t xml:space="preserve">a) mogą być tworzone w szkołach gimnazjalnych i </w:t>
      </w:r>
      <w:proofErr w:type="spellStart"/>
      <w:r w:rsidRPr="001D51ED">
        <w:rPr>
          <w:rFonts w:asciiTheme="minorHAnsi" w:hAnsiTheme="minorHAnsi"/>
        </w:rPr>
        <w:t>ponadgimnazjalnych</w:t>
      </w:r>
      <w:proofErr w:type="spellEnd"/>
      <w:r w:rsidRPr="001D51ED">
        <w:rPr>
          <w:rFonts w:asciiTheme="minorHAnsi" w:hAnsiTheme="minorHAnsi"/>
        </w:rPr>
        <w:t xml:space="preserve">. Jednakże w związku z planowaną reformą oświaty, która rozszerzy szkoły podstawowe o VII i VIII klasę oraz w związku z tym, że projekt rozporządzenia w sprawie ramowych planów nauczania (obecnie w konsultacjach) wprowadza doradztwo zawodowe do nauczania na poziomie klasy VII i VIII szkoły podstawowej, </w:t>
      </w:r>
      <w:r w:rsidRPr="001D51ED">
        <w:rPr>
          <w:rFonts w:asciiTheme="minorHAnsi" w:hAnsiTheme="minorHAnsi"/>
          <w:u w:val="single"/>
        </w:rPr>
        <w:t xml:space="preserve">jest możliwość zaplanowania tworzenia </w:t>
      </w:r>
      <w:proofErr w:type="spellStart"/>
      <w:r w:rsidRPr="001D51ED">
        <w:rPr>
          <w:rFonts w:asciiTheme="minorHAnsi" w:hAnsiTheme="minorHAnsi"/>
          <w:u w:val="single"/>
        </w:rPr>
        <w:t>SPInKi</w:t>
      </w:r>
      <w:proofErr w:type="spellEnd"/>
      <w:r w:rsidRPr="001D51ED">
        <w:rPr>
          <w:rFonts w:asciiTheme="minorHAnsi" w:hAnsiTheme="minorHAnsi"/>
          <w:u w:val="single"/>
        </w:rPr>
        <w:t xml:space="preserve"> w szkole podstawowej.</w:t>
      </w:r>
      <w:r w:rsidRPr="001D51ED">
        <w:rPr>
          <w:rFonts w:asciiTheme="minorHAnsi" w:hAnsiTheme="minorHAnsi"/>
        </w:rPr>
        <w:t xml:space="preserve"> Powyższa potrzeba powinna wynikać z indywidualnie zdiagnozowanego zapotrzebowania szkoły. W ramach działalności </w:t>
      </w:r>
      <w:proofErr w:type="spellStart"/>
      <w:r w:rsidRPr="001D51ED">
        <w:rPr>
          <w:rFonts w:asciiTheme="minorHAnsi" w:hAnsiTheme="minorHAnsi"/>
        </w:rPr>
        <w:t>SPInKi</w:t>
      </w:r>
      <w:proofErr w:type="spellEnd"/>
      <w:r w:rsidRPr="001D51ED">
        <w:rPr>
          <w:rFonts w:asciiTheme="minorHAnsi" w:hAnsiTheme="minorHAnsi"/>
        </w:rPr>
        <w:t xml:space="preserve"> można zaplanować działania opisane w pytaniu o ile cele zajęć wpisują się w obszar doradztwa edukacyjno-zawodowego.</w:t>
      </w:r>
    </w:p>
    <w:p w:rsidR="001D51ED" w:rsidRPr="001D51ED" w:rsidRDefault="001D51ED" w:rsidP="001D51ED">
      <w:pPr>
        <w:jc w:val="both"/>
        <w:rPr>
          <w:rFonts w:asciiTheme="minorHAnsi" w:hAnsiTheme="minorHAnsi"/>
        </w:rPr>
      </w:pPr>
      <w:r w:rsidRPr="001D51ED">
        <w:rPr>
          <w:rFonts w:asciiTheme="minorHAnsi" w:hAnsiTheme="minorHAnsi"/>
        </w:rPr>
        <w:t xml:space="preserve">Ponadto, istnieje również możliwość realizacji projektu „Umiem się zaprezentować” jako np. projektu edukacyjnego lub innej adekwatnej formy wsparcia wskazanej w ramach typu projektu 10.2.A – </w:t>
      </w:r>
      <w:r w:rsidRPr="001D51ED">
        <w:rPr>
          <w:rFonts w:asciiTheme="minorHAnsi" w:hAnsiTheme="minorHAnsi"/>
        </w:rPr>
        <w:lastRenderedPageBreak/>
        <w:t>Kształtowanie i rozwijanie kompetencji kluczowych (wśród kompetencji kluczowych są kompetencje społeczne, inicjatywność i przedsiębiorczość).</w:t>
      </w:r>
    </w:p>
    <w:p w:rsidR="001D51ED" w:rsidRPr="001D51ED" w:rsidRDefault="001D51ED" w:rsidP="001D51ED">
      <w:pPr>
        <w:jc w:val="both"/>
        <w:rPr>
          <w:rFonts w:asciiTheme="minorHAnsi" w:hAnsiTheme="minorHAnsi"/>
        </w:rPr>
      </w:pPr>
    </w:p>
    <w:p w:rsidR="001D51ED" w:rsidRPr="001D51ED" w:rsidRDefault="001D51ED" w:rsidP="001D51ED">
      <w:pPr>
        <w:pStyle w:val="Akapitzlist"/>
        <w:numPr>
          <w:ilvl w:val="0"/>
          <w:numId w:val="3"/>
        </w:numPr>
        <w:jc w:val="both"/>
        <w:rPr>
          <w:rFonts w:asciiTheme="minorHAnsi" w:hAnsiTheme="minorHAnsi"/>
          <w:b/>
        </w:rPr>
      </w:pPr>
      <w:r w:rsidRPr="001D51ED">
        <w:rPr>
          <w:rFonts w:asciiTheme="minorHAnsi" w:hAnsiTheme="minorHAnsi"/>
          <w:b/>
        </w:rPr>
        <w:t xml:space="preserve">Czy w ramach tego działania jest możliwość zakupu pakietu dla ucznia w postaci teczki i drobnych materiałów biurowych (za ok. 15 zł/pakiet)  tak aby każde dziecko mogło założyć </w:t>
      </w:r>
      <w:proofErr w:type="spellStart"/>
      <w:r w:rsidRPr="001D51ED">
        <w:rPr>
          <w:rFonts w:asciiTheme="minorHAnsi" w:hAnsiTheme="minorHAnsi"/>
          <w:b/>
        </w:rPr>
        <w:t>portfolio</w:t>
      </w:r>
      <w:proofErr w:type="spellEnd"/>
      <w:r w:rsidRPr="001D51ED">
        <w:rPr>
          <w:rFonts w:asciiTheme="minorHAnsi" w:hAnsiTheme="minorHAnsi"/>
          <w:b/>
        </w:rPr>
        <w:t xml:space="preserve"> – dzieci będą zbierać informacje o sobie, o swoich zaletach, dyplomy, osiągnięcia – tak aby przygotować je na rynek pracy.</w:t>
      </w:r>
    </w:p>
    <w:p w:rsidR="001D51ED" w:rsidRPr="001D51ED" w:rsidRDefault="001D51ED" w:rsidP="001D51ED">
      <w:pPr>
        <w:jc w:val="both"/>
        <w:rPr>
          <w:rFonts w:asciiTheme="minorHAnsi" w:hAnsiTheme="minorHAnsi"/>
        </w:rPr>
      </w:pPr>
    </w:p>
    <w:p w:rsidR="001D51ED" w:rsidRDefault="001D51ED" w:rsidP="001D51ED">
      <w:pPr>
        <w:jc w:val="both"/>
        <w:rPr>
          <w:rFonts w:asciiTheme="minorHAnsi" w:hAnsiTheme="minorHAnsi"/>
        </w:rPr>
      </w:pPr>
      <w:r w:rsidRPr="001D51ED">
        <w:rPr>
          <w:rFonts w:asciiTheme="minorHAnsi" w:hAnsiTheme="minorHAnsi"/>
        </w:rPr>
        <w:t xml:space="preserve">Takie wydatki mogą zostać uznane za kwalifikowane o ile będą wskazane w budżecie projektu, </w:t>
      </w:r>
      <w:r w:rsidR="00A0295B">
        <w:rPr>
          <w:rFonts w:asciiTheme="minorHAnsi" w:hAnsiTheme="minorHAnsi"/>
        </w:rPr>
        <w:t xml:space="preserve"> a ich </w:t>
      </w:r>
      <w:proofErr w:type="spellStart"/>
      <w:r w:rsidR="00A0295B">
        <w:rPr>
          <w:rFonts w:asciiTheme="minorHAnsi" w:hAnsiTheme="minorHAnsi"/>
        </w:rPr>
        <w:t>kwalifikowalność</w:t>
      </w:r>
      <w:proofErr w:type="spellEnd"/>
      <w:r w:rsidR="00A0295B">
        <w:rPr>
          <w:rFonts w:asciiTheme="minorHAnsi" w:hAnsiTheme="minorHAnsi"/>
        </w:rPr>
        <w:t xml:space="preserve">, racjonalność i efektywność będzie zweryfikowana podczas oceny projektu. </w:t>
      </w:r>
    </w:p>
    <w:p w:rsidR="00A0295B" w:rsidRPr="001D51ED" w:rsidRDefault="00A0295B" w:rsidP="001D51ED">
      <w:pPr>
        <w:jc w:val="both"/>
        <w:rPr>
          <w:rFonts w:asciiTheme="minorHAnsi" w:hAnsiTheme="minorHAnsi"/>
        </w:rPr>
      </w:pPr>
    </w:p>
    <w:p w:rsidR="001D51ED" w:rsidRPr="00252F19" w:rsidRDefault="00252F19" w:rsidP="001D51ED">
      <w:pPr>
        <w:pStyle w:val="Zwykytekst"/>
        <w:numPr>
          <w:ilvl w:val="0"/>
          <w:numId w:val="3"/>
        </w:numPr>
        <w:jc w:val="both"/>
        <w:rPr>
          <w:rFonts w:asciiTheme="minorHAnsi" w:hAnsiTheme="minorHAnsi"/>
          <w:b/>
          <w:sz w:val="22"/>
          <w:szCs w:val="22"/>
        </w:rPr>
      </w:pPr>
      <w:r w:rsidRPr="00252F19">
        <w:rPr>
          <w:rFonts w:asciiTheme="minorHAnsi" w:hAnsiTheme="minorHAnsi"/>
          <w:b/>
          <w:sz w:val="22"/>
          <w:szCs w:val="22"/>
        </w:rPr>
        <w:t xml:space="preserve">Gmina </w:t>
      </w:r>
      <w:r w:rsidR="001D51ED" w:rsidRPr="00252F19">
        <w:rPr>
          <w:rFonts w:asciiTheme="minorHAnsi" w:hAnsiTheme="minorHAnsi"/>
          <w:b/>
          <w:sz w:val="22"/>
          <w:szCs w:val="22"/>
        </w:rPr>
        <w:t xml:space="preserve"> aplikuje o środki w ramach </w:t>
      </w:r>
      <w:proofErr w:type="spellStart"/>
      <w:r w:rsidR="001D51ED" w:rsidRPr="00252F19">
        <w:rPr>
          <w:rFonts w:asciiTheme="minorHAnsi" w:hAnsiTheme="minorHAnsi"/>
          <w:b/>
          <w:sz w:val="22"/>
          <w:szCs w:val="22"/>
        </w:rPr>
        <w:t>poddzialania</w:t>
      </w:r>
      <w:proofErr w:type="spellEnd"/>
      <w:r w:rsidR="001D51ED" w:rsidRPr="00252F19">
        <w:rPr>
          <w:rFonts w:asciiTheme="minorHAnsi" w:hAnsiTheme="minorHAnsi"/>
          <w:b/>
          <w:sz w:val="22"/>
          <w:szCs w:val="22"/>
        </w:rPr>
        <w:t xml:space="preserve"> 10.2.2 "Zapewnienie równego dostępu do wysokiej jakości edukacji podstawowej, gimnazjalnej i </w:t>
      </w:r>
      <w:proofErr w:type="spellStart"/>
      <w:r w:rsidR="001D51ED" w:rsidRPr="00252F19">
        <w:rPr>
          <w:rFonts w:asciiTheme="minorHAnsi" w:hAnsiTheme="minorHAnsi"/>
          <w:b/>
          <w:sz w:val="22"/>
          <w:szCs w:val="22"/>
        </w:rPr>
        <w:t>ponadgimnazjalnej</w:t>
      </w:r>
      <w:proofErr w:type="spellEnd"/>
      <w:r w:rsidR="001D51ED" w:rsidRPr="00252F19">
        <w:rPr>
          <w:rFonts w:asciiTheme="minorHAnsi" w:hAnsiTheme="minorHAnsi"/>
          <w:b/>
          <w:sz w:val="22"/>
          <w:szCs w:val="22"/>
        </w:rPr>
        <w:t>"</w:t>
      </w:r>
      <w:r w:rsidRPr="00252F19">
        <w:rPr>
          <w:rFonts w:asciiTheme="minorHAnsi" w:hAnsiTheme="minorHAnsi"/>
          <w:b/>
          <w:sz w:val="22"/>
          <w:szCs w:val="22"/>
        </w:rPr>
        <w:t xml:space="preserve">. </w:t>
      </w:r>
      <w:r w:rsidR="001D51ED" w:rsidRPr="00252F19">
        <w:rPr>
          <w:rFonts w:asciiTheme="minorHAnsi" w:hAnsiTheme="minorHAnsi"/>
          <w:b/>
          <w:sz w:val="22"/>
          <w:szCs w:val="22"/>
        </w:rPr>
        <w:t xml:space="preserve">W ramach projektu, na podstawie Karty Nauczyciela (zgodnie z katalogiem stawek maksymalnych do konkursu 10.2.2.) zostaną zatrudnieni nauczyciele (godziny dodatkowe). W projekcie zostały także zaplanowane działania, takie jak warsztaty edukacyjno-zawodowe, czy grupa terapeutyczna dla młodzieży w kryzysie z elementami psychoedukacji i wsparcia, do realizacji których nie dysponujemy odpowiednią kadrą. Czy w tym przypadku beneficjent ma zatrudnić osoby z zewnątrz, spełniające odpowiednie kwalifikacji, oczywiście zgodnie z zasadą konkurencyjności? </w:t>
      </w:r>
    </w:p>
    <w:p w:rsidR="001D51ED" w:rsidRPr="001D51ED" w:rsidRDefault="001D51ED" w:rsidP="001D51ED">
      <w:pPr>
        <w:pStyle w:val="Zwykytekst"/>
        <w:jc w:val="both"/>
        <w:rPr>
          <w:rFonts w:asciiTheme="minorHAnsi" w:hAnsiTheme="minorHAnsi"/>
          <w:sz w:val="22"/>
          <w:szCs w:val="22"/>
        </w:rPr>
      </w:pPr>
    </w:p>
    <w:p w:rsidR="001D51ED" w:rsidRPr="001D51ED" w:rsidRDefault="001D51ED" w:rsidP="00252F19">
      <w:pPr>
        <w:pStyle w:val="Zwykytekst"/>
        <w:jc w:val="both"/>
        <w:rPr>
          <w:rFonts w:asciiTheme="minorHAnsi" w:hAnsiTheme="minorHAnsi"/>
          <w:sz w:val="22"/>
          <w:szCs w:val="22"/>
        </w:rPr>
      </w:pPr>
      <w:r w:rsidRPr="001D51ED">
        <w:rPr>
          <w:rFonts w:asciiTheme="minorHAnsi" w:hAnsiTheme="minorHAnsi"/>
          <w:sz w:val="22"/>
          <w:szCs w:val="22"/>
        </w:rPr>
        <w:t xml:space="preserve">Szczegółowe zasady zatrudniania nauczycieli w ramach projektów finansowanych ze środków pochodzących z budżetu UE zawarte są ustawie o systemie oświaty oraz ustawie Karta Nauczyciela. Zgodnie z wyjaśnieniami Ministerstwa Edukacji Narodowej w placówkach publicznych dyrektor jako kierownik zakładu pracy ma wybór - może zatrudnić przy projekcie UE obecnego nauczyciela w ramach dodatkowych godzin (art. 35a Karty Nauczyciela) albo zatrudnić nauczyciela spoza placówki (art. 7e ustawy o systemie oświaty). </w:t>
      </w:r>
    </w:p>
    <w:p w:rsidR="001D51ED" w:rsidRPr="001D51ED" w:rsidRDefault="001D51ED" w:rsidP="00252F19">
      <w:pPr>
        <w:pStyle w:val="Zwykytekst"/>
        <w:jc w:val="both"/>
        <w:rPr>
          <w:rFonts w:asciiTheme="minorHAnsi" w:hAnsiTheme="minorHAnsi"/>
          <w:sz w:val="22"/>
          <w:szCs w:val="22"/>
        </w:rPr>
      </w:pPr>
    </w:p>
    <w:p w:rsidR="001D51ED" w:rsidRPr="001D51ED" w:rsidRDefault="001D51ED" w:rsidP="00252F19">
      <w:pPr>
        <w:pStyle w:val="Zwykytekst"/>
        <w:jc w:val="both"/>
        <w:rPr>
          <w:rFonts w:asciiTheme="minorHAnsi" w:hAnsiTheme="minorHAnsi"/>
          <w:sz w:val="22"/>
          <w:szCs w:val="22"/>
        </w:rPr>
      </w:pPr>
      <w:r w:rsidRPr="001D51ED">
        <w:rPr>
          <w:rFonts w:asciiTheme="minorHAnsi" w:hAnsiTheme="minorHAnsi"/>
          <w:sz w:val="22"/>
          <w:szCs w:val="22"/>
        </w:rPr>
        <w:t xml:space="preserve">W pierwszym przypadku to dyrektor przydziela godziny na realizację w projekcie UE za zgodą nauczyciela. Wynagrodzenie za każdą godzinę takich zajęć przysługuje w wysokości ustalonej jak za godziny ponadwymiarowe (tj. w wysokości wyliczonej według stawki osobistego zaszeregowania nauczyciela, z uwzględnieniem tylko dodatku za warunki pracy, a nie innych dodatków). Zajęcia te nie są wliczane do tygodniowego obowiązkowego wymiaru godzin zajęć dydaktycznych, wychowawczych i opiekuńczych prowadzonych bezpośrednio z uczniami lub wychowankami albo na ich rzecz. Nie wlicza się ich do przydzielonych nauczycielowi godzin ponadwymiarowych. </w:t>
      </w:r>
    </w:p>
    <w:p w:rsidR="001D51ED" w:rsidRPr="001D51ED" w:rsidRDefault="001D51ED" w:rsidP="00252F19">
      <w:pPr>
        <w:pStyle w:val="Zwykytekst"/>
        <w:jc w:val="both"/>
        <w:rPr>
          <w:rFonts w:asciiTheme="minorHAnsi" w:hAnsiTheme="minorHAnsi"/>
          <w:sz w:val="22"/>
          <w:szCs w:val="22"/>
        </w:rPr>
      </w:pPr>
    </w:p>
    <w:p w:rsidR="001D51ED" w:rsidRPr="001D51ED" w:rsidRDefault="001D51ED" w:rsidP="00252F19">
      <w:pPr>
        <w:pStyle w:val="Zwykytekst"/>
        <w:jc w:val="both"/>
        <w:rPr>
          <w:rFonts w:asciiTheme="minorHAnsi" w:hAnsiTheme="minorHAnsi"/>
          <w:sz w:val="22"/>
          <w:szCs w:val="22"/>
        </w:rPr>
      </w:pPr>
      <w:r w:rsidRPr="001D51ED">
        <w:rPr>
          <w:rFonts w:asciiTheme="minorHAnsi" w:hAnsiTheme="minorHAnsi"/>
          <w:sz w:val="22"/>
          <w:szCs w:val="22"/>
        </w:rPr>
        <w:t xml:space="preserve">W drugim przypadku - zatrudnienia dodatkowego nauczyciela spoza placówki lub z innej szkoły - zatrudnia się na umowę o pracę, zgodnie z Kodeksem pracy. Wówczas należy pamiętać, że tygodniowy czas pracy nauczyciela w ramach jednego stosunku pracy wynosi do 40 godzin. "Nowozatrudniony" nauczyciel musi posiadać kwalifikacje określone w przepisach wydanych na podstawie art. 9 ust. 2 i 3 ustawy z dnia 26 stycznia 1982 r. – Karta Nauczyciela oraz musi spełniać warunki określone w art. 10 ust. 5 </w:t>
      </w:r>
      <w:proofErr w:type="spellStart"/>
      <w:r w:rsidRPr="001D51ED">
        <w:rPr>
          <w:rFonts w:asciiTheme="minorHAnsi" w:hAnsiTheme="minorHAnsi"/>
          <w:sz w:val="22"/>
          <w:szCs w:val="22"/>
        </w:rPr>
        <w:t>pkt</w:t>
      </w:r>
      <w:proofErr w:type="spellEnd"/>
      <w:r w:rsidRPr="001D51ED">
        <w:rPr>
          <w:rFonts w:asciiTheme="minorHAnsi" w:hAnsiTheme="minorHAnsi"/>
          <w:sz w:val="22"/>
          <w:szCs w:val="22"/>
        </w:rPr>
        <w:t xml:space="preserve"> 3 i 4  - Karta Nauczyciela (jest obowiązany przedstawić dyrektorowi szkoły informację z KRK) oraz za każdą godzinę prowadzenia zajęć przysługuje mu wynagrodzenie nie wyższe niż wynagrodzenie za jedną godzinę prowadzenia zajęć ponadwymiarową dla nauczyciela dyplomowanego posiadającego wykształcenie wyższe magisterskie i realizującego tygodniowy obowiązkowy wymiar godzin zajęć, o którym mowa w art. 42 ust. 3 w tabeli w lp. 3 ustawy – Karta Nauczyciela. </w:t>
      </w:r>
    </w:p>
    <w:p w:rsidR="001D51ED" w:rsidRPr="001D51ED" w:rsidRDefault="001D51ED" w:rsidP="00252F19">
      <w:pPr>
        <w:pStyle w:val="Zwykytekst"/>
        <w:jc w:val="both"/>
        <w:rPr>
          <w:rFonts w:asciiTheme="minorHAnsi" w:hAnsiTheme="minorHAnsi"/>
          <w:sz w:val="22"/>
          <w:szCs w:val="22"/>
        </w:rPr>
      </w:pPr>
    </w:p>
    <w:p w:rsidR="001D51ED" w:rsidRPr="001D51ED" w:rsidRDefault="001D51ED" w:rsidP="00252F19">
      <w:pPr>
        <w:pStyle w:val="Zwykytekst"/>
        <w:jc w:val="both"/>
        <w:rPr>
          <w:rFonts w:asciiTheme="minorHAnsi" w:hAnsiTheme="minorHAnsi"/>
          <w:sz w:val="22"/>
          <w:szCs w:val="22"/>
        </w:rPr>
      </w:pPr>
      <w:r w:rsidRPr="001D51ED">
        <w:rPr>
          <w:rFonts w:asciiTheme="minorHAnsi" w:hAnsiTheme="minorHAnsi"/>
          <w:sz w:val="22"/>
          <w:szCs w:val="22"/>
        </w:rPr>
        <w:t>Zarówno w pierwszym, jak i drugim przypadku, pracodawcą dla zatrudnionych i zatrudnianych nauczycieli jest szkoła, a decyzję w tym zakresie podejmuje kierownik danego zakładu pracy czyli dyrektor.</w:t>
      </w:r>
    </w:p>
    <w:p w:rsidR="001D51ED" w:rsidRPr="001D51ED" w:rsidRDefault="001D51ED" w:rsidP="001D51ED">
      <w:pPr>
        <w:pStyle w:val="Zwykytekst"/>
        <w:rPr>
          <w:rFonts w:asciiTheme="minorHAnsi" w:hAnsiTheme="minorHAnsi"/>
          <w:sz w:val="22"/>
          <w:szCs w:val="22"/>
        </w:rPr>
      </w:pPr>
    </w:p>
    <w:p w:rsidR="001D51ED" w:rsidRPr="001D51ED" w:rsidRDefault="001D51ED" w:rsidP="00252F19">
      <w:pPr>
        <w:pStyle w:val="Zwykytekst"/>
        <w:jc w:val="both"/>
        <w:rPr>
          <w:rFonts w:asciiTheme="minorHAnsi" w:hAnsiTheme="minorHAnsi"/>
          <w:sz w:val="22"/>
          <w:szCs w:val="22"/>
        </w:rPr>
      </w:pPr>
      <w:r w:rsidRPr="001D51ED">
        <w:rPr>
          <w:rFonts w:asciiTheme="minorHAnsi" w:hAnsiTheme="minorHAnsi"/>
          <w:sz w:val="22"/>
          <w:szCs w:val="22"/>
        </w:rPr>
        <w:lastRenderedPageBreak/>
        <w:t xml:space="preserve">Tym niemniej IOK informuje również, że w projektach dopuszcza się możliwość udzielania zamówień np. zakupu usług edukacyjnych, polegających na np. organizacji i przeprowadzeniu określonych zajęć dodatkowych. Wówczas Wnioskodawca/Beneficjent, którym jest gmina, jest zobowiązany do wyłonienia wykonawcy w sposób zapewniający przejrzystość oraz zachowanie uczciwej konkurencji i równego traktowania wykonawców (tj. w przypadku jednostek sektora finansów publicznych – zgodnie z PZP). </w:t>
      </w:r>
    </w:p>
    <w:p w:rsidR="00252F19" w:rsidRDefault="00252F19" w:rsidP="00252F19">
      <w:pPr>
        <w:pStyle w:val="Zwykytekst"/>
        <w:jc w:val="both"/>
        <w:rPr>
          <w:rFonts w:asciiTheme="minorHAnsi" w:hAnsiTheme="minorHAnsi"/>
          <w:sz w:val="22"/>
          <w:szCs w:val="22"/>
        </w:rPr>
      </w:pPr>
    </w:p>
    <w:p w:rsidR="001D51ED" w:rsidRPr="001D51ED" w:rsidRDefault="001D51ED" w:rsidP="00252F19">
      <w:pPr>
        <w:pStyle w:val="Zwykytekst"/>
        <w:jc w:val="both"/>
        <w:rPr>
          <w:rFonts w:asciiTheme="minorHAnsi" w:hAnsiTheme="minorHAnsi"/>
          <w:sz w:val="22"/>
          <w:szCs w:val="22"/>
        </w:rPr>
      </w:pPr>
      <w:r w:rsidRPr="001D51ED">
        <w:rPr>
          <w:rFonts w:asciiTheme="minorHAnsi" w:hAnsiTheme="minorHAnsi"/>
          <w:sz w:val="22"/>
          <w:szCs w:val="22"/>
        </w:rPr>
        <w:t xml:space="preserve">Zakup usługi edukacyjnej nie powinien jednak stanowić sposobu na obejście przez Wnioskodawcę/Beneficjenta zaleceń MEN dotyczących angażowania nauczycieli w ramach projektów finansowanych z UE ze względu np. na wysokość stawek wynagrodzenia. Udzielanie zamówień powinno być każdorazowo uzasadnione celem projektu i zdiagnozowanymi potrzebami edukacyjnymi, a wydatki poniesione w wyniku zamówienia powinny być zgodnie z warunkami </w:t>
      </w:r>
      <w:proofErr w:type="spellStart"/>
      <w:r w:rsidRPr="001D51ED">
        <w:rPr>
          <w:rFonts w:asciiTheme="minorHAnsi" w:hAnsiTheme="minorHAnsi"/>
          <w:sz w:val="22"/>
          <w:szCs w:val="22"/>
        </w:rPr>
        <w:t>kwalifikowalności</w:t>
      </w:r>
      <w:proofErr w:type="spellEnd"/>
      <w:r w:rsidRPr="001D51ED">
        <w:rPr>
          <w:rFonts w:asciiTheme="minorHAnsi" w:hAnsiTheme="minorHAnsi"/>
          <w:sz w:val="22"/>
          <w:szCs w:val="22"/>
        </w:rPr>
        <w:t>, m.in. niezbędności w kontekście realizacji celów oraz powinny być dokonane w sposób przejrzysty, racjonalny i efektywny, z zachowaniem zasad uzyskiwania najlepszych efektów z danych nakładów.</w:t>
      </w:r>
    </w:p>
    <w:p w:rsidR="001D51ED" w:rsidRPr="001D51ED" w:rsidRDefault="001D51ED" w:rsidP="001D51ED">
      <w:pPr>
        <w:pStyle w:val="Zwykytekst"/>
        <w:rPr>
          <w:rFonts w:asciiTheme="minorHAnsi" w:hAnsiTheme="minorHAnsi"/>
          <w:sz w:val="22"/>
          <w:szCs w:val="22"/>
        </w:rPr>
      </w:pPr>
    </w:p>
    <w:p w:rsidR="001D51ED" w:rsidRPr="001D51ED" w:rsidRDefault="001D51ED" w:rsidP="00252F19">
      <w:pPr>
        <w:pStyle w:val="Zwykytekst"/>
        <w:jc w:val="both"/>
        <w:rPr>
          <w:rFonts w:asciiTheme="minorHAnsi" w:hAnsiTheme="minorHAnsi"/>
          <w:sz w:val="22"/>
          <w:szCs w:val="22"/>
        </w:rPr>
      </w:pPr>
      <w:r w:rsidRPr="001D51ED">
        <w:rPr>
          <w:rFonts w:asciiTheme="minorHAnsi" w:hAnsiTheme="minorHAnsi"/>
          <w:sz w:val="22"/>
          <w:szCs w:val="22"/>
        </w:rPr>
        <w:t>Decyzję o zastosowaniu powyższego rozwiązania podejmuje Wnioskodawca/Beneficjent zgodnie z obowiązującymi przepisami prawnymi oraz konkretnymi uwarunkowaniami form organizacyjno-prawnych zarówno Wnioskodawcy, jak i szkoły objętej projektem. Jeżeli forma organizacyjno-prawna, statut szkoły, Ustawa o systemie oświaty, Karta Nauczyciela umożliwiają realizację zajęć dodatkowych w danej szkole przez wykonawcę/wykonawców na podstawie umowy cywilno-prawnej wybranego/wybranych zgodnie z PZP, to IOK nie widzi przeciwwskazań dla takiego sposobu realizacji projektu.</w:t>
      </w:r>
    </w:p>
    <w:p w:rsidR="001D51ED" w:rsidRPr="001D51ED" w:rsidRDefault="001D51ED" w:rsidP="00252F19">
      <w:pPr>
        <w:pStyle w:val="Zwykytekst"/>
        <w:jc w:val="both"/>
        <w:rPr>
          <w:rFonts w:asciiTheme="minorHAnsi" w:hAnsiTheme="minorHAnsi"/>
          <w:sz w:val="22"/>
          <w:szCs w:val="22"/>
        </w:rPr>
      </w:pPr>
    </w:p>
    <w:p w:rsidR="001D51ED" w:rsidRPr="001D51ED" w:rsidRDefault="001D51ED" w:rsidP="00252F19">
      <w:pPr>
        <w:pStyle w:val="Zwykytekst"/>
        <w:jc w:val="both"/>
        <w:rPr>
          <w:rFonts w:asciiTheme="minorHAnsi" w:hAnsiTheme="minorHAnsi"/>
          <w:sz w:val="22"/>
          <w:szCs w:val="22"/>
        </w:rPr>
      </w:pPr>
      <w:r w:rsidRPr="001D51ED">
        <w:rPr>
          <w:rFonts w:asciiTheme="minorHAnsi" w:hAnsiTheme="minorHAnsi"/>
          <w:sz w:val="22"/>
          <w:szCs w:val="22"/>
        </w:rPr>
        <w:t xml:space="preserve">Dodatkowo, można rozważyć realizację projektu w Partnerstwie z podmiotem, któremu może być powierzona realizacja części zadań, w tym np. organizacja i przeprowadzenie określonych zajęć dodatkowych. Należy wówczas pamiętać o zgodnym z Wytycznymi w zakresie </w:t>
      </w:r>
      <w:proofErr w:type="spellStart"/>
      <w:r w:rsidRPr="001D51ED">
        <w:rPr>
          <w:rFonts w:asciiTheme="minorHAnsi" w:hAnsiTheme="minorHAnsi"/>
          <w:sz w:val="22"/>
          <w:szCs w:val="22"/>
        </w:rPr>
        <w:t>kwalifikowalności</w:t>
      </w:r>
      <w:proofErr w:type="spellEnd"/>
      <w:r w:rsidRPr="001D51ED">
        <w:rPr>
          <w:rFonts w:asciiTheme="minorHAnsi" w:hAnsiTheme="minorHAnsi"/>
          <w:sz w:val="22"/>
          <w:szCs w:val="22"/>
        </w:rPr>
        <w:t xml:space="preserve"> wydatków, dokonaniem wyboru Partnera spoza sektora jednostek sektora finansów publicznych oraz o spełnieniu innych warunków realizacji projektów partnerskich, w tym np. zakazu wzajemnego zlecania przez Beneficjenta zakupu towarów lub usług Partnerowi i odwrotnie.</w:t>
      </w:r>
    </w:p>
    <w:p w:rsidR="001D51ED" w:rsidRPr="001D51ED" w:rsidRDefault="001D51ED" w:rsidP="00252F19">
      <w:pPr>
        <w:pStyle w:val="Zwykytekst"/>
        <w:jc w:val="both"/>
        <w:rPr>
          <w:rFonts w:asciiTheme="minorHAnsi" w:hAnsiTheme="minorHAnsi"/>
          <w:sz w:val="22"/>
          <w:szCs w:val="22"/>
        </w:rPr>
      </w:pPr>
    </w:p>
    <w:p w:rsidR="001D51ED" w:rsidRPr="001D51ED" w:rsidRDefault="001D51ED" w:rsidP="001D51ED">
      <w:pPr>
        <w:jc w:val="both"/>
        <w:rPr>
          <w:rFonts w:asciiTheme="minorHAnsi" w:hAnsiTheme="minorHAnsi"/>
          <w:b/>
        </w:rPr>
      </w:pPr>
    </w:p>
    <w:p w:rsidR="001D51ED" w:rsidRPr="00252F19" w:rsidRDefault="001D51ED" w:rsidP="001D51ED">
      <w:pPr>
        <w:pStyle w:val="Akapitzlist"/>
        <w:numPr>
          <w:ilvl w:val="0"/>
          <w:numId w:val="3"/>
        </w:numPr>
        <w:jc w:val="both"/>
        <w:rPr>
          <w:rFonts w:asciiTheme="minorHAnsi" w:hAnsiTheme="minorHAnsi"/>
          <w:b/>
        </w:rPr>
      </w:pPr>
      <w:r w:rsidRPr="00252F19">
        <w:rPr>
          <w:rFonts w:asciiTheme="minorHAnsi" w:hAnsiTheme="minorHAnsi"/>
          <w:b/>
        </w:rPr>
        <w:t>Proszę o wyjaśnienie czy w ramach projektu, jeśli wykażemy konieczność zajęć zwiększających kompetencje w zakresie matematyki to czy możliwe jest np. wyposażenie pracowni matematycznej w laptopy dla wszystkich uczniów?</w:t>
      </w:r>
      <w:r w:rsidR="00252F19" w:rsidRPr="00252F19">
        <w:rPr>
          <w:rFonts w:asciiTheme="minorHAnsi" w:hAnsiTheme="minorHAnsi"/>
          <w:b/>
        </w:rPr>
        <w:t xml:space="preserve"> </w:t>
      </w:r>
      <w:r w:rsidRPr="00252F19">
        <w:rPr>
          <w:rFonts w:asciiTheme="minorHAnsi" w:hAnsiTheme="minorHAnsi"/>
          <w:b/>
        </w:rPr>
        <w:t>Czy 30% limit dotyczy tylko wyposażenia powyżej 3500 zł czy jest to limit łączny na środki trwałe i materiały dydaktyczne poniżej 3500 zł?</w:t>
      </w:r>
    </w:p>
    <w:p w:rsidR="001D51ED" w:rsidRPr="001D51ED" w:rsidRDefault="001D51ED" w:rsidP="001D51ED">
      <w:pPr>
        <w:rPr>
          <w:rFonts w:asciiTheme="minorHAnsi" w:hAnsiTheme="minorHAnsi"/>
        </w:rPr>
      </w:pPr>
    </w:p>
    <w:p w:rsidR="001D51ED" w:rsidRPr="001D51ED" w:rsidRDefault="001D51ED" w:rsidP="001D51ED">
      <w:pPr>
        <w:pStyle w:val="Default"/>
        <w:jc w:val="both"/>
        <w:rPr>
          <w:rFonts w:asciiTheme="minorHAnsi" w:hAnsiTheme="minorHAnsi"/>
          <w:color w:val="auto"/>
          <w:sz w:val="22"/>
          <w:szCs w:val="22"/>
        </w:rPr>
      </w:pPr>
      <w:r w:rsidRPr="001D51ED">
        <w:rPr>
          <w:rFonts w:asciiTheme="minorHAnsi" w:eastAsiaTheme="minorHAnsi" w:hAnsiTheme="minorHAnsi" w:cs="Times New Roman"/>
          <w:color w:val="auto"/>
          <w:sz w:val="22"/>
          <w:szCs w:val="22"/>
        </w:rPr>
        <w:t>Jest możliwość zakupu laptopów dla uczniów (a dokładnie, zgodnie z katalogiem „</w:t>
      </w:r>
      <w:hyperlink r:id="rId6" w:history="1">
        <w:r w:rsidRPr="001D51ED">
          <w:rPr>
            <w:rFonts w:asciiTheme="minorHAnsi" w:eastAsiaTheme="minorHAnsi" w:hAnsiTheme="minorHAnsi" w:cs="Times New Roman"/>
            <w:color w:val="auto"/>
            <w:sz w:val="22"/>
            <w:szCs w:val="22"/>
          </w:rPr>
          <w:t>Wykaz pomocy dydaktycznych, narzędzi TIK oraz urządzeń sieciowych</w:t>
        </w:r>
      </w:hyperlink>
      <w:r w:rsidRPr="001D51ED">
        <w:rPr>
          <w:rFonts w:asciiTheme="minorHAnsi" w:eastAsiaTheme="minorHAnsi" w:hAnsiTheme="minorHAnsi" w:cs="Times New Roman"/>
          <w:b/>
          <w:bCs/>
          <w:color w:val="auto"/>
          <w:sz w:val="22"/>
          <w:szCs w:val="22"/>
        </w:rPr>
        <w:t xml:space="preserve">”: </w:t>
      </w:r>
      <w:r w:rsidRPr="001D51ED">
        <w:rPr>
          <w:rFonts w:asciiTheme="minorHAnsi" w:eastAsiaTheme="minorHAnsi" w:hAnsiTheme="minorHAnsi" w:cs="Times New Roman"/>
          <w:color w:val="auto"/>
          <w:sz w:val="22"/>
          <w:szCs w:val="22"/>
        </w:rPr>
        <w:t xml:space="preserve">przenośnych komputerów dla uczniów, wraz z oprogramowaniem, lub inne mobilne urządzenia mające funkcje komputera, wyposażone w zainstalowany system operacyjny) w ramach typu projektu 10.2.A, forma wsparcia: „j) wyposażenie szkół w pomoce dydaktyczne oraz </w:t>
      </w:r>
      <w:r w:rsidRPr="001D51ED">
        <w:rPr>
          <w:rFonts w:asciiTheme="minorHAnsi" w:eastAsiaTheme="minorHAnsi" w:hAnsiTheme="minorHAnsi" w:cs="Times New Roman"/>
          <w:b/>
          <w:color w:val="auto"/>
          <w:sz w:val="22"/>
          <w:szCs w:val="22"/>
        </w:rPr>
        <w:t>narzędzia TIK niezbędne do realizacji programów nauczania</w:t>
      </w:r>
      <w:r w:rsidRPr="001D51ED">
        <w:rPr>
          <w:rFonts w:asciiTheme="minorHAnsi" w:eastAsiaTheme="minorHAnsi" w:hAnsiTheme="minorHAnsi" w:cs="Times New Roman"/>
          <w:color w:val="auto"/>
          <w:sz w:val="22"/>
          <w:szCs w:val="22"/>
        </w:rPr>
        <w:t xml:space="preserve"> w szkołach, w tym zapewnienie odpowiedniej infrastruktury sieciowo-usługowej”. Taki zakup powinien być wówczas uzasadniony potrzebą kształtowania kompetencji kluczowych w zakresie nauk matematycznych. Wówczas należy przeanalizować czy zakup w ramach projektu „tylko” laptopów dla uczniów pozwoli na zapewnienie przez szkołę funkcjonalności, o których mowa na stronach 7-9 Załącznika nr 4 do Regulaminu konkursu.</w:t>
      </w:r>
    </w:p>
    <w:p w:rsidR="001D51ED" w:rsidRPr="001D51ED" w:rsidRDefault="001D51ED" w:rsidP="001D51ED">
      <w:pPr>
        <w:pStyle w:val="Akapitzlist"/>
        <w:rPr>
          <w:rFonts w:asciiTheme="minorHAnsi" w:hAnsiTheme="minorHAnsi"/>
        </w:rPr>
      </w:pPr>
    </w:p>
    <w:p w:rsidR="001D51ED" w:rsidRPr="001D51ED" w:rsidRDefault="001D51ED" w:rsidP="001D51ED">
      <w:pPr>
        <w:pStyle w:val="Default"/>
        <w:jc w:val="both"/>
        <w:rPr>
          <w:rFonts w:asciiTheme="minorHAnsi" w:eastAsiaTheme="minorHAnsi" w:hAnsiTheme="minorHAnsi" w:cs="Times New Roman"/>
          <w:color w:val="auto"/>
          <w:sz w:val="22"/>
          <w:szCs w:val="22"/>
        </w:rPr>
      </w:pPr>
    </w:p>
    <w:p w:rsidR="001D51ED" w:rsidRPr="001D51ED" w:rsidRDefault="001D51ED" w:rsidP="001D51ED">
      <w:pPr>
        <w:pStyle w:val="Default"/>
        <w:jc w:val="both"/>
        <w:rPr>
          <w:rFonts w:asciiTheme="minorHAnsi" w:eastAsiaTheme="minorHAnsi" w:hAnsiTheme="minorHAnsi" w:cs="Times New Roman"/>
          <w:color w:val="auto"/>
          <w:sz w:val="22"/>
          <w:szCs w:val="22"/>
        </w:rPr>
      </w:pPr>
      <w:r w:rsidRPr="001D51ED">
        <w:rPr>
          <w:rFonts w:asciiTheme="minorHAnsi" w:eastAsiaTheme="minorHAnsi" w:hAnsiTheme="minorHAnsi" w:cs="Times New Roman"/>
          <w:color w:val="auto"/>
          <w:sz w:val="22"/>
          <w:szCs w:val="22"/>
        </w:rPr>
        <w:t>Zakup wyposażenia powinien być uzupełnieniem do zajęć skierowanych bezpośrednio do uczniów.</w:t>
      </w:r>
    </w:p>
    <w:p w:rsidR="001D51ED" w:rsidRPr="001D51ED" w:rsidRDefault="001D51ED" w:rsidP="001D51ED">
      <w:pPr>
        <w:pStyle w:val="Default"/>
        <w:jc w:val="both"/>
        <w:rPr>
          <w:rFonts w:asciiTheme="minorHAnsi" w:eastAsiaTheme="minorHAnsi" w:hAnsiTheme="minorHAnsi" w:cs="Times New Roman"/>
          <w:color w:val="auto"/>
          <w:sz w:val="22"/>
          <w:szCs w:val="22"/>
        </w:rPr>
      </w:pPr>
    </w:p>
    <w:p w:rsidR="001D51ED" w:rsidRPr="001D51ED" w:rsidRDefault="001D51ED" w:rsidP="001D51ED">
      <w:pPr>
        <w:pStyle w:val="Default"/>
        <w:jc w:val="both"/>
        <w:rPr>
          <w:rFonts w:asciiTheme="minorHAnsi" w:eastAsiaTheme="minorHAnsi" w:hAnsiTheme="minorHAnsi" w:cs="Times New Roman"/>
          <w:color w:val="auto"/>
          <w:sz w:val="22"/>
          <w:szCs w:val="22"/>
        </w:rPr>
      </w:pPr>
      <w:r w:rsidRPr="001D51ED">
        <w:rPr>
          <w:rFonts w:asciiTheme="minorHAnsi" w:eastAsiaTheme="minorHAnsi" w:hAnsiTheme="minorHAnsi" w:cs="Times New Roman"/>
          <w:color w:val="auto"/>
          <w:sz w:val="22"/>
          <w:szCs w:val="22"/>
        </w:rPr>
        <w:lastRenderedPageBreak/>
        <w:t xml:space="preserve">30% limit wydatków projektu dotyczy: środków trwałych o wartości jednostkowej równej i wyższej niż 3500 netto oraz wydatków w ramach </w:t>
      </w:r>
      <w:proofErr w:type="spellStart"/>
      <w:r w:rsidRPr="001D51ED">
        <w:rPr>
          <w:rFonts w:asciiTheme="minorHAnsi" w:eastAsiaTheme="minorHAnsi" w:hAnsiTheme="minorHAnsi" w:cs="Times New Roman"/>
          <w:color w:val="auto"/>
          <w:sz w:val="22"/>
          <w:szCs w:val="22"/>
        </w:rPr>
        <w:t>cross-financingu</w:t>
      </w:r>
      <w:proofErr w:type="spellEnd"/>
      <w:r w:rsidRPr="001D51ED">
        <w:rPr>
          <w:rFonts w:asciiTheme="minorHAnsi" w:eastAsiaTheme="minorHAnsi" w:hAnsiTheme="minorHAnsi" w:cs="Times New Roman"/>
          <w:color w:val="auto"/>
          <w:sz w:val="22"/>
          <w:szCs w:val="22"/>
        </w:rPr>
        <w:t xml:space="preserve"> tj. środki trwałe równe/wyższe nić 3500 zł + </w:t>
      </w:r>
      <w:proofErr w:type="spellStart"/>
      <w:r w:rsidRPr="001D51ED">
        <w:rPr>
          <w:rFonts w:asciiTheme="minorHAnsi" w:eastAsiaTheme="minorHAnsi" w:hAnsiTheme="minorHAnsi" w:cs="Times New Roman"/>
          <w:color w:val="auto"/>
          <w:sz w:val="22"/>
          <w:szCs w:val="22"/>
        </w:rPr>
        <w:t>cross-financing</w:t>
      </w:r>
      <w:proofErr w:type="spellEnd"/>
      <w:r w:rsidRPr="001D51ED">
        <w:rPr>
          <w:rFonts w:asciiTheme="minorHAnsi" w:eastAsiaTheme="minorHAnsi" w:hAnsiTheme="minorHAnsi" w:cs="Times New Roman"/>
          <w:color w:val="auto"/>
          <w:sz w:val="22"/>
          <w:szCs w:val="22"/>
        </w:rPr>
        <w:t xml:space="preserve"> ≤ 30% wydatków projektów.</w:t>
      </w:r>
    </w:p>
    <w:p w:rsidR="001D51ED" w:rsidRPr="001D51ED" w:rsidRDefault="001D51ED" w:rsidP="001D51ED">
      <w:pPr>
        <w:rPr>
          <w:rFonts w:asciiTheme="minorHAnsi" w:hAnsiTheme="minorHAnsi"/>
        </w:rPr>
      </w:pPr>
    </w:p>
    <w:p w:rsidR="001D51ED" w:rsidRPr="001D51ED" w:rsidRDefault="001D51ED" w:rsidP="001D51ED">
      <w:pPr>
        <w:pStyle w:val="Zwykytekst"/>
        <w:rPr>
          <w:rFonts w:asciiTheme="minorHAnsi" w:hAnsiTheme="minorHAnsi"/>
          <w:sz w:val="22"/>
          <w:szCs w:val="22"/>
        </w:rPr>
      </w:pPr>
    </w:p>
    <w:p w:rsidR="001D51ED" w:rsidRPr="00252F19" w:rsidRDefault="001D51ED" w:rsidP="00252F19">
      <w:pPr>
        <w:pStyle w:val="Zwykytekst"/>
        <w:numPr>
          <w:ilvl w:val="0"/>
          <w:numId w:val="3"/>
        </w:numPr>
        <w:jc w:val="both"/>
        <w:rPr>
          <w:rFonts w:asciiTheme="minorHAnsi" w:hAnsiTheme="minorHAnsi"/>
          <w:b/>
          <w:sz w:val="22"/>
          <w:szCs w:val="22"/>
        </w:rPr>
      </w:pPr>
      <w:r w:rsidRPr="00252F19">
        <w:rPr>
          <w:rFonts w:asciiTheme="minorHAnsi" w:hAnsiTheme="minorHAnsi"/>
          <w:b/>
          <w:sz w:val="22"/>
          <w:szCs w:val="22"/>
        </w:rPr>
        <w:t>Oddelegowanie pracownika Lidera do zajęć merytorycznych w ramach projektu – czy w przypadku nieregularnej liczby godzin szkoleń do wykonania w przeciągu projektu, konieczne jest stosowanie jednostki miary w etacie lub jego części, czy też można zastosować jednostkę w postaci godzin.</w:t>
      </w:r>
      <w:r w:rsidR="00252F19" w:rsidRPr="00252F19">
        <w:rPr>
          <w:rFonts w:asciiTheme="minorHAnsi" w:hAnsiTheme="minorHAnsi"/>
          <w:b/>
          <w:sz w:val="22"/>
          <w:szCs w:val="22"/>
        </w:rPr>
        <w:t xml:space="preserve"> </w:t>
      </w:r>
      <w:r w:rsidRPr="00252F19">
        <w:rPr>
          <w:rFonts w:asciiTheme="minorHAnsi" w:hAnsiTheme="minorHAnsi"/>
          <w:b/>
          <w:sz w:val="22"/>
          <w:szCs w:val="22"/>
        </w:rPr>
        <w:t>W naszym projekcie osoba oddelegowana przeprowadzi na początku projektu intensywne szkolenie dla nauczycieli a w następnych zadaniach będzie występował wyłącznie w ilościach znikomych.</w:t>
      </w:r>
    </w:p>
    <w:p w:rsidR="001D51ED" w:rsidRPr="001D51ED" w:rsidRDefault="001D51ED" w:rsidP="001D51ED">
      <w:pPr>
        <w:pStyle w:val="Zwykytekst"/>
        <w:rPr>
          <w:rFonts w:asciiTheme="minorHAnsi" w:hAnsiTheme="minorHAnsi"/>
          <w:sz w:val="22"/>
          <w:szCs w:val="22"/>
        </w:rPr>
      </w:pPr>
    </w:p>
    <w:p w:rsidR="001D51ED" w:rsidRPr="001D51ED" w:rsidRDefault="001D51ED" w:rsidP="001D51ED">
      <w:pPr>
        <w:pStyle w:val="Zwykytekst"/>
        <w:jc w:val="both"/>
        <w:rPr>
          <w:rFonts w:asciiTheme="minorHAnsi" w:hAnsiTheme="minorHAnsi"/>
          <w:sz w:val="22"/>
          <w:szCs w:val="22"/>
        </w:rPr>
      </w:pPr>
      <w:r w:rsidRPr="001D51ED">
        <w:rPr>
          <w:rFonts w:asciiTheme="minorHAnsi" w:hAnsiTheme="minorHAnsi"/>
          <w:sz w:val="22"/>
          <w:szCs w:val="22"/>
        </w:rPr>
        <w:t xml:space="preserve">Jednostka miary powinna być adekwatna do formy zaangażowania i sposobu rozliczania wykonanej pracy. Jeżeli pracownik zatrudniony na umowę o pracę będzie w każdym miesiącu realizacji projektu oddelegowany do projektu w wymiarze np. ¼ etatu to średniomiesięcznie w okresie realizacji projektu powinien świadczyć pracę w wymiarze ¼ etatu, dla której wynagrodzenie będzie naliczane proporcjonalnie. Wówczas stawka powinna zostać podana dla wymiaru ¼ etatu. </w:t>
      </w:r>
    </w:p>
    <w:p w:rsidR="001D51ED" w:rsidRPr="001D51ED" w:rsidRDefault="001D51ED" w:rsidP="001D51ED">
      <w:pPr>
        <w:pStyle w:val="Zwykytekst"/>
        <w:jc w:val="both"/>
        <w:rPr>
          <w:rFonts w:asciiTheme="minorHAnsi" w:hAnsiTheme="minorHAnsi"/>
          <w:sz w:val="22"/>
          <w:szCs w:val="22"/>
        </w:rPr>
      </w:pPr>
      <w:r w:rsidRPr="001D51ED">
        <w:rPr>
          <w:rFonts w:asciiTheme="minorHAnsi" w:hAnsiTheme="minorHAnsi"/>
          <w:sz w:val="22"/>
          <w:szCs w:val="22"/>
        </w:rPr>
        <w:t xml:space="preserve">Jeżeli pracownik zatrudniony na umowę o pracę będzie świadczył pracę w projekcie w sposób nierównomierny to jest możliwość wskazania godziny jako jednostki miary. Wówczas należy podać stawkę za godzinę świadczenia pracy. </w:t>
      </w:r>
    </w:p>
    <w:p w:rsidR="001D51ED" w:rsidRPr="001D51ED" w:rsidRDefault="001D51ED" w:rsidP="001D51ED">
      <w:pPr>
        <w:pStyle w:val="Zwykytekst"/>
        <w:jc w:val="both"/>
        <w:rPr>
          <w:rFonts w:asciiTheme="minorHAnsi" w:hAnsiTheme="minorHAnsi"/>
          <w:sz w:val="22"/>
          <w:szCs w:val="22"/>
        </w:rPr>
      </w:pPr>
      <w:r w:rsidRPr="001D51ED">
        <w:rPr>
          <w:rFonts w:asciiTheme="minorHAnsi" w:hAnsiTheme="minorHAnsi"/>
          <w:sz w:val="22"/>
          <w:szCs w:val="22"/>
        </w:rPr>
        <w:t>W obydwu przypadkach oceniający projekt powinni uzyskać na tyle precyzyjną informację, na podstawie której będą mogli ocenić relację nakład/rezultat, zgodność stawki z katalogiem stawek maksymalnych a w przypadku braku stawki w katalogu – zgodność z cenami rynkowymi oraz racjonalność i efektywność wydatku. Jest również możliwość uzasadnienia w budżecie projektu danego wydatku w sytuacji, w której jednostka miary, stawka lub sposób rozliczania może budzić wątpliwości oceniających.</w:t>
      </w:r>
    </w:p>
    <w:p w:rsidR="001D51ED" w:rsidRPr="001D51ED" w:rsidRDefault="001D51ED" w:rsidP="001D51ED">
      <w:pPr>
        <w:pStyle w:val="Zwykytekst"/>
        <w:jc w:val="both"/>
        <w:rPr>
          <w:rFonts w:asciiTheme="minorHAnsi" w:hAnsiTheme="minorHAnsi"/>
          <w:sz w:val="22"/>
          <w:szCs w:val="22"/>
        </w:rPr>
      </w:pPr>
      <w:r w:rsidRPr="001D51ED">
        <w:rPr>
          <w:rFonts w:asciiTheme="minorHAnsi" w:hAnsiTheme="minorHAnsi"/>
          <w:sz w:val="22"/>
          <w:szCs w:val="22"/>
        </w:rPr>
        <w:t>Należy wskazywać formę zaangażowania (umowa o pracę, umowa cywilno-prawna) oraz składniki wynagrodzenia np. wynagrodzenie brutto + składki pracodawcy.</w:t>
      </w:r>
    </w:p>
    <w:p w:rsidR="001D51ED" w:rsidRPr="001D51ED" w:rsidRDefault="001D51ED" w:rsidP="001D51ED">
      <w:pPr>
        <w:pStyle w:val="Zwykytekst"/>
        <w:rPr>
          <w:rFonts w:asciiTheme="minorHAnsi" w:hAnsiTheme="minorHAnsi"/>
          <w:sz w:val="22"/>
          <w:szCs w:val="22"/>
        </w:rPr>
      </w:pPr>
    </w:p>
    <w:p w:rsidR="001D51ED" w:rsidRPr="001F5739" w:rsidRDefault="001D51ED" w:rsidP="00252F19">
      <w:pPr>
        <w:pStyle w:val="Zwykytekst"/>
        <w:numPr>
          <w:ilvl w:val="0"/>
          <w:numId w:val="3"/>
        </w:numPr>
        <w:jc w:val="both"/>
        <w:rPr>
          <w:rFonts w:asciiTheme="minorHAnsi" w:hAnsiTheme="minorHAnsi"/>
          <w:b/>
          <w:sz w:val="22"/>
          <w:szCs w:val="22"/>
        </w:rPr>
      </w:pPr>
      <w:r w:rsidRPr="001F5739">
        <w:rPr>
          <w:rFonts w:asciiTheme="minorHAnsi" w:hAnsiTheme="minorHAnsi"/>
          <w:b/>
          <w:sz w:val="22"/>
          <w:szCs w:val="22"/>
        </w:rPr>
        <w:t>Czy w przypadku oddelegowania pracownika do ustalenia stawki godzinowej za wykonaną pracę punktem odniesienie jest wyłącznie stawka wychodząca z otrzymywanego wynagrodzenia, czy można zastosować stawkę godzinową według widełek rynkowych. Chodzi o sytuację w której specjalista na etacie u lidera projektu będzie pobierał znacznie mniejsze wynagrodzenie od osoby zatrudnianej w ramach projektu.</w:t>
      </w:r>
    </w:p>
    <w:p w:rsidR="001D51ED" w:rsidRPr="001D51ED" w:rsidRDefault="001D51ED" w:rsidP="001D51ED">
      <w:pPr>
        <w:pStyle w:val="Zwykytekst"/>
        <w:rPr>
          <w:rFonts w:asciiTheme="minorHAnsi" w:hAnsiTheme="minorHAnsi"/>
          <w:sz w:val="22"/>
          <w:szCs w:val="22"/>
        </w:rPr>
      </w:pPr>
    </w:p>
    <w:p w:rsidR="001D51ED" w:rsidRPr="001D51ED" w:rsidRDefault="001D51ED" w:rsidP="001D51ED">
      <w:pPr>
        <w:autoSpaceDE w:val="0"/>
        <w:autoSpaceDN w:val="0"/>
        <w:adjustRightInd w:val="0"/>
        <w:jc w:val="both"/>
        <w:rPr>
          <w:rFonts w:asciiTheme="minorHAnsi" w:hAnsiTheme="minorHAnsi" w:cstheme="minorBidi"/>
          <w:b/>
        </w:rPr>
      </w:pPr>
      <w:r w:rsidRPr="001D51ED">
        <w:rPr>
          <w:rFonts w:asciiTheme="minorHAnsi" w:hAnsiTheme="minorHAnsi" w:cstheme="minorBidi"/>
        </w:rPr>
        <w:t xml:space="preserve">Jeżeli pracownik zostanie oddelegowany do projektu do zadań i czynności analogicznych do zadań wykonywanych w ramach podstawowego zakresu obowiązków, stawka godzinowa powinna być analogiczna i odnosić się do wysokości stawki godzinowej wynikającej z podstawowego wynagrodzenia. </w:t>
      </w:r>
    </w:p>
    <w:p w:rsidR="001D51ED" w:rsidRPr="001D51ED" w:rsidRDefault="001D51ED" w:rsidP="001D51ED">
      <w:pPr>
        <w:autoSpaceDE w:val="0"/>
        <w:autoSpaceDN w:val="0"/>
        <w:adjustRightInd w:val="0"/>
        <w:jc w:val="both"/>
        <w:rPr>
          <w:rFonts w:asciiTheme="minorHAnsi" w:hAnsiTheme="minorHAnsi" w:cstheme="minorBidi"/>
          <w:b/>
        </w:rPr>
      </w:pPr>
      <w:r w:rsidRPr="001D51ED">
        <w:rPr>
          <w:rFonts w:asciiTheme="minorHAnsi" w:hAnsiTheme="minorHAnsi" w:cstheme="minorBidi"/>
        </w:rPr>
        <w:t xml:space="preserve">Jeżeli pracownik zostanie oddelegowany do projektu do innych zadań i czynności niż w ramach podstawowego zakresu obowiązków, za które zgodnie z regulaminem pracy lub regulaminem wynagradzania u danego pracodawcy lub z innych właściwych przepisów prawa pracy, należy się inna stawka godzinowa, można zastosować tę inną stawkę godzinową. Podczas kontroli projektu lub na etapie weryfikacji wniosków o płatność Beneficjent może być zobowiązany do wykazania, że zastosowana wysokość stawki odpowiada stawkom faktycznie stosowanym u Beneficjenta poza projektami współfinansowanymi z </w:t>
      </w:r>
      <w:proofErr w:type="spellStart"/>
      <w:r w:rsidRPr="001D51ED">
        <w:rPr>
          <w:rFonts w:asciiTheme="minorHAnsi" w:hAnsiTheme="minorHAnsi" w:cstheme="minorBidi"/>
        </w:rPr>
        <w:t>funduszy</w:t>
      </w:r>
      <w:proofErr w:type="spellEnd"/>
      <w:r w:rsidRPr="001D51ED">
        <w:rPr>
          <w:rFonts w:asciiTheme="minorHAnsi" w:hAnsiTheme="minorHAnsi" w:cstheme="minorBidi"/>
        </w:rPr>
        <w:t xml:space="preserve"> strukturalnych i FS na analogicznych stanowiskach lub na stanowiskach wymagających analogicznych kwalifikacji oraz jest zgodna z regulaminem pracy lub regulaminem wynagradzania.</w:t>
      </w:r>
    </w:p>
    <w:p w:rsidR="001D51ED" w:rsidRPr="001D51ED" w:rsidRDefault="001D51ED" w:rsidP="001D51ED">
      <w:pPr>
        <w:autoSpaceDE w:val="0"/>
        <w:autoSpaceDN w:val="0"/>
        <w:adjustRightInd w:val="0"/>
        <w:jc w:val="both"/>
        <w:rPr>
          <w:rFonts w:asciiTheme="minorHAnsi" w:hAnsiTheme="minorHAnsi" w:cstheme="minorBidi"/>
          <w:b/>
        </w:rPr>
      </w:pPr>
    </w:p>
    <w:p w:rsidR="001D51ED" w:rsidRPr="001D51ED" w:rsidRDefault="001D51ED" w:rsidP="001D51ED">
      <w:pPr>
        <w:autoSpaceDE w:val="0"/>
        <w:autoSpaceDN w:val="0"/>
        <w:adjustRightInd w:val="0"/>
        <w:jc w:val="both"/>
        <w:rPr>
          <w:rFonts w:asciiTheme="minorHAnsi" w:hAnsiTheme="minorHAnsi" w:cstheme="minorBidi"/>
          <w:b/>
        </w:rPr>
      </w:pPr>
      <w:r w:rsidRPr="001D51ED">
        <w:rPr>
          <w:rFonts w:asciiTheme="minorHAnsi" w:hAnsiTheme="minorHAnsi" w:cstheme="minorBidi"/>
        </w:rPr>
        <w:t xml:space="preserve">IOK pragnie podkreślić, że osoba zatrudniania do projektu przez Beneficjenta nie może otrzymać wynagrodzenia wyższego niż dotychczas stosowane stawki u Beneficjenta poza projektami </w:t>
      </w:r>
      <w:r w:rsidRPr="001D51ED">
        <w:rPr>
          <w:rFonts w:asciiTheme="minorHAnsi" w:hAnsiTheme="minorHAnsi" w:cstheme="minorBidi"/>
        </w:rPr>
        <w:lastRenderedPageBreak/>
        <w:t xml:space="preserve">współfinansowanymi z </w:t>
      </w:r>
      <w:proofErr w:type="spellStart"/>
      <w:r w:rsidRPr="001D51ED">
        <w:rPr>
          <w:rFonts w:asciiTheme="minorHAnsi" w:hAnsiTheme="minorHAnsi" w:cstheme="minorBidi"/>
        </w:rPr>
        <w:t>funduszy</w:t>
      </w:r>
      <w:proofErr w:type="spellEnd"/>
      <w:r w:rsidRPr="001D51ED">
        <w:rPr>
          <w:rFonts w:asciiTheme="minorHAnsi" w:hAnsiTheme="minorHAnsi" w:cstheme="minorBidi"/>
        </w:rPr>
        <w:t xml:space="preserve"> strukturalnych i FS na analogicznych stanowiskach lub na stanowiskach wymagających analogicznych kwalifikacji.</w:t>
      </w:r>
    </w:p>
    <w:p w:rsidR="001D51ED" w:rsidRPr="001D51ED" w:rsidRDefault="001D51ED" w:rsidP="001D51ED">
      <w:pPr>
        <w:pStyle w:val="Zwykytekst"/>
        <w:jc w:val="both"/>
        <w:rPr>
          <w:rFonts w:asciiTheme="minorHAnsi" w:hAnsiTheme="minorHAnsi"/>
          <w:sz w:val="22"/>
          <w:szCs w:val="22"/>
        </w:rPr>
      </w:pPr>
    </w:p>
    <w:p w:rsidR="001D51ED" w:rsidRPr="001D51ED" w:rsidRDefault="001D51ED" w:rsidP="001D51ED">
      <w:pPr>
        <w:pStyle w:val="Zwykytekst"/>
        <w:jc w:val="both"/>
        <w:rPr>
          <w:rFonts w:asciiTheme="minorHAnsi" w:hAnsiTheme="minorHAnsi"/>
          <w:sz w:val="22"/>
          <w:szCs w:val="22"/>
        </w:rPr>
      </w:pPr>
      <w:r w:rsidRPr="001D51ED">
        <w:rPr>
          <w:rFonts w:asciiTheme="minorHAnsi" w:hAnsiTheme="minorHAnsi"/>
          <w:sz w:val="22"/>
          <w:szCs w:val="22"/>
        </w:rPr>
        <w:t>Każdorazowo stawki powinny być zgodne z katalogiem stawek maksymalnych określonych dla konkursu w Załączniku nr 4 do Regulaminu.</w:t>
      </w:r>
    </w:p>
    <w:p w:rsidR="001D51ED" w:rsidRPr="001D51ED" w:rsidRDefault="001D51ED" w:rsidP="001D51ED">
      <w:pPr>
        <w:pStyle w:val="Zwykytekst"/>
        <w:jc w:val="both"/>
        <w:rPr>
          <w:rFonts w:asciiTheme="minorHAnsi" w:hAnsiTheme="minorHAnsi"/>
          <w:sz w:val="22"/>
          <w:szCs w:val="22"/>
        </w:rPr>
      </w:pPr>
    </w:p>
    <w:p w:rsidR="001D51ED" w:rsidRPr="001D51ED" w:rsidRDefault="001D51ED" w:rsidP="001D51ED">
      <w:pPr>
        <w:autoSpaceDE w:val="0"/>
        <w:autoSpaceDN w:val="0"/>
        <w:adjustRightInd w:val="0"/>
        <w:jc w:val="both"/>
        <w:rPr>
          <w:rFonts w:asciiTheme="minorHAnsi" w:hAnsiTheme="minorHAnsi" w:cstheme="minorBidi"/>
          <w:b/>
        </w:rPr>
      </w:pPr>
      <w:r w:rsidRPr="001D51ED">
        <w:rPr>
          <w:rFonts w:asciiTheme="minorHAnsi" w:hAnsiTheme="minorHAnsi" w:cstheme="minorBidi"/>
        </w:rPr>
        <w:t>Wydatki związane z wynagrodzeniem personelu muszą być ponoszone zgodnie z przepisami krajowymi, w szczególności zgodnie z ustawą z dnia 26 czerwca 1974 r. - Kodeks pracy oraz z Kodeksem cywilnym.</w:t>
      </w:r>
    </w:p>
    <w:p w:rsidR="001D51ED" w:rsidRPr="001D51ED" w:rsidRDefault="001D51ED" w:rsidP="001D51ED">
      <w:pPr>
        <w:pStyle w:val="Zwykytekst"/>
        <w:rPr>
          <w:rFonts w:asciiTheme="minorHAnsi" w:hAnsiTheme="minorHAnsi"/>
          <w:sz w:val="22"/>
          <w:szCs w:val="22"/>
        </w:rPr>
      </w:pPr>
    </w:p>
    <w:p w:rsidR="001D51ED" w:rsidRPr="001D51ED" w:rsidRDefault="001D51ED" w:rsidP="001D51ED">
      <w:pPr>
        <w:autoSpaceDE w:val="0"/>
        <w:autoSpaceDN w:val="0"/>
        <w:adjustRightInd w:val="0"/>
        <w:jc w:val="both"/>
        <w:rPr>
          <w:rFonts w:asciiTheme="minorHAnsi" w:hAnsiTheme="minorHAnsi" w:cstheme="minorBidi"/>
          <w:b/>
        </w:rPr>
      </w:pPr>
      <w:r w:rsidRPr="001D51ED">
        <w:rPr>
          <w:rFonts w:asciiTheme="minorHAnsi" w:hAnsiTheme="minorHAnsi" w:cstheme="minorBidi"/>
        </w:rPr>
        <w:t xml:space="preserve">Szczegóły dotyczące angażowania personelu projektu są opisane w Rozdziale 6.16 Wytycznych w zakresie </w:t>
      </w:r>
      <w:proofErr w:type="spellStart"/>
      <w:r w:rsidRPr="001D51ED">
        <w:rPr>
          <w:rFonts w:asciiTheme="minorHAnsi" w:hAnsiTheme="minorHAnsi" w:cstheme="minorBidi"/>
        </w:rPr>
        <w:t>kwalifikowalności</w:t>
      </w:r>
      <w:proofErr w:type="spellEnd"/>
      <w:r w:rsidRPr="001D51ED">
        <w:rPr>
          <w:rFonts w:asciiTheme="minorHAnsi" w:hAnsiTheme="minorHAnsi" w:cstheme="minorBidi"/>
        </w:rPr>
        <w:t xml:space="preserve"> wydatków w ramach Europejskiego Funduszu Rozwoju Regionalnego, Europejskiego Funduszu Społecznego oraz Funduszu Spójności na lata 2014-2020.</w:t>
      </w:r>
    </w:p>
    <w:p w:rsidR="000B608C" w:rsidRPr="001D51ED" w:rsidRDefault="000B608C" w:rsidP="001D51ED">
      <w:pPr>
        <w:rPr>
          <w:rFonts w:asciiTheme="minorHAnsi" w:hAnsiTheme="minorHAnsi"/>
        </w:rPr>
      </w:pPr>
    </w:p>
    <w:p w:rsidR="00252F19" w:rsidRPr="00252F19" w:rsidRDefault="00252F19" w:rsidP="00252F19">
      <w:pPr>
        <w:pStyle w:val="Akapitzlist"/>
        <w:numPr>
          <w:ilvl w:val="0"/>
          <w:numId w:val="3"/>
        </w:numPr>
        <w:rPr>
          <w:rFonts w:asciiTheme="minorHAnsi" w:hAnsiTheme="minorHAnsi"/>
          <w:b/>
        </w:rPr>
      </w:pPr>
      <w:r w:rsidRPr="00252F19">
        <w:rPr>
          <w:rFonts w:asciiTheme="minorHAnsi" w:hAnsiTheme="minorHAnsi"/>
          <w:b/>
        </w:rPr>
        <w:t>I</w:t>
      </w:r>
      <w:r w:rsidR="001D51ED" w:rsidRPr="00252F19">
        <w:rPr>
          <w:rFonts w:asciiTheme="minorHAnsi" w:hAnsiTheme="minorHAnsi"/>
          <w:b/>
        </w:rPr>
        <w:t>le wynosi okres trwa</w:t>
      </w:r>
      <w:r w:rsidRPr="00252F19">
        <w:rPr>
          <w:rFonts w:asciiTheme="minorHAnsi" w:hAnsiTheme="minorHAnsi"/>
          <w:b/>
        </w:rPr>
        <w:t>łości projektu w tym działaniu?</w:t>
      </w:r>
    </w:p>
    <w:p w:rsidR="00252F19" w:rsidRDefault="00252F19" w:rsidP="00252F19">
      <w:pPr>
        <w:jc w:val="both"/>
        <w:rPr>
          <w:rFonts w:asciiTheme="minorHAnsi" w:hAnsiTheme="minorHAnsi"/>
        </w:rPr>
      </w:pPr>
    </w:p>
    <w:p w:rsidR="00252F19" w:rsidRPr="00252F19" w:rsidRDefault="00252F19" w:rsidP="00252F19">
      <w:pPr>
        <w:jc w:val="both"/>
        <w:rPr>
          <w:rFonts w:asciiTheme="minorHAnsi" w:hAnsiTheme="minorHAnsi"/>
        </w:rPr>
      </w:pPr>
      <w:r w:rsidRPr="00252F19">
        <w:rPr>
          <w:rFonts w:asciiTheme="minorHAnsi" w:hAnsiTheme="minorHAnsi"/>
        </w:rPr>
        <w:t xml:space="preserve">W przypadku Działania 10.2, jeśli w ramach projektu doszło do wyposażenia szkoły lub placówki systemu oświaty w pomoce dydaktyczne, narzędzia TIK, urządzenia sieciowe w ramach infrastruktury sieciowo-usługowej, Beneficjent jest zobowiązany do osiągnięcia i zachowania funkcjonalności infrastruktury sieciowo-usługowej w okresie do 6 miesięcy od daty zakończenia realizacji projektu. </w:t>
      </w:r>
    </w:p>
    <w:p w:rsidR="00252F19" w:rsidRPr="00252F19" w:rsidRDefault="00252F19" w:rsidP="00252F19">
      <w:pPr>
        <w:jc w:val="both"/>
        <w:rPr>
          <w:rFonts w:asciiTheme="minorHAnsi" w:hAnsiTheme="minorHAnsi"/>
        </w:rPr>
      </w:pPr>
      <w:r w:rsidRPr="00252F19">
        <w:rPr>
          <w:rFonts w:asciiTheme="minorHAnsi" w:hAnsiTheme="minorHAnsi"/>
        </w:rPr>
        <w:t>Ponadto, w przypadku Działania 10.2, jeśli w ramach projektu doposażono pracownie TIK lub przedmiotowe, beneficjent jest zobowiązany do wykorzystywania doposażenia pracowni w celach edukacyjnych tj. w takich celach do jakich zostały zakupione.</w:t>
      </w:r>
    </w:p>
    <w:p w:rsidR="00252F19" w:rsidRPr="00252F19" w:rsidRDefault="00252F19" w:rsidP="00252F19">
      <w:pPr>
        <w:jc w:val="both"/>
        <w:rPr>
          <w:rFonts w:asciiTheme="minorHAnsi" w:hAnsiTheme="minorHAnsi"/>
        </w:rPr>
      </w:pPr>
      <w:r w:rsidRPr="00252F19">
        <w:rPr>
          <w:rFonts w:asciiTheme="minorHAnsi" w:hAnsiTheme="minorHAnsi"/>
        </w:rPr>
        <w:t xml:space="preserve">Dodatkowo, jeśli w ramach projektu doszło do inwestycji w infrastrukturę w ramach </w:t>
      </w:r>
      <w:proofErr w:type="spellStart"/>
      <w:r w:rsidRPr="00252F19">
        <w:rPr>
          <w:rFonts w:asciiTheme="minorHAnsi" w:hAnsiTheme="minorHAnsi"/>
        </w:rPr>
        <w:t>cross-financingu</w:t>
      </w:r>
      <w:proofErr w:type="spellEnd"/>
      <w:r w:rsidRPr="00252F19">
        <w:rPr>
          <w:rFonts w:asciiTheme="minorHAnsi" w:hAnsiTheme="minorHAnsi"/>
        </w:rPr>
        <w:t xml:space="preserve">, beneficjent jest zobowiązany do zachowania zasady trwałości infrastruktury w EFS (elementy nieprzenośne np. na stałe przytwierdzone do nieruchomości) w okresie 5 lat od daty płatności końcowej na rzecz Beneficjenta lub zatwierdzenia końcowego wniosku o płatność. </w:t>
      </w:r>
    </w:p>
    <w:p w:rsidR="00252F19" w:rsidRPr="00252F19" w:rsidRDefault="00252F19" w:rsidP="00252F19">
      <w:pPr>
        <w:jc w:val="both"/>
        <w:rPr>
          <w:rFonts w:asciiTheme="minorHAnsi" w:hAnsiTheme="minorHAnsi"/>
        </w:rPr>
      </w:pPr>
      <w:r w:rsidRPr="00252F19">
        <w:rPr>
          <w:rFonts w:asciiTheme="minorHAnsi" w:hAnsiTheme="minorHAnsi"/>
        </w:rPr>
        <w:t xml:space="preserve">Zgodnie z Wytycznymi w zakresie </w:t>
      </w:r>
      <w:proofErr w:type="spellStart"/>
      <w:r w:rsidRPr="00252F19">
        <w:rPr>
          <w:rFonts w:asciiTheme="minorHAnsi" w:hAnsiTheme="minorHAnsi"/>
        </w:rPr>
        <w:t>kwalifikowalności</w:t>
      </w:r>
      <w:proofErr w:type="spellEnd"/>
      <w:r w:rsidRPr="00252F19">
        <w:rPr>
          <w:rFonts w:asciiTheme="minorHAnsi" w:hAnsiTheme="minorHAnsi"/>
        </w:rPr>
        <w:t xml:space="preserve"> projektów, naruszenie zasady trwałości następuje m.in. w sytuacji, gdy w okresie trwałości nastąpiła zmiana własności (rozumiana jako rozporządzenie prawem własności) elementu współfinansowanej infrastruktury, która daje przedsiębiorstwu lub podmiotowi publicznemu nienależne korzyści lub nastąpiła istotna zmiana wpływająca na charakter projektu, jego cele lub warunki realizacji, która mogłaby doprowadzić do naruszenia jego pierwotnych celów. </w:t>
      </w:r>
    </w:p>
    <w:p w:rsidR="00252F19" w:rsidRPr="00252F19" w:rsidRDefault="00252F19" w:rsidP="00252F19">
      <w:pPr>
        <w:rPr>
          <w:rFonts w:asciiTheme="minorHAnsi" w:hAnsiTheme="minorHAnsi"/>
        </w:rPr>
      </w:pPr>
    </w:p>
    <w:p w:rsidR="00252F19" w:rsidRPr="00252F19" w:rsidRDefault="00252F19" w:rsidP="00252F19">
      <w:pPr>
        <w:pStyle w:val="Akapitzlist"/>
        <w:numPr>
          <w:ilvl w:val="0"/>
          <w:numId w:val="3"/>
        </w:numPr>
        <w:rPr>
          <w:rFonts w:asciiTheme="minorHAnsi" w:hAnsiTheme="minorHAnsi"/>
          <w:b/>
        </w:rPr>
      </w:pPr>
      <w:r w:rsidRPr="00252F19">
        <w:rPr>
          <w:rFonts w:asciiTheme="minorHAnsi" w:hAnsiTheme="minorHAnsi"/>
          <w:b/>
        </w:rPr>
        <w:t>N</w:t>
      </w:r>
      <w:r w:rsidR="001D51ED" w:rsidRPr="00252F19">
        <w:rPr>
          <w:rFonts w:asciiTheme="minorHAnsi" w:hAnsiTheme="minorHAnsi"/>
          <w:b/>
        </w:rPr>
        <w:t xml:space="preserve">a jakiej zasadzie moglibyśmy sfinansować w projekcie zajęcia z </w:t>
      </w:r>
      <w:proofErr w:type="spellStart"/>
      <w:r w:rsidR="001D51ED" w:rsidRPr="00252F19">
        <w:rPr>
          <w:rFonts w:asciiTheme="minorHAnsi" w:hAnsiTheme="minorHAnsi"/>
          <w:b/>
        </w:rPr>
        <w:t>native</w:t>
      </w:r>
      <w:proofErr w:type="spellEnd"/>
      <w:r w:rsidR="001D51ED" w:rsidRPr="00252F19">
        <w:rPr>
          <w:rFonts w:asciiTheme="minorHAnsi" w:hAnsiTheme="minorHAnsi"/>
          <w:b/>
        </w:rPr>
        <w:t xml:space="preserve"> </w:t>
      </w:r>
      <w:proofErr w:type="spellStart"/>
      <w:r w:rsidR="001D51ED" w:rsidRPr="00252F19">
        <w:rPr>
          <w:rFonts w:asciiTheme="minorHAnsi" w:hAnsiTheme="minorHAnsi"/>
          <w:b/>
        </w:rPr>
        <w:t>speek`erem</w:t>
      </w:r>
      <w:proofErr w:type="spellEnd"/>
      <w:r w:rsidR="001D51ED" w:rsidRPr="00252F19">
        <w:rPr>
          <w:rFonts w:asciiTheme="minorHAnsi" w:hAnsiTheme="minorHAnsi"/>
          <w:b/>
        </w:rPr>
        <w:t>? - jaki rod</w:t>
      </w:r>
      <w:r w:rsidRPr="00252F19">
        <w:rPr>
          <w:rFonts w:asciiTheme="minorHAnsi" w:hAnsiTheme="minorHAnsi"/>
          <w:b/>
        </w:rPr>
        <w:t>zaj umowy wchodziłby tutaj w grę?</w:t>
      </w:r>
    </w:p>
    <w:p w:rsidR="00252F19" w:rsidRDefault="00252F19" w:rsidP="00252F19">
      <w:pPr>
        <w:jc w:val="both"/>
        <w:rPr>
          <w:rFonts w:asciiTheme="minorHAnsi" w:hAnsiTheme="minorHAnsi"/>
        </w:rPr>
      </w:pPr>
    </w:p>
    <w:p w:rsidR="00252F19" w:rsidRPr="00252F19" w:rsidRDefault="00252F19" w:rsidP="00252F19">
      <w:pPr>
        <w:jc w:val="both"/>
        <w:rPr>
          <w:rFonts w:asciiTheme="minorHAnsi" w:hAnsiTheme="minorHAnsi"/>
        </w:rPr>
      </w:pPr>
      <w:r w:rsidRPr="00252F19">
        <w:rPr>
          <w:rFonts w:asciiTheme="minorHAnsi" w:hAnsiTheme="minorHAnsi"/>
        </w:rPr>
        <w:t xml:space="preserve">IOK nie jest upoważniona do decydowania w zakresie kompetencji organów prowadzących ani jednostek organizacyjnych </w:t>
      </w:r>
      <w:proofErr w:type="spellStart"/>
      <w:r w:rsidRPr="00252F19">
        <w:rPr>
          <w:rFonts w:asciiTheme="minorHAnsi" w:hAnsiTheme="minorHAnsi"/>
        </w:rPr>
        <w:t>jst</w:t>
      </w:r>
      <w:proofErr w:type="spellEnd"/>
      <w:r w:rsidRPr="00252F19">
        <w:rPr>
          <w:rFonts w:asciiTheme="minorHAnsi" w:hAnsiTheme="minorHAnsi"/>
        </w:rPr>
        <w:t>, jakimi mogą być szkoły.</w:t>
      </w:r>
    </w:p>
    <w:p w:rsidR="00252F19" w:rsidRDefault="00252F19" w:rsidP="00252F19">
      <w:pPr>
        <w:jc w:val="both"/>
        <w:rPr>
          <w:rFonts w:asciiTheme="minorHAnsi" w:hAnsiTheme="minorHAnsi"/>
        </w:rPr>
      </w:pPr>
    </w:p>
    <w:p w:rsidR="00252F19" w:rsidRPr="00252F19" w:rsidRDefault="00252F19" w:rsidP="00252F19">
      <w:pPr>
        <w:jc w:val="both"/>
        <w:rPr>
          <w:rFonts w:asciiTheme="minorHAnsi" w:hAnsiTheme="minorHAnsi"/>
        </w:rPr>
      </w:pPr>
      <w:r w:rsidRPr="00252F19">
        <w:rPr>
          <w:rFonts w:asciiTheme="minorHAnsi" w:hAnsiTheme="minorHAnsi"/>
        </w:rPr>
        <w:t xml:space="preserve">Zatrudnienie </w:t>
      </w:r>
      <w:proofErr w:type="spellStart"/>
      <w:r w:rsidRPr="00252F19">
        <w:rPr>
          <w:rFonts w:asciiTheme="minorHAnsi" w:hAnsiTheme="minorHAnsi"/>
        </w:rPr>
        <w:t>native</w:t>
      </w:r>
      <w:proofErr w:type="spellEnd"/>
      <w:r w:rsidRPr="00252F19">
        <w:rPr>
          <w:rFonts w:asciiTheme="minorHAnsi" w:hAnsiTheme="minorHAnsi"/>
        </w:rPr>
        <w:t xml:space="preserve"> speakera przez szkołę lub przez organ prowadzący lub przez Partnera projektu musi być zgodne z przepisami prawa krajowego, w szczególności z Kodeksem pracy, z ustawą o systemie oświaty, z Kartą nauczyciela oraz ze statutem szkoły/organu prowadzącego/Partnera i ich f</w:t>
      </w:r>
      <w:r w:rsidR="00CA0A1C">
        <w:rPr>
          <w:rFonts w:asciiTheme="minorHAnsi" w:hAnsiTheme="minorHAnsi"/>
        </w:rPr>
        <w:t xml:space="preserve">ormami organizacyjno-prawnymi oraz Wytycznymi dotyczącymi </w:t>
      </w:r>
      <w:proofErr w:type="spellStart"/>
      <w:r w:rsidR="00CA0A1C">
        <w:rPr>
          <w:rFonts w:asciiTheme="minorHAnsi" w:hAnsiTheme="minorHAnsi"/>
        </w:rPr>
        <w:t>kwalifikowalności</w:t>
      </w:r>
      <w:proofErr w:type="spellEnd"/>
      <w:r w:rsidR="00CA0A1C">
        <w:rPr>
          <w:rFonts w:asciiTheme="minorHAnsi" w:hAnsiTheme="minorHAnsi"/>
        </w:rPr>
        <w:t xml:space="preserve"> wydatków w zakresie angażowania personelu projektu.</w:t>
      </w:r>
      <w:r w:rsidRPr="00252F19">
        <w:rPr>
          <w:rFonts w:asciiTheme="minorHAnsi" w:hAnsiTheme="minorHAnsi"/>
        </w:rPr>
        <w:t xml:space="preserve"> </w:t>
      </w:r>
    </w:p>
    <w:p w:rsidR="00252F19" w:rsidRDefault="00252F19" w:rsidP="00252F19">
      <w:pPr>
        <w:jc w:val="both"/>
        <w:rPr>
          <w:rFonts w:asciiTheme="minorHAnsi" w:hAnsiTheme="minorHAnsi"/>
        </w:rPr>
      </w:pPr>
    </w:p>
    <w:p w:rsidR="00252F19" w:rsidRPr="00252F19" w:rsidRDefault="00252F19" w:rsidP="00252F19">
      <w:pPr>
        <w:jc w:val="both"/>
        <w:rPr>
          <w:rFonts w:asciiTheme="minorHAnsi" w:hAnsiTheme="minorHAnsi"/>
        </w:rPr>
      </w:pPr>
      <w:r w:rsidRPr="00252F19">
        <w:rPr>
          <w:rFonts w:asciiTheme="minorHAnsi" w:hAnsiTheme="minorHAnsi"/>
        </w:rPr>
        <w:t xml:space="preserve">Szczegółowe zasady zatrudniania nauczycieli w ramach projektów finansowanych ze środków pochodzących z budżetu UE zawarte są ustawie o systemie oświaty oraz ustawie Karta Nauczyciela. Zgodnie z wyjaśnieniami Ministerstwa Edukacji Narodowej w placówkach publicznych dyrektor jako kierownik zakładu pracy ma wybór - może zatrudnić przy projekcie UE obecnego nauczyciela w ramach dodatkowych godzin (art. 35a Karty Nauczyciela) albo zatrudnić nauczyciela spoza placówki (art. 7e ustawy o systemie oświaty). </w:t>
      </w:r>
    </w:p>
    <w:p w:rsidR="00252F19" w:rsidRPr="00252F19" w:rsidRDefault="00252F19" w:rsidP="00252F19">
      <w:pPr>
        <w:pStyle w:val="Zwykytekst"/>
        <w:jc w:val="both"/>
        <w:rPr>
          <w:rFonts w:asciiTheme="minorHAnsi" w:hAnsiTheme="minorHAnsi"/>
          <w:sz w:val="22"/>
          <w:szCs w:val="22"/>
        </w:rPr>
      </w:pPr>
      <w:r w:rsidRPr="00252F19">
        <w:rPr>
          <w:rFonts w:asciiTheme="minorHAnsi" w:hAnsiTheme="minorHAnsi"/>
        </w:rPr>
        <w:lastRenderedPageBreak/>
        <w:t xml:space="preserve">W pierwszym przypadku to dyrektor przydziela godziny na realizację w projekcie UE za zgodą nauczyciela. Wynagrodzenie za każdą godzinę takich zajęć przysługuje w wysokości ustalonej jak za godziny ponadwymiarowe (tj. w wysokości wyliczonej według stawki osobistego zaszeregowania nauczyciela, z uwzględnieniem tylko dodatku za warunki pracy, a nie innych dodatków). Zajęcia te nie są wliczane do tygodniowego obowiązkowego wymiaru godzin zajęć dydaktycznych, wychowawczych i opiekuńczych prowadzonych bezpośrednio z uczniami lub wychowankami albo na ich rzecz. Nie wlicza się ich do przydzielonych nauczycielowi godzin ponadwymiarowych. </w:t>
      </w:r>
    </w:p>
    <w:p w:rsidR="00252F19" w:rsidRDefault="00252F19" w:rsidP="00252F19">
      <w:pPr>
        <w:pStyle w:val="Zwykytekst"/>
        <w:jc w:val="both"/>
        <w:rPr>
          <w:rFonts w:asciiTheme="minorHAnsi" w:hAnsiTheme="minorHAnsi"/>
          <w:sz w:val="22"/>
          <w:szCs w:val="22"/>
        </w:rPr>
      </w:pPr>
    </w:p>
    <w:p w:rsidR="00252F19" w:rsidRPr="00252F19" w:rsidRDefault="00252F19" w:rsidP="00252F19">
      <w:pPr>
        <w:pStyle w:val="Zwykytekst"/>
        <w:jc w:val="both"/>
        <w:rPr>
          <w:rFonts w:asciiTheme="minorHAnsi" w:hAnsiTheme="minorHAnsi"/>
          <w:sz w:val="22"/>
          <w:szCs w:val="22"/>
        </w:rPr>
      </w:pPr>
      <w:r w:rsidRPr="00252F19">
        <w:rPr>
          <w:rFonts w:asciiTheme="minorHAnsi" w:hAnsiTheme="minorHAnsi"/>
          <w:sz w:val="22"/>
          <w:szCs w:val="22"/>
        </w:rPr>
        <w:t xml:space="preserve">W drugim przypadku - zatrudnienia dodatkowego nauczyciela spoza placówki lub z innej szkoły - zatrudnia się na umowę o pracę, zgodnie z Kodeksem pracy. Wówczas należy pamiętać, że tygodniowy czas pracy nauczyciela w ramach jednego stosunku pracy wynosi do 40 godzin. "Nowozatrudniony" nauczyciel musi posiadać kwalifikacje określone w przepisach wydanych na podstawie art. 9 ust. 2 i 3 ustawy z dnia 26 stycznia 1982 r. – Karta Nauczyciela oraz musi spełniać warunki określone w art. 10 ust. 5 </w:t>
      </w:r>
      <w:proofErr w:type="spellStart"/>
      <w:r w:rsidRPr="00252F19">
        <w:rPr>
          <w:rFonts w:asciiTheme="minorHAnsi" w:hAnsiTheme="minorHAnsi"/>
          <w:sz w:val="22"/>
          <w:szCs w:val="22"/>
        </w:rPr>
        <w:t>pkt</w:t>
      </w:r>
      <w:proofErr w:type="spellEnd"/>
      <w:r w:rsidRPr="00252F19">
        <w:rPr>
          <w:rFonts w:asciiTheme="minorHAnsi" w:hAnsiTheme="minorHAnsi"/>
          <w:sz w:val="22"/>
          <w:szCs w:val="22"/>
        </w:rPr>
        <w:t xml:space="preserve"> 3 i 4  - Karta Nauczyciela (jest obowiązany przedstawić dyrektorowi szkoły informację z KRK) oraz za każdą godzinę prowadzenia zajęć przysługuje mu wynagrodzenie nie wyższe niż wynagrodzenie za jedną godzinę prowadzenia zajęć ponadwymiarową dla nauczyciela dyplomowanego posiadającego wykształcenie wyższe magisterskie i realizującego tygodniowy obowiązkowy wymiar godzin zajęć, o którym mowa w art. 42 ust. 3 w tabeli w lp. 3 ustawy – Karta Nauczyciela. </w:t>
      </w:r>
    </w:p>
    <w:p w:rsidR="00252F19" w:rsidRDefault="00252F19" w:rsidP="00252F19">
      <w:pPr>
        <w:pStyle w:val="Zwykytekst"/>
        <w:jc w:val="both"/>
        <w:rPr>
          <w:rFonts w:asciiTheme="minorHAnsi" w:hAnsiTheme="minorHAnsi"/>
          <w:sz w:val="22"/>
          <w:szCs w:val="22"/>
        </w:rPr>
      </w:pPr>
    </w:p>
    <w:p w:rsidR="00252F19" w:rsidRPr="00252F19" w:rsidRDefault="00252F19" w:rsidP="00252F19">
      <w:pPr>
        <w:pStyle w:val="Zwykytekst"/>
        <w:jc w:val="both"/>
        <w:rPr>
          <w:rFonts w:asciiTheme="minorHAnsi" w:hAnsiTheme="minorHAnsi"/>
          <w:sz w:val="22"/>
          <w:szCs w:val="22"/>
        </w:rPr>
      </w:pPr>
      <w:r w:rsidRPr="00252F19">
        <w:rPr>
          <w:rFonts w:asciiTheme="minorHAnsi" w:hAnsiTheme="minorHAnsi"/>
          <w:sz w:val="22"/>
          <w:szCs w:val="22"/>
        </w:rPr>
        <w:t>Ustawa o systemie oświaty i Karta Nauczyciela regulują również kwestię zatrudniania innych pracowników niż nauczyciele.</w:t>
      </w:r>
    </w:p>
    <w:p w:rsidR="00252F19" w:rsidRDefault="00252F19" w:rsidP="00252F19">
      <w:pPr>
        <w:pStyle w:val="Zwykytekst"/>
        <w:jc w:val="both"/>
        <w:rPr>
          <w:rFonts w:asciiTheme="minorHAnsi" w:hAnsiTheme="minorHAnsi"/>
          <w:sz w:val="22"/>
          <w:szCs w:val="22"/>
        </w:rPr>
      </w:pPr>
    </w:p>
    <w:p w:rsidR="00252F19" w:rsidRPr="00252F19" w:rsidRDefault="00252F19" w:rsidP="00252F19">
      <w:pPr>
        <w:pStyle w:val="Zwykytekst"/>
        <w:jc w:val="both"/>
        <w:rPr>
          <w:rFonts w:asciiTheme="minorHAnsi" w:hAnsiTheme="minorHAnsi"/>
          <w:sz w:val="22"/>
          <w:szCs w:val="22"/>
        </w:rPr>
      </w:pPr>
      <w:r w:rsidRPr="00252F19">
        <w:rPr>
          <w:rFonts w:asciiTheme="minorHAnsi" w:hAnsiTheme="minorHAnsi"/>
          <w:sz w:val="22"/>
          <w:szCs w:val="22"/>
        </w:rPr>
        <w:t>Zarówno w pierwszym, jak i drugim przypadku, pracodawcą dla zatrudnionych i zatrudnianych nauczycieli jest szkoła, a decyzję w tym zakresie podejmuje kierownik danego zakładu pracy czyli dyrektor.</w:t>
      </w:r>
    </w:p>
    <w:p w:rsidR="00252F19" w:rsidRDefault="00252F19" w:rsidP="00252F19">
      <w:pPr>
        <w:pStyle w:val="Zwykytekst"/>
        <w:jc w:val="both"/>
        <w:rPr>
          <w:rFonts w:asciiTheme="minorHAnsi" w:hAnsiTheme="minorHAnsi"/>
          <w:sz w:val="22"/>
          <w:szCs w:val="22"/>
        </w:rPr>
      </w:pPr>
    </w:p>
    <w:p w:rsidR="00252F19" w:rsidRPr="00252F19" w:rsidRDefault="00252F19" w:rsidP="00252F19">
      <w:pPr>
        <w:pStyle w:val="Zwykytekst"/>
        <w:jc w:val="both"/>
        <w:rPr>
          <w:rFonts w:asciiTheme="minorHAnsi" w:hAnsiTheme="minorHAnsi"/>
          <w:sz w:val="22"/>
          <w:szCs w:val="22"/>
        </w:rPr>
      </w:pPr>
      <w:r w:rsidRPr="00252F19">
        <w:rPr>
          <w:rFonts w:asciiTheme="minorHAnsi" w:hAnsiTheme="minorHAnsi"/>
          <w:sz w:val="22"/>
          <w:szCs w:val="22"/>
        </w:rPr>
        <w:t xml:space="preserve">Tym niemniej IOK informuje również, że w projektach dopuszcza się możliwość udzielania zamówień np. zakupu usług edukacyjnych, polegających na np. organizacji i przeprowadzeniu określonych zajęć dodatkowych. Wówczas Wnioskodawca/Beneficjent, którym jest gmina jest zobowiązany do wyłonienia wykonawcy w sposób zapewniający przejrzystość oraz zachowanie uczciwej konkurencji i równego traktowania wykonawców (tj. w przypadku jednostek sektora finansów publicznych – zgodnie z PZP). </w:t>
      </w:r>
    </w:p>
    <w:p w:rsidR="001D51ED" w:rsidRPr="001D51ED" w:rsidRDefault="001D51ED" w:rsidP="001D51ED">
      <w:pPr>
        <w:rPr>
          <w:rFonts w:asciiTheme="minorHAnsi" w:hAnsiTheme="minorHAnsi"/>
        </w:rPr>
      </w:pPr>
    </w:p>
    <w:p w:rsidR="001D51ED" w:rsidRPr="001D51ED" w:rsidRDefault="001D51ED" w:rsidP="001D51ED">
      <w:pPr>
        <w:rPr>
          <w:rFonts w:asciiTheme="minorHAnsi" w:hAnsiTheme="minorHAnsi"/>
        </w:rPr>
      </w:pPr>
    </w:p>
    <w:p w:rsidR="001D51ED" w:rsidRPr="00252F19" w:rsidRDefault="00252F19" w:rsidP="00252F19">
      <w:pPr>
        <w:pStyle w:val="Akapitzlist"/>
        <w:numPr>
          <w:ilvl w:val="0"/>
          <w:numId w:val="3"/>
        </w:numPr>
        <w:jc w:val="both"/>
        <w:rPr>
          <w:rFonts w:asciiTheme="minorHAnsi" w:hAnsiTheme="minorHAnsi"/>
          <w:b/>
          <w:bCs/>
        </w:rPr>
      </w:pPr>
      <w:r>
        <w:rPr>
          <w:rFonts w:asciiTheme="minorHAnsi" w:hAnsiTheme="minorHAnsi"/>
          <w:b/>
          <w:bCs/>
        </w:rPr>
        <w:t>Czy w przypadku jednego</w:t>
      </w:r>
      <w:r w:rsidR="001D51ED" w:rsidRPr="00252F19">
        <w:rPr>
          <w:rFonts w:asciiTheme="minorHAnsi" w:hAnsiTheme="minorHAnsi"/>
          <w:b/>
          <w:bCs/>
        </w:rPr>
        <w:t xml:space="preserve"> projektu, w którym wnioskodawcą jest JST, a wsparcie jest kierowane do więcej niż jednej szkoły, limit 140 tys. zł wydatków na zakup pomocy dydaktycznych jest liczony w odniesieniu do projektu (140 tys. na projekt), czy w odniesieniu do szkoły (3 szkoły x 140 tys. = 420 tys. w całym projekcie)?</w:t>
      </w:r>
    </w:p>
    <w:p w:rsidR="001D51ED" w:rsidRPr="001D51ED" w:rsidRDefault="001D51ED" w:rsidP="001D51ED">
      <w:pPr>
        <w:rPr>
          <w:rFonts w:asciiTheme="minorHAnsi" w:hAnsiTheme="minorHAnsi"/>
        </w:rPr>
      </w:pPr>
    </w:p>
    <w:p w:rsidR="001D51ED" w:rsidRPr="001D51ED" w:rsidRDefault="001D51ED" w:rsidP="001D51ED">
      <w:pPr>
        <w:rPr>
          <w:rFonts w:asciiTheme="minorHAnsi" w:hAnsiTheme="minorHAnsi"/>
        </w:rPr>
      </w:pPr>
      <w:r w:rsidRPr="001D51ED">
        <w:rPr>
          <w:rFonts w:asciiTheme="minorHAnsi" w:hAnsiTheme="minorHAnsi"/>
        </w:rPr>
        <w:t>Limity dotyczą poszczególnych szkół, więc jeśli projekt obejmuje 3 szkoły to każda szkoła może zaplanować wydatki do wysokości 140 tys. zł czyli 3 x 140 tys. zł = 420 tys. zł w całym projekcie.</w:t>
      </w:r>
    </w:p>
    <w:p w:rsidR="001D51ED" w:rsidRPr="001D51ED" w:rsidRDefault="001D51ED" w:rsidP="001D51ED">
      <w:pPr>
        <w:rPr>
          <w:rFonts w:asciiTheme="minorHAnsi" w:hAnsiTheme="minorHAnsi"/>
        </w:rPr>
      </w:pPr>
    </w:p>
    <w:p w:rsidR="001D51ED" w:rsidRPr="001D51ED" w:rsidRDefault="001D51ED" w:rsidP="001D51ED">
      <w:pPr>
        <w:rPr>
          <w:rFonts w:asciiTheme="minorHAnsi" w:hAnsiTheme="minorHAnsi"/>
        </w:rPr>
      </w:pPr>
    </w:p>
    <w:p w:rsidR="001D51ED" w:rsidRPr="00252F19" w:rsidRDefault="00252F19" w:rsidP="00252F19">
      <w:pPr>
        <w:pStyle w:val="Akapitzlist"/>
        <w:numPr>
          <w:ilvl w:val="0"/>
          <w:numId w:val="3"/>
        </w:numPr>
        <w:jc w:val="both"/>
        <w:rPr>
          <w:rFonts w:asciiTheme="minorHAnsi" w:hAnsiTheme="minorHAnsi"/>
          <w:b/>
          <w:bCs/>
        </w:rPr>
      </w:pPr>
      <w:r w:rsidRPr="00252F19">
        <w:rPr>
          <w:rFonts w:asciiTheme="minorHAnsi" w:hAnsiTheme="minorHAnsi"/>
          <w:b/>
          <w:bCs/>
        </w:rPr>
        <w:t>Czy</w:t>
      </w:r>
      <w:r w:rsidR="001D51ED" w:rsidRPr="00252F19">
        <w:rPr>
          <w:rFonts w:asciiTheme="minorHAnsi" w:hAnsiTheme="minorHAnsi"/>
          <w:b/>
          <w:bCs/>
        </w:rPr>
        <w:t xml:space="preserve"> stworzenie kółka obywatelskiego w ramach zajęć którego młodzież nabywać będzie kompetencje społeczne niezbędne na rynku pracy ( komunikatywność, autoprezentacja, zarządzanie czasem, praca zespołowa, odpowiedzialność społeczna, oraz poznawać sposoby aktywnego uczestnictwa obywatelskiego w społeczeństwie lokalnym mieścić się będzie  w zakresie typu zadania 10.2.A.</w:t>
      </w:r>
      <w:r w:rsidRPr="00252F19">
        <w:rPr>
          <w:rFonts w:asciiTheme="minorHAnsi" w:hAnsiTheme="minorHAnsi"/>
          <w:b/>
          <w:bCs/>
        </w:rPr>
        <w:t xml:space="preserve">? </w:t>
      </w:r>
      <w:r w:rsidR="001D51ED" w:rsidRPr="00252F19">
        <w:rPr>
          <w:rFonts w:asciiTheme="minorHAnsi" w:hAnsiTheme="minorHAnsi"/>
          <w:b/>
          <w:bCs/>
        </w:rPr>
        <w:t xml:space="preserve">Zajęcia Kółka obywatelskiego obejmują wiedzę interdyscyplinarną, wykorzystane będą w  nich elementy np. przyrodnicze: zrównoważony rozwój, predyspozycje psychofizyczne do zajmowania miejsca w grupie projektowej,  matematyczne_ statystyka, budżet, informacyjne- poszukiwanie informacji, przetwarzanie </w:t>
      </w:r>
      <w:r w:rsidR="001D51ED" w:rsidRPr="00252F19">
        <w:rPr>
          <w:rFonts w:asciiTheme="minorHAnsi" w:hAnsiTheme="minorHAnsi"/>
          <w:b/>
          <w:bCs/>
        </w:rPr>
        <w:lastRenderedPageBreak/>
        <w:t xml:space="preserve">danych, psychologiczno-pedagogicznych- sposoby reagowania na </w:t>
      </w:r>
      <w:proofErr w:type="spellStart"/>
      <w:r w:rsidR="001D51ED" w:rsidRPr="00252F19">
        <w:rPr>
          <w:rFonts w:asciiTheme="minorHAnsi" w:hAnsiTheme="minorHAnsi"/>
          <w:b/>
          <w:bCs/>
        </w:rPr>
        <w:t>stress</w:t>
      </w:r>
      <w:proofErr w:type="spellEnd"/>
      <w:r w:rsidR="001D51ED" w:rsidRPr="00252F19">
        <w:rPr>
          <w:rFonts w:asciiTheme="minorHAnsi" w:hAnsiTheme="minorHAnsi"/>
          <w:b/>
          <w:bCs/>
        </w:rPr>
        <w:t>, wykorzystywanie własnego potencjału, społeczne: zasady równości płci i niedyskryminacji, partycypacja społeczna.... , kreatywność- wpływ na najbliższą przestrzeń - pomysły, odkrywanie możliwości nowatorskiego wykorzystywania istniejących zasobów..</w:t>
      </w:r>
    </w:p>
    <w:p w:rsidR="00252F19" w:rsidRPr="00252F19" w:rsidRDefault="00252F19" w:rsidP="00252F19">
      <w:pPr>
        <w:pStyle w:val="Akapitzlist"/>
        <w:jc w:val="both"/>
        <w:rPr>
          <w:rFonts w:asciiTheme="minorHAnsi" w:hAnsiTheme="minorHAnsi"/>
          <w:b/>
          <w:bCs/>
        </w:rPr>
      </w:pPr>
    </w:p>
    <w:p w:rsidR="00252F19" w:rsidRDefault="00252F19" w:rsidP="00252F19">
      <w:pPr>
        <w:jc w:val="both"/>
        <w:rPr>
          <w:rFonts w:asciiTheme="minorHAnsi" w:hAnsiTheme="minorHAnsi"/>
        </w:rPr>
      </w:pPr>
      <w:r w:rsidRPr="001D51ED">
        <w:rPr>
          <w:rFonts w:asciiTheme="minorHAnsi" w:hAnsiTheme="minorHAnsi"/>
        </w:rPr>
        <w:t>Zajęcia o takich celach edukacyjnych, jak zostały opisane w pytaniu, wpisują się w typ projektu 10.2.A. W Diagnozie potrzeb edukacyjnych należy przeanalizować problemy/deficyty/braki uczniów w zakresie kompetencji społecznych i być może innych (skoro kółko ma być interdyscyplinarne), które za pomocą tych zajęć będą minimalizowane/zaspokajane/uzupełniane. We wniosku o dofinansowanie powinny być zawarte takie wnioski z Diagnozy potrzeb edukacyjnych, na podstawie, których Oceniający projekt będą w stanie ocenić wpisywanie się tego typu zajęć do form wsparcia 10.2.A. Szczególnie cennym w przypadku tych zajęć będzie zwrócenie uwagi we wniosku o dofinansowanie, że zajęcia będą podnosić kompetencje społeczne uczniów w zakresie również zasady równości szans kobiet i mężczyzn, zasady równości szans i niedyskryminacji, co może zostać ocenione jako spełnianie zasady horyzontalnej ocenianej na podstawie standardu minimum.</w:t>
      </w:r>
    </w:p>
    <w:p w:rsidR="00252F19" w:rsidRDefault="00252F19" w:rsidP="00252F19">
      <w:pPr>
        <w:jc w:val="both"/>
        <w:rPr>
          <w:rFonts w:asciiTheme="minorHAnsi" w:hAnsiTheme="minorHAnsi"/>
        </w:rPr>
      </w:pPr>
    </w:p>
    <w:p w:rsidR="00252F19" w:rsidRDefault="00252F19" w:rsidP="00252F19">
      <w:pPr>
        <w:jc w:val="both"/>
        <w:rPr>
          <w:rFonts w:asciiTheme="minorHAnsi" w:hAnsiTheme="minorHAnsi"/>
        </w:rPr>
      </w:pPr>
    </w:p>
    <w:p w:rsidR="001D51ED" w:rsidRPr="00252F19" w:rsidRDefault="00F053B6" w:rsidP="00252F19">
      <w:pPr>
        <w:pStyle w:val="Akapitzlist"/>
        <w:numPr>
          <w:ilvl w:val="0"/>
          <w:numId w:val="3"/>
        </w:numPr>
        <w:jc w:val="both"/>
        <w:rPr>
          <w:rFonts w:asciiTheme="minorHAnsi" w:hAnsiTheme="minorHAnsi"/>
          <w:b/>
        </w:rPr>
      </w:pPr>
      <w:r>
        <w:rPr>
          <w:rFonts w:asciiTheme="minorHAnsi" w:hAnsiTheme="minorHAnsi"/>
          <w:b/>
        </w:rPr>
        <w:t>Czy zajęcia "Jak s</w:t>
      </w:r>
      <w:r w:rsidR="00252F19" w:rsidRPr="00252F19">
        <w:rPr>
          <w:rFonts w:asciiTheme="minorHAnsi" w:hAnsiTheme="minorHAnsi"/>
          <w:b/>
        </w:rPr>
        <w:t>ię uczyć" </w:t>
      </w:r>
      <w:r w:rsidR="001D51ED" w:rsidRPr="00252F19">
        <w:rPr>
          <w:rFonts w:asciiTheme="minorHAnsi" w:hAnsiTheme="minorHAnsi"/>
          <w:b/>
        </w:rPr>
        <w:t>dla dzieci z klas I-III mogą stanowić element projektu w ramach zajęć wyrównawczych - nie zorientowanych przedmiotowo! - ułatwiających wdrażanie  dzieci w  system nauki szkolnej zwłaszcza przechodzących z systemu przedszkolnego do szkolnego i z niższego systemu nauki zintegrowanej do syste</w:t>
      </w:r>
      <w:r w:rsidR="00252F19" w:rsidRPr="00252F19">
        <w:rPr>
          <w:rFonts w:asciiTheme="minorHAnsi" w:hAnsiTheme="minorHAnsi"/>
          <w:b/>
        </w:rPr>
        <w:t xml:space="preserve">mu przedmiotowego klas wyższych </w:t>
      </w:r>
      <w:r w:rsidR="001D51ED" w:rsidRPr="00252F19">
        <w:rPr>
          <w:rFonts w:asciiTheme="minorHAnsi" w:hAnsiTheme="minorHAnsi"/>
          <w:b/>
        </w:rPr>
        <w:t>jako zadanie 10.2.d ?</w:t>
      </w:r>
    </w:p>
    <w:p w:rsidR="001D51ED" w:rsidRPr="001D51ED" w:rsidRDefault="001D51ED" w:rsidP="001D51ED">
      <w:pPr>
        <w:rPr>
          <w:rFonts w:asciiTheme="minorHAnsi" w:hAnsiTheme="minorHAnsi"/>
        </w:rPr>
      </w:pPr>
    </w:p>
    <w:p w:rsidR="001D51ED" w:rsidRPr="001D51ED" w:rsidRDefault="001D51ED" w:rsidP="00252F19">
      <w:pPr>
        <w:jc w:val="both"/>
        <w:rPr>
          <w:rFonts w:asciiTheme="minorHAnsi" w:hAnsiTheme="minorHAnsi"/>
        </w:rPr>
      </w:pPr>
      <w:r w:rsidRPr="001D51ED">
        <w:rPr>
          <w:rFonts w:asciiTheme="minorHAnsi" w:hAnsiTheme="minorHAnsi"/>
        </w:rPr>
        <w:t xml:space="preserve">Wsparcie w ramach 10.2.D powinno być ukierunkowane na wprowadzanie indywidualizacji nauczania </w:t>
      </w:r>
      <w:r w:rsidRPr="001D51ED">
        <w:rPr>
          <w:rFonts w:asciiTheme="minorHAnsi" w:hAnsiTheme="minorHAnsi"/>
          <w:u w:val="single"/>
        </w:rPr>
        <w:t>z dziećmi ze specjalnymi potrzebami edukacyjnymi i rozwojowymi</w:t>
      </w:r>
      <w:r w:rsidRPr="001D51ED">
        <w:rPr>
          <w:rFonts w:asciiTheme="minorHAnsi" w:hAnsiTheme="minorHAnsi"/>
        </w:rPr>
        <w:t xml:space="preserve">, w tym </w:t>
      </w:r>
      <w:r w:rsidRPr="001D51ED">
        <w:rPr>
          <w:rFonts w:asciiTheme="minorHAnsi" w:hAnsiTheme="minorHAnsi"/>
          <w:u w:val="single"/>
        </w:rPr>
        <w:t xml:space="preserve">z uczniem młodszym (uczeń klasy I </w:t>
      </w:r>
      <w:proofErr w:type="spellStart"/>
      <w:r w:rsidRPr="001D51ED">
        <w:rPr>
          <w:rFonts w:asciiTheme="minorHAnsi" w:hAnsiTheme="minorHAnsi"/>
          <w:u w:val="single"/>
        </w:rPr>
        <w:t>i</w:t>
      </w:r>
      <w:proofErr w:type="spellEnd"/>
      <w:r w:rsidRPr="001D51ED">
        <w:rPr>
          <w:rFonts w:asciiTheme="minorHAnsi" w:hAnsiTheme="minorHAnsi"/>
          <w:u w:val="single"/>
        </w:rPr>
        <w:t xml:space="preserve"> IV szkoły podstawowej). </w:t>
      </w:r>
      <w:r w:rsidRPr="001D51ED">
        <w:rPr>
          <w:rFonts w:asciiTheme="minorHAnsi" w:hAnsiTheme="minorHAnsi"/>
        </w:rPr>
        <w:t>Jeśli celem zajęć „Jak się uczyć” jest indywidualizacja nauczania a wsparcie będzie skierowane do w/w grupy uczniów, mogą to być zajęcia dydaktyczno-wyrównawcze w ramach typu 10.2.D.</w:t>
      </w:r>
    </w:p>
    <w:p w:rsidR="001D51ED" w:rsidRPr="001D51ED" w:rsidRDefault="001D51ED" w:rsidP="00252F19">
      <w:pPr>
        <w:jc w:val="both"/>
        <w:rPr>
          <w:rFonts w:asciiTheme="minorHAnsi" w:hAnsiTheme="minorHAnsi"/>
        </w:rPr>
      </w:pPr>
      <w:r w:rsidRPr="001D51ED">
        <w:rPr>
          <w:rFonts w:asciiTheme="minorHAnsi" w:hAnsiTheme="minorHAnsi"/>
        </w:rPr>
        <w:t xml:space="preserve">W związku z tym, że zajęcia „Jak się uczyć” mogą również kształtować kompetencję kluczową jaką jest umiejętność uczenia się, mogą być również realizowane jako </w:t>
      </w:r>
      <w:r w:rsidRPr="00252F19">
        <w:rPr>
          <w:rFonts w:asciiTheme="minorHAnsi" w:hAnsiTheme="minorHAnsi"/>
          <w:bCs/>
          <w:u w:val="single"/>
        </w:rPr>
        <w:t>dodatkowe</w:t>
      </w:r>
      <w:r w:rsidRPr="00252F19">
        <w:rPr>
          <w:rFonts w:asciiTheme="minorHAnsi" w:hAnsiTheme="minorHAnsi"/>
          <w:u w:val="single"/>
        </w:rPr>
        <w:t xml:space="preserve"> </w:t>
      </w:r>
      <w:r w:rsidRPr="00252F19">
        <w:rPr>
          <w:rFonts w:asciiTheme="minorHAnsi" w:hAnsiTheme="minorHAnsi"/>
          <w:bCs/>
          <w:u w:val="single"/>
        </w:rPr>
        <w:t>zajęcia dydaktyczno-wyrównawcze</w:t>
      </w:r>
      <w:r w:rsidRPr="001D51ED">
        <w:rPr>
          <w:rFonts w:asciiTheme="minorHAnsi" w:hAnsiTheme="minorHAnsi"/>
          <w:b/>
          <w:bCs/>
        </w:rPr>
        <w:t xml:space="preserve"> </w:t>
      </w:r>
      <w:r w:rsidRPr="001D51ED">
        <w:rPr>
          <w:rFonts w:asciiTheme="minorHAnsi" w:hAnsiTheme="minorHAnsi"/>
        </w:rPr>
        <w:t>dla uczniów klas I-III mających trudności w spełnianiu wymagań edukacyjnych, wynikających z podstawy programowej w ramach typu 10.2.A</w:t>
      </w:r>
    </w:p>
    <w:p w:rsidR="001D51ED" w:rsidRPr="001D51ED" w:rsidRDefault="001D51ED" w:rsidP="00252F19">
      <w:pPr>
        <w:jc w:val="both"/>
        <w:rPr>
          <w:rFonts w:asciiTheme="minorHAnsi" w:hAnsiTheme="minorHAnsi"/>
        </w:rPr>
      </w:pPr>
      <w:r w:rsidRPr="001D51ED">
        <w:rPr>
          <w:rFonts w:asciiTheme="minorHAnsi" w:hAnsiTheme="minorHAnsi"/>
        </w:rPr>
        <w:t>Jeśli zajęcia „Jak się uczyć” powinny być skierowane do wszystkich uczniów klas I-III w celu kształtowania kompetencji kluczowej (bo tak wynika z diagnozy) to można je zaplanować dla wszystkich uczniów klas I-III w formie: projektu edukacyjnego, kółka, warsztatów, laboratorium lub zajęć pozalekcyjnych a nawet pozaszkolnych.</w:t>
      </w:r>
    </w:p>
    <w:p w:rsidR="001D51ED" w:rsidRPr="001D51ED" w:rsidRDefault="001D51ED" w:rsidP="00252F19">
      <w:pPr>
        <w:jc w:val="both"/>
        <w:rPr>
          <w:rFonts w:asciiTheme="minorHAnsi" w:hAnsiTheme="minorHAnsi"/>
        </w:rPr>
      </w:pPr>
      <w:r w:rsidRPr="001D51ED">
        <w:rPr>
          <w:rFonts w:asciiTheme="minorHAnsi" w:hAnsiTheme="minorHAnsi"/>
        </w:rPr>
        <w:t>Decyzja co do celu i formy zajęć, a tym samym co do wpisywania się w któryś z typów projektów, powinna wynikać z przeprowadzonej diagnozy potrzeb, w szczególności z analizy potrzeb poszczególnych grup uczniów (czy wszyscy uczniowie? czy uczniowie ze specjalnymi potrzebami edukacyjnymi, czy uczniowie młodsi czy uczniowie mający trudności w spełnianiu wymagań edukacyjnych?).</w:t>
      </w:r>
    </w:p>
    <w:p w:rsidR="001D51ED" w:rsidRPr="001D51ED" w:rsidRDefault="001D51ED" w:rsidP="001D51ED">
      <w:pPr>
        <w:rPr>
          <w:rFonts w:asciiTheme="minorHAnsi" w:hAnsiTheme="minorHAnsi"/>
        </w:rPr>
      </w:pPr>
    </w:p>
    <w:p w:rsidR="001D51ED" w:rsidRPr="001D51ED" w:rsidRDefault="001D51ED" w:rsidP="001D51ED">
      <w:pPr>
        <w:rPr>
          <w:rFonts w:asciiTheme="minorHAnsi" w:hAnsiTheme="minorHAnsi"/>
        </w:rPr>
      </w:pPr>
    </w:p>
    <w:p w:rsidR="001D51ED" w:rsidRPr="00252F19" w:rsidRDefault="001D51ED" w:rsidP="00252F19">
      <w:pPr>
        <w:pStyle w:val="Akapitzlist"/>
        <w:numPr>
          <w:ilvl w:val="0"/>
          <w:numId w:val="3"/>
        </w:numPr>
        <w:rPr>
          <w:rFonts w:asciiTheme="minorHAnsi" w:hAnsiTheme="minorHAnsi"/>
          <w:b/>
        </w:rPr>
      </w:pPr>
      <w:r w:rsidRPr="00252F19">
        <w:rPr>
          <w:rFonts w:asciiTheme="minorHAnsi" w:hAnsiTheme="minorHAnsi"/>
          <w:b/>
        </w:rPr>
        <w:t xml:space="preserve">Czy uczeń/dziecko biorące udział w projekcie może wziąć udział w kilku zajęciach w ramach projektu? </w:t>
      </w:r>
    </w:p>
    <w:p w:rsidR="00252F19" w:rsidRDefault="00252F19" w:rsidP="00252F19">
      <w:pPr>
        <w:rPr>
          <w:rFonts w:asciiTheme="minorHAnsi" w:hAnsiTheme="minorHAnsi"/>
        </w:rPr>
      </w:pPr>
    </w:p>
    <w:p w:rsidR="00252F19" w:rsidRPr="00252F19" w:rsidRDefault="00252F19" w:rsidP="00252F19">
      <w:pPr>
        <w:rPr>
          <w:rFonts w:asciiTheme="minorHAnsi" w:hAnsiTheme="minorHAnsi"/>
        </w:rPr>
      </w:pPr>
      <w:r w:rsidRPr="00252F19">
        <w:rPr>
          <w:rFonts w:asciiTheme="minorHAnsi" w:hAnsiTheme="minorHAnsi"/>
        </w:rPr>
        <w:t>Tak, uczeń może wziąć udział w kilku formach wsparcia tj. w kilku zajęciach. Tym niemniej jako Uczestnik Projektu jest liczony tylko raz, w momencie przystąpienia do pierwszej formy wsparcia.</w:t>
      </w:r>
    </w:p>
    <w:p w:rsidR="00252F19" w:rsidRDefault="00252F19" w:rsidP="001D51ED">
      <w:pPr>
        <w:rPr>
          <w:rFonts w:asciiTheme="minorHAnsi" w:hAnsiTheme="minorHAnsi"/>
        </w:rPr>
      </w:pPr>
    </w:p>
    <w:p w:rsidR="001F5739" w:rsidRDefault="001F5739" w:rsidP="001F5739">
      <w:pPr>
        <w:tabs>
          <w:tab w:val="left" w:pos="1373"/>
        </w:tabs>
        <w:rPr>
          <w:rFonts w:asciiTheme="minorHAnsi" w:hAnsiTheme="minorHAnsi"/>
        </w:rPr>
      </w:pPr>
      <w:r>
        <w:rPr>
          <w:rFonts w:asciiTheme="minorHAnsi" w:hAnsiTheme="minorHAnsi"/>
        </w:rPr>
        <w:tab/>
      </w:r>
    </w:p>
    <w:p w:rsidR="001F5739" w:rsidRDefault="001F5739">
      <w:pPr>
        <w:spacing w:after="200" w:line="276" w:lineRule="auto"/>
        <w:rPr>
          <w:rFonts w:asciiTheme="minorHAnsi" w:hAnsiTheme="minorHAnsi"/>
        </w:rPr>
      </w:pPr>
      <w:r>
        <w:rPr>
          <w:rFonts w:asciiTheme="minorHAnsi" w:hAnsiTheme="minorHAnsi"/>
        </w:rPr>
        <w:br w:type="page"/>
      </w:r>
    </w:p>
    <w:p w:rsidR="00252F19" w:rsidRDefault="00252F19" w:rsidP="001F5739">
      <w:pPr>
        <w:tabs>
          <w:tab w:val="left" w:pos="1373"/>
        </w:tabs>
        <w:rPr>
          <w:rFonts w:asciiTheme="minorHAnsi" w:hAnsiTheme="minorHAnsi"/>
        </w:rPr>
      </w:pPr>
    </w:p>
    <w:p w:rsidR="001D51ED" w:rsidRPr="00252F19" w:rsidRDefault="001D51ED" w:rsidP="00252F19">
      <w:pPr>
        <w:pStyle w:val="Akapitzlist"/>
        <w:numPr>
          <w:ilvl w:val="0"/>
          <w:numId w:val="3"/>
        </w:numPr>
        <w:rPr>
          <w:rFonts w:asciiTheme="minorHAnsi" w:hAnsiTheme="minorHAnsi"/>
          <w:b/>
        </w:rPr>
      </w:pPr>
      <w:r w:rsidRPr="00252F19">
        <w:rPr>
          <w:rFonts w:asciiTheme="minorHAnsi" w:hAnsiTheme="minorHAnsi"/>
          <w:b/>
        </w:rPr>
        <w:t xml:space="preserve">Czy można założyć osiągnięcie wskaźników na poziomie innych niż 100 %? </w:t>
      </w:r>
    </w:p>
    <w:p w:rsidR="001D51ED" w:rsidRPr="001D51ED" w:rsidRDefault="001D51ED" w:rsidP="001D51ED">
      <w:pPr>
        <w:rPr>
          <w:rFonts w:asciiTheme="minorHAnsi" w:hAnsiTheme="minorHAnsi"/>
        </w:rPr>
      </w:pPr>
    </w:p>
    <w:p w:rsidR="001D51ED" w:rsidRPr="001D51ED" w:rsidRDefault="001D51ED" w:rsidP="00252F19">
      <w:pPr>
        <w:jc w:val="both"/>
        <w:rPr>
          <w:rFonts w:asciiTheme="minorHAnsi" w:hAnsiTheme="minorHAnsi"/>
        </w:rPr>
      </w:pPr>
      <w:r w:rsidRPr="001D51ED">
        <w:rPr>
          <w:rFonts w:asciiTheme="minorHAnsi" w:hAnsiTheme="minorHAnsi"/>
        </w:rPr>
        <w:t>Tak, można zaplanować osiągnięcie wskaźników na poziomie innym niż 100%.</w:t>
      </w:r>
      <w:r w:rsidR="00252F19">
        <w:rPr>
          <w:rFonts w:asciiTheme="minorHAnsi" w:hAnsiTheme="minorHAnsi"/>
        </w:rPr>
        <w:t xml:space="preserve"> Należy wówczas uzasadnić z czego wynika założenie, że mniej niż 100% uczestników osiągnie wskaźnik.</w:t>
      </w:r>
    </w:p>
    <w:p w:rsidR="001D51ED" w:rsidRPr="00252F19" w:rsidRDefault="001D51ED" w:rsidP="00252F19">
      <w:pPr>
        <w:jc w:val="both"/>
        <w:rPr>
          <w:rFonts w:asciiTheme="minorHAnsi" w:hAnsiTheme="minorHAnsi"/>
          <w:b/>
        </w:rPr>
      </w:pPr>
    </w:p>
    <w:p w:rsidR="001D51ED" w:rsidRPr="00252F19" w:rsidRDefault="001D51ED" w:rsidP="00252F19">
      <w:pPr>
        <w:pStyle w:val="NormalnyWeb"/>
        <w:numPr>
          <w:ilvl w:val="0"/>
          <w:numId w:val="3"/>
        </w:numPr>
        <w:jc w:val="both"/>
        <w:rPr>
          <w:rFonts w:asciiTheme="minorHAnsi" w:hAnsiTheme="minorHAnsi"/>
          <w:b/>
          <w:sz w:val="22"/>
          <w:szCs w:val="22"/>
        </w:rPr>
      </w:pPr>
      <w:r w:rsidRPr="00252F19">
        <w:rPr>
          <w:rFonts w:asciiTheme="minorHAnsi" w:hAnsiTheme="minorHAnsi"/>
          <w:b/>
          <w:sz w:val="22"/>
          <w:szCs w:val="22"/>
        </w:rPr>
        <w:t xml:space="preserve">Czy w szkole podstawowej w związku z reformą </w:t>
      </w:r>
      <w:r w:rsidR="00252F19" w:rsidRPr="00252F19">
        <w:rPr>
          <w:rFonts w:asciiTheme="minorHAnsi" w:hAnsiTheme="minorHAnsi"/>
          <w:b/>
          <w:sz w:val="22"/>
          <w:szCs w:val="22"/>
        </w:rPr>
        <w:t>oświaty</w:t>
      </w:r>
      <w:r w:rsidRPr="00252F19">
        <w:rPr>
          <w:rFonts w:asciiTheme="minorHAnsi" w:hAnsiTheme="minorHAnsi"/>
          <w:b/>
          <w:sz w:val="22"/>
          <w:szCs w:val="22"/>
        </w:rPr>
        <w:t xml:space="preserve"> można zaplanować zajęcia dydaktyczno-wyrównawcze i rozwijające uzdolnienia z przedmiotów, które dopiero </w:t>
      </w:r>
      <w:r w:rsidR="0094554A" w:rsidRPr="00252F19">
        <w:rPr>
          <w:rFonts w:asciiTheme="minorHAnsi" w:hAnsiTheme="minorHAnsi"/>
          <w:b/>
          <w:sz w:val="22"/>
          <w:szCs w:val="22"/>
        </w:rPr>
        <w:t>będą</w:t>
      </w:r>
      <w:r w:rsidRPr="00252F19">
        <w:rPr>
          <w:rFonts w:asciiTheme="minorHAnsi" w:hAnsiTheme="minorHAnsi"/>
          <w:b/>
          <w:sz w:val="22"/>
          <w:szCs w:val="22"/>
        </w:rPr>
        <w:t xml:space="preserve"> realizowane w klasie VII i VIII np. biologia, geografia, fizyka, chemia?</w:t>
      </w:r>
    </w:p>
    <w:p w:rsidR="0094554A" w:rsidRDefault="0094554A" w:rsidP="0094554A">
      <w:pPr>
        <w:rPr>
          <w:rFonts w:asciiTheme="minorHAnsi" w:hAnsiTheme="minorHAnsi"/>
        </w:rPr>
      </w:pPr>
    </w:p>
    <w:p w:rsidR="0094554A" w:rsidRPr="0094554A" w:rsidRDefault="0094554A" w:rsidP="0094554A">
      <w:pPr>
        <w:jc w:val="both"/>
        <w:rPr>
          <w:rFonts w:asciiTheme="minorHAnsi" w:hAnsiTheme="minorHAnsi"/>
        </w:rPr>
      </w:pPr>
      <w:r w:rsidRPr="0094554A">
        <w:rPr>
          <w:rFonts w:asciiTheme="minorHAnsi" w:hAnsiTheme="minorHAnsi"/>
        </w:rPr>
        <w:t>Tak, jeżeli Wnioskodawca wykaże w Diagnozie potrzeb edukacyjnych, że takie wsparcie jest niezbędne. W Diagnozie należy wówczas objąć dzieci, które obecnie uczęszczają do VI klasy.</w:t>
      </w:r>
    </w:p>
    <w:p w:rsidR="001D51ED" w:rsidRPr="001D51ED" w:rsidRDefault="001D51ED" w:rsidP="0094554A">
      <w:pPr>
        <w:pStyle w:val="NormalnyWeb"/>
        <w:rPr>
          <w:rFonts w:asciiTheme="minorHAnsi" w:hAnsiTheme="minorHAnsi"/>
          <w:sz w:val="22"/>
          <w:szCs w:val="22"/>
        </w:rPr>
      </w:pPr>
    </w:p>
    <w:p w:rsidR="0094554A" w:rsidRPr="0094554A" w:rsidRDefault="001D51ED" w:rsidP="0094554A">
      <w:pPr>
        <w:pStyle w:val="Akapitzlist"/>
        <w:numPr>
          <w:ilvl w:val="0"/>
          <w:numId w:val="3"/>
        </w:numPr>
        <w:jc w:val="both"/>
        <w:rPr>
          <w:rFonts w:asciiTheme="minorHAnsi" w:hAnsiTheme="minorHAnsi"/>
          <w:b/>
        </w:rPr>
      </w:pPr>
      <w:r w:rsidRPr="0094554A">
        <w:rPr>
          <w:rFonts w:asciiTheme="minorHAnsi" w:hAnsiTheme="minorHAnsi"/>
          <w:b/>
        </w:rPr>
        <w:t>W  związku z przygotowywaniem projektów dla szkół ogólnokształcących - proszę o doprecyzowanie kwestii zatrudnienia wykładowców.</w:t>
      </w:r>
      <w:r w:rsidR="0094554A" w:rsidRPr="0094554A">
        <w:rPr>
          <w:rFonts w:asciiTheme="minorHAnsi" w:hAnsiTheme="minorHAnsi"/>
          <w:b/>
        </w:rPr>
        <w:t xml:space="preserve"> </w:t>
      </w:r>
      <w:r w:rsidRPr="0094554A">
        <w:rPr>
          <w:rFonts w:asciiTheme="minorHAnsi" w:hAnsiTheme="minorHAnsi"/>
          <w:b/>
        </w:rPr>
        <w:t>Czy w ramach projektu zatrudnienie wykładowców może zostać zaplanowane w budżecie po stronie instytucji będącej partnerem organu prowadzącego szkoły?</w:t>
      </w:r>
      <w:r w:rsidR="0094554A" w:rsidRPr="0094554A">
        <w:rPr>
          <w:rFonts w:asciiTheme="minorHAnsi" w:hAnsiTheme="minorHAnsi"/>
          <w:b/>
        </w:rPr>
        <w:t xml:space="preserve"> </w:t>
      </w:r>
      <w:r w:rsidRPr="0094554A">
        <w:rPr>
          <w:rFonts w:asciiTheme="minorHAnsi" w:hAnsiTheme="minorHAnsi"/>
          <w:b/>
        </w:rPr>
        <w:t>Co w przypadku - gdy wynagrodzenie będzie wypłacane przez organ prowadzący szkół - czy organ może przelewać środki w tym zakresie na rachunki szkół - a szkoły</w:t>
      </w:r>
      <w:r w:rsidR="0094554A" w:rsidRPr="0094554A">
        <w:rPr>
          <w:rFonts w:asciiTheme="minorHAnsi" w:hAnsiTheme="minorHAnsi"/>
          <w:b/>
        </w:rPr>
        <w:t xml:space="preserve"> </w:t>
      </w:r>
      <w:r w:rsidRPr="0094554A">
        <w:rPr>
          <w:rFonts w:asciiTheme="minorHAnsi" w:hAnsiTheme="minorHAnsi"/>
          <w:b/>
        </w:rPr>
        <w:t>następnie wypłacać je nauczycielom, czy też raczej środki dla nauczycieli powinny wychodzić bezpośrednio z rachunku projektu wyodrębnionego na potrzeby realizacji projektu?</w:t>
      </w:r>
    </w:p>
    <w:p w:rsidR="0094554A" w:rsidRDefault="0094554A" w:rsidP="0094554A">
      <w:pPr>
        <w:rPr>
          <w:rFonts w:asciiTheme="minorHAnsi" w:hAnsiTheme="minorHAnsi"/>
        </w:rPr>
      </w:pPr>
    </w:p>
    <w:p w:rsidR="0094554A" w:rsidRDefault="0094554A" w:rsidP="0094554A">
      <w:pPr>
        <w:jc w:val="both"/>
        <w:rPr>
          <w:rFonts w:asciiTheme="minorHAnsi" w:hAnsiTheme="minorHAnsi"/>
        </w:rPr>
      </w:pPr>
      <w:r w:rsidRPr="0094554A">
        <w:rPr>
          <w:rFonts w:asciiTheme="minorHAnsi" w:hAnsiTheme="minorHAnsi"/>
        </w:rPr>
        <w:t>Nie ma przeciwwskazań aby Partner był pracodawcą lub zleceniodawcą dla personelu projektu. Wówczas są to pracownicy/zleceniobiorcy Partnera. Osoby te nie mogą jednocześnie być pracownikami Wnioskodawcy ponieważ jest zakaz zatrudniania pracowników Wnioskodawcy przez Partnera i odwrotnie. W przypadku gdy Partner zamierza zaangażować zleceniobiorców do projektu, musi dokonać ich wyboru zgodnie z PZP lub zasadą konkurencyjności. Ponadto Partnerzy nie mogą być podmiotami powiązanymi. Między Partnerami nie może dochodzić do zlecania zakupów towarów lub usług.</w:t>
      </w:r>
    </w:p>
    <w:p w:rsidR="0094554A" w:rsidRPr="001D51ED" w:rsidRDefault="0094554A" w:rsidP="0094554A">
      <w:pPr>
        <w:jc w:val="both"/>
        <w:rPr>
          <w:rFonts w:asciiTheme="minorHAnsi" w:hAnsiTheme="minorHAnsi"/>
        </w:rPr>
      </w:pPr>
      <w:r w:rsidRPr="001D51ED">
        <w:rPr>
          <w:rFonts w:asciiTheme="minorHAnsi" w:hAnsiTheme="minorHAnsi"/>
        </w:rPr>
        <w:t xml:space="preserve">Prawno-rachunkowe sposoby przepływów finansowych pomiędzy organem prowadzącym a szkołą powinny być zgodne z właściwymi regulacjami w tym zakresie dotyczącymi organu prowadzącego i szkoły i uwzględniać status prawno-organizacyjny szkoły (czy jest jednostką organizacyjną </w:t>
      </w:r>
      <w:proofErr w:type="spellStart"/>
      <w:r w:rsidRPr="001D51ED">
        <w:rPr>
          <w:rFonts w:asciiTheme="minorHAnsi" w:hAnsiTheme="minorHAnsi"/>
        </w:rPr>
        <w:t>jst</w:t>
      </w:r>
      <w:proofErr w:type="spellEnd"/>
      <w:r w:rsidRPr="001D51ED">
        <w:rPr>
          <w:rFonts w:asciiTheme="minorHAnsi" w:hAnsiTheme="minorHAnsi"/>
        </w:rPr>
        <w:t xml:space="preserve"> posiadającą osobowość prawną czy nieposiadającą osobowości prawnej). Zgodnie z ustawą o systemie oświaty, co do zasady, w szkołach publicznych, szkoła jest pracodawcą dla zatrudnionych nauczycieli a dyrektor szkoły kierownikiem zakładu pracy podejmującym decyzje w zakresie organizacji pracy szkoły. Wynagrodzenia powinien wypłacać pracodawca. Jest również potencjalna możliwość aby organ prowadzący był pracodawcą.</w:t>
      </w:r>
    </w:p>
    <w:p w:rsidR="0094554A" w:rsidRPr="001D51ED" w:rsidRDefault="0094554A" w:rsidP="0094554A">
      <w:pPr>
        <w:jc w:val="both"/>
        <w:rPr>
          <w:rFonts w:asciiTheme="minorHAnsi" w:hAnsiTheme="minorHAnsi"/>
        </w:rPr>
      </w:pPr>
      <w:r w:rsidRPr="001D51ED">
        <w:rPr>
          <w:rFonts w:asciiTheme="minorHAnsi" w:hAnsiTheme="minorHAnsi"/>
        </w:rPr>
        <w:t>Decyzje w tym zakresie zależą od konkretnych uwarunkowań prawnych i statusów organizacyjno-prawnych pomiędzy organem prowadzącym a szkołą.</w:t>
      </w:r>
    </w:p>
    <w:p w:rsidR="0094554A" w:rsidRPr="0094554A" w:rsidRDefault="0094554A" w:rsidP="0094554A">
      <w:pPr>
        <w:jc w:val="both"/>
        <w:rPr>
          <w:rFonts w:asciiTheme="minorHAnsi" w:hAnsiTheme="minorHAnsi"/>
        </w:rPr>
      </w:pPr>
    </w:p>
    <w:p w:rsidR="0094554A" w:rsidRPr="0094554A" w:rsidRDefault="0094554A" w:rsidP="0094554A">
      <w:pPr>
        <w:jc w:val="both"/>
        <w:rPr>
          <w:rFonts w:asciiTheme="minorHAnsi" w:hAnsiTheme="minorHAnsi"/>
        </w:rPr>
      </w:pPr>
    </w:p>
    <w:p w:rsidR="001D51ED" w:rsidRPr="0094554A" w:rsidRDefault="0094554A" w:rsidP="0094554A">
      <w:pPr>
        <w:pStyle w:val="Akapitzlist"/>
        <w:numPr>
          <w:ilvl w:val="0"/>
          <w:numId w:val="3"/>
        </w:numPr>
        <w:jc w:val="both"/>
        <w:rPr>
          <w:rFonts w:asciiTheme="minorHAnsi" w:hAnsiTheme="minorHAnsi"/>
          <w:b/>
        </w:rPr>
      </w:pPr>
      <w:r w:rsidRPr="0094554A">
        <w:rPr>
          <w:rFonts w:asciiTheme="minorHAnsi" w:hAnsiTheme="minorHAnsi"/>
          <w:b/>
        </w:rPr>
        <w:t>W</w:t>
      </w:r>
      <w:r w:rsidR="001D51ED" w:rsidRPr="0094554A">
        <w:rPr>
          <w:rFonts w:asciiTheme="minorHAnsi" w:hAnsiTheme="minorHAnsi"/>
          <w:b/>
        </w:rPr>
        <w:t xml:space="preserve"> jaki sposób zaplanować zajęcia wyrównawcze i rozwijające, w odniesieniu do warunków dot. 12 miesięcy od dnia złożenia wniosku ( który obejmuje dwa różne "lata szkolne")</w:t>
      </w:r>
    </w:p>
    <w:p w:rsidR="001D51ED" w:rsidRPr="0094554A" w:rsidRDefault="001D51ED" w:rsidP="0094554A">
      <w:pPr>
        <w:pStyle w:val="Akapitzlist"/>
        <w:jc w:val="both"/>
        <w:rPr>
          <w:rFonts w:asciiTheme="minorHAnsi" w:hAnsiTheme="minorHAnsi"/>
          <w:b/>
        </w:rPr>
      </w:pPr>
      <w:proofErr w:type="spellStart"/>
      <w:r w:rsidRPr="0094554A">
        <w:rPr>
          <w:rFonts w:asciiTheme="minorHAnsi" w:hAnsiTheme="minorHAnsi"/>
          <w:b/>
        </w:rPr>
        <w:t>np</w:t>
      </w:r>
      <w:proofErr w:type="spellEnd"/>
      <w:r w:rsidRPr="0094554A">
        <w:rPr>
          <w:rFonts w:asciiTheme="minorHAnsi" w:hAnsiTheme="minorHAnsi"/>
          <w:b/>
        </w:rPr>
        <w:t xml:space="preserve"> z języka angielskiego w roku szkolnym 2015/2016  były realizowane zajęcia wyrównawcze i rozwijające dla klasy VI (finansowane z godzin karcianych zlikwidowanych w 2016 roku), a w roku 2016/2017 nie było już takich zajęć z braku środków i w roku 2017/2018 i dalszych nie były zaplanowane z braku środków i nie byłyby realizowane bez wsparcia finansowego z zewnątrz.  to czy w ramach zadań projektowych można zaplanować zajęcia wyrównawcze i rozwijające j. angielskiego  dla klas IV -VI  i czy też nie można ich zaplanować bo zostaną uznane za  zastępowanie finansowania?</w:t>
      </w:r>
      <w:r w:rsidR="0094554A" w:rsidRPr="0094554A">
        <w:rPr>
          <w:rFonts w:asciiTheme="minorHAnsi" w:hAnsiTheme="minorHAnsi"/>
          <w:b/>
        </w:rPr>
        <w:t xml:space="preserve"> </w:t>
      </w:r>
      <w:r w:rsidRPr="0094554A">
        <w:rPr>
          <w:rFonts w:asciiTheme="minorHAnsi" w:hAnsiTheme="minorHAnsi"/>
          <w:b/>
        </w:rPr>
        <w:t xml:space="preserve">Jeżeli wiadomym jeśli że w roku szkolnym 2017/2018 będzie realizowany w szkole objętej projektem obowiązek szkolny klasy VII, a 2018/2019  klasy VII i VIII to czy można </w:t>
      </w:r>
      <w:r w:rsidRPr="0094554A">
        <w:rPr>
          <w:rFonts w:asciiTheme="minorHAnsi" w:hAnsiTheme="minorHAnsi"/>
          <w:b/>
        </w:rPr>
        <w:lastRenderedPageBreak/>
        <w:t>zaplanować dla tej młodzieży zajęcia tak jak dla klas I-VI i wykazać je we wskaźnikach rezultatu czy też zadania nie mogą być planowane dla klas VII i VIII , i jeśli nie mogą być planowane to co z tymi uczniami? Ponieważ uczniowie klas VI będą kontynuować naukę w tej samej szkole w diagnozie szkoły zostały one ujęte, ale czy prawidłowym będzie ujecie ich i zaplanowanie dla nich działań w projekcie?</w:t>
      </w:r>
    </w:p>
    <w:p w:rsidR="001D51ED" w:rsidRPr="001D51ED" w:rsidRDefault="001D51ED" w:rsidP="001D51ED">
      <w:pPr>
        <w:pStyle w:val="Akapitzlist"/>
        <w:rPr>
          <w:rFonts w:asciiTheme="minorHAnsi" w:hAnsiTheme="minorHAnsi"/>
        </w:rPr>
      </w:pPr>
      <w:r w:rsidRPr="001D51ED">
        <w:rPr>
          <w:rFonts w:asciiTheme="minorHAnsi" w:hAnsiTheme="minorHAnsi"/>
        </w:rPr>
        <w:t> </w:t>
      </w:r>
    </w:p>
    <w:p w:rsidR="001D51ED" w:rsidRPr="001D51ED" w:rsidRDefault="001D51ED" w:rsidP="0094554A">
      <w:pPr>
        <w:jc w:val="both"/>
        <w:rPr>
          <w:rFonts w:asciiTheme="minorHAnsi" w:hAnsiTheme="minorHAnsi"/>
        </w:rPr>
      </w:pPr>
      <w:r w:rsidRPr="001D51ED">
        <w:rPr>
          <w:rFonts w:asciiTheme="minorHAnsi" w:hAnsiTheme="minorHAnsi"/>
        </w:rPr>
        <w:t xml:space="preserve">W projekcie można zaplanować takie zajęcia wyrównawcze i rozwijające, które dotychczas nie były realizowane w szkole w okresie 12 </w:t>
      </w:r>
      <w:r w:rsidR="0094554A" w:rsidRPr="001D51ED">
        <w:rPr>
          <w:rFonts w:asciiTheme="minorHAnsi" w:hAnsiTheme="minorHAnsi"/>
        </w:rPr>
        <w:t>miesięcy</w:t>
      </w:r>
      <w:r w:rsidRPr="001D51ED">
        <w:rPr>
          <w:rFonts w:asciiTheme="minorHAnsi" w:hAnsiTheme="minorHAnsi"/>
        </w:rPr>
        <w:t xml:space="preserve"> kalendarzowych od dnia złożenia wniosku o dofinansowania. Należy przeanalizować 12 miesięcy kalendarzowych poprzedzających </w:t>
      </w:r>
      <w:r w:rsidR="0094554A" w:rsidRPr="001D51ED">
        <w:rPr>
          <w:rFonts w:asciiTheme="minorHAnsi" w:hAnsiTheme="minorHAnsi"/>
        </w:rPr>
        <w:t>złożenie</w:t>
      </w:r>
      <w:r w:rsidRPr="001D51ED">
        <w:rPr>
          <w:rFonts w:asciiTheme="minorHAnsi" w:hAnsiTheme="minorHAnsi"/>
        </w:rPr>
        <w:t xml:space="preserve"> wniosku o dofinansowanie i określić jakie zajęcia </w:t>
      </w:r>
      <w:r w:rsidRPr="001D51ED">
        <w:rPr>
          <w:rFonts w:asciiTheme="minorHAnsi" w:hAnsiTheme="minorHAnsi"/>
          <w:u w:val="single"/>
        </w:rPr>
        <w:t>średniomiesięcznie</w:t>
      </w:r>
      <w:r w:rsidRPr="001D51ED">
        <w:rPr>
          <w:rFonts w:asciiTheme="minorHAnsi" w:hAnsiTheme="minorHAnsi"/>
        </w:rPr>
        <w:t xml:space="preserve"> były realizowane. W ramach projektu można zaplanować zajęcia uzupełniające ofertę szkoły w stosunku do tego co było w niej realizowane w okresie 12 </w:t>
      </w:r>
      <w:r w:rsidR="0094554A" w:rsidRPr="001D51ED">
        <w:rPr>
          <w:rFonts w:asciiTheme="minorHAnsi" w:hAnsiTheme="minorHAnsi"/>
        </w:rPr>
        <w:t>miesięcy</w:t>
      </w:r>
      <w:r w:rsidRPr="001D51ED">
        <w:rPr>
          <w:rFonts w:asciiTheme="minorHAnsi" w:hAnsiTheme="minorHAnsi"/>
        </w:rPr>
        <w:t xml:space="preserve"> poprzedzających złożenie wniosku.</w:t>
      </w:r>
    </w:p>
    <w:p w:rsidR="001D51ED" w:rsidRPr="001D51ED" w:rsidRDefault="001D51ED" w:rsidP="0094554A">
      <w:pPr>
        <w:jc w:val="both"/>
        <w:rPr>
          <w:rFonts w:asciiTheme="minorHAnsi" w:hAnsiTheme="minorHAnsi"/>
        </w:rPr>
      </w:pPr>
    </w:p>
    <w:p w:rsidR="001D51ED" w:rsidRPr="001D51ED" w:rsidRDefault="001D51ED" w:rsidP="0094554A">
      <w:pPr>
        <w:jc w:val="both"/>
        <w:rPr>
          <w:rFonts w:asciiTheme="minorHAnsi" w:hAnsiTheme="minorHAnsi"/>
        </w:rPr>
      </w:pPr>
      <w:r w:rsidRPr="001D51ED">
        <w:rPr>
          <w:rFonts w:asciiTheme="minorHAnsi" w:hAnsiTheme="minorHAnsi"/>
        </w:rPr>
        <w:t xml:space="preserve">Jeżeli wiadomym jest, że w roku szkolnym 2017/2018 będzie realizowany w szkole objętej projektem, obowiązek szkolny klasy VII, a w 2018/2019  klasy VII i VIII, to można zaplanować dla tej młodzieży zajęcia „tak jak dla klas I-VI” i wykazać je we wskaźnikach. Taka potrzeba musi jednak wynikać z diagnozy potrzeb edukacyjnych i </w:t>
      </w:r>
      <w:r w:rsidR="0094554A" w:rsidRPr="001D51ED">
        <w:rPr>
          <w:rFonts w:asciiTheme="minorHAnsi" w:hAnsiTheme="minorHAnsi"/>
        </w:rPr>
        <w:t>uwzględniać</w:t>
      </w:r>
      <w:r w:rsidRPr="001D51ED">
        <w:rPr>
          <w:rFonts w:asciiTheme="minorHAnsi" w:hAnsiTheme="minorHAnsi"/>
        </w:rPr>
        <w:t xml:space="preserve"> perspektywę wynikającą z reformy oświaty. Skoro uczniowie klas VI będą kontynuować naukę w tej samej szkole, w diagnozie potrzeb edukacyjnych szkoły należy objąć te grupę uczniów diagnostyką w celu zbadania ich deficytów/problemów/braków oraz wykazania, że istnieje potrzeba w celu zminimalizowania tych problemów/deficytów/braków poprzez zapewnienie im poszczególnych zajęć/form wsparcia we właściwych obszarach merytorycznych. Należy określić jakie problemy mają dzieci z obecnej klasy VI, które powinny być minimalizowane w klasie VII przy uwzględnieniu nowych </w:t>
      </w:r>
      <w:r w:rsidR="0094554A">
        <w:rPr>
          <w:rFonts w:asciiTheme="minorHAnsi" w:hAnsiTheme="minorHAnsi"/>
        </w:rPr>
        <w:t>ramowych planów nauczania</w:t>
      </w:r>
      <w:r w:rsidRPr="001D51ED">
        <w:rPr>
          <w:rFonts w:asciiTheme="minorHAnsi" w:hAnsiTheme="minorHAnsi"/>
        </w:rPr>
        <w:t xml:space="preserve"> (czy rzeczywiście np. dodatkowe zajęcia pozalekcyjne z biologii będą potrzebne przy znanej już (wskazanej w </w:t>
      </w:r>
      <w:r w:rsidR="0094554A">
        <w:rPr>
          <w:rFonts w:asciiTheme="minorHAnsi" w:hAnsiTheme="minorHAnsi"/>
        </w:rPr>
        <w:t>ramowych planach nauczania) liczbie zajęć obowiązkowych?</w:t>
      </w:r>
      <w:r w:rsidRPr="001D51ED">
        <w:rPr>
          <w:rFonts w:asciiTheme="minorHAnsi" w:hAnsiTheme="minorHAnsi"/>
        </w:rPr>
        <w:t xml:space="preserve"> Taka analiza powinna być zawarta w Diagnozie potrzeb edukacyjnych, a wnioski z niej powinny być zawarte we wniosku o dofinansowanie.</w:t>
      </w:r>
    </w:p>
    <w:p w:rsidR="001D51ED" w:rsidRDefault="001D51ED" w:rsidP="001D51ED">
      <w:pPr>
        <w:rPr>
          <w:rFonts w:asciiTheme="minorHAnsi" w:hAnsiTheme="minorHAnsi"/>
        </w:rPr>
      </w:pPr>
    </w:p>
    <w:p w:rsidR="009737BC" w:rsidRPr="00ED0643" w:rsidRDefault="009737BC" w:rsidP="00ED0643">
      <w:pPr>
        <w:pStyle w:val="Akapitzlist"/>
        <w:numPr>
          <w:ilvl w:val="0"/>
          <w:numId w:val="3"/>
        </w:numPr>
        <w:jc w:val="both"/>
        <w:rPr>
          <w:rFonts w:asciiTheme="minorHAnsi" w:hAnsiTheme="minorHAnsi"/>
          <w:b/>
        </w:rPr>
      </w:pPr>
      <w:r w:rsidRPr="00544E38">
        <w:rPr>
          <w:rFonts w:asciiTheme="minorHAnsi" w:hAnsiTheme="minorHAnsi"/>
          <w:b/>
        </w:rPr>
        <w:t>Kryterium doświadczenia</w:t>
      </w:r>
      <w:r w:rsidR="00ED0643">
        <w:rPr>
          <w:rFonts w:asciiTheme="minorHAnsi" w:hAnsiTheme="minorHAnsi"/>
          <w:b/>
        </w:rPr>
        <w:t xml:space="preserve">. </w:t>
      </w:r>
      <w:r w:rsidRPr="00ED0643">
        <w:rPr>
          <w:rFonts w:asciiTheme="minorHAnsi" w:hAnsiTheme="minorHAnsi"/>
          <w:b/>
        </w:rPr>
        <w:t xml:space="preserve">Czy Wnioskodawca zrealizował w ciągu ostatnich 3 lat </w:t>
      </w:r>
      <w:r w:rsidR="00ED0643">
        <w:rPr>
          <w:rFonts w:asciiTheme="minorHAnsi" w:hAnsiTheme="minorHAnsi"/>
          <w:b/>
        </w:rPr>
        <w:t xml:space="preserve">przed </w:t>
      </w:r>
      <w:r w:rsidRPr="00ED0643">
        <w:rPr>
          <w:rFonts w:asciiTheme="minorHAnsi" w:hAnsiTheme="minorHAnsi"/>
          <w:b/>
        </w:rPr>
        <w:t>złożeniem  wniosku  o  dofinansowanie  na  terenie  województwa dolnośląskiego co najmniej 2 przedsięwzięcia  w   obszarze   i   dla   grupy  docelowej  objętej  interwencją projektową,  w  ramach  których  osiągnął  zakładane  we wniosku o dofinansowanie rezultaty? Czy jeśli Gmina jest wnioskodawcą, a realizuje projekt w swoich szkołach, które formalnie nie mogą być partnerem z uwagi na podległość, to czy możemy w ramach kryterium powołać się na projekty i działania realizowane właśnie w szkołach – jednostkach wykonujących działania w zakresie edukacji. Czy żeby otrzymać dodatkowe punkty w ramach kryterium to wyłącznie Gmina musi wykazać działania w obszarze zbieżnym z ogłoszeniem o konkursie?</w:t>
      </w:r>
    </w:p>
    <w:p w:rsidR="009737BC" w:rsidRDefault="009737BC" w:rsidP="001D51ED">
      <w:pPr>
        <w:rPr>
          <w:rFonts w:asciiTheme="minorHAnsi" w:hAnsiTheme="minorHAnsi"/>
        </w:rPr>
      </w:pPr>
    </w:p>
    <w:p w:rsidR="009737BC" w:rsidRPr="00ED0643" w:rsidRDefault="00ED0643" w:rsidP="00ED0643">
      <w:pPr>
        <w:jc w:val="both"/>
      </w:pPr>
      <w:r>
        <w:t>Jeżeli Wnioskodawcą jest Gmina</w:t>
      </w:r>
      <w:r w:rsidR="009737BC" w:rsidRPr="00ED0643">
        <w:t xml:space="preserve"> to </w:t>
      </w:r>
      <w:r>
        <w:t>G</w:t>
      </w:r>
      <w:r w:rsidR="009737BC" w:rsidRPr="00ED0643">
        <w:t xml:space="preserve">mina powinna się wykazać doświadczeniem. Gmina stanowi jednocześnie organ prowadzący dla podległych jednostek organizacyjnych. Dlatego też doświadczenie podległych jednostek organizacyjnych jest doświadczeniem Gminy. Tym samym można powołać się na przedsięwzięcia zrealizowane przez jednostki organizacyjne </w:t>
      </w:r>
      <w:proofErr w:type="spellStart"/>
      <w:r w:rsidR="009737BC" w:rsidRPr="00ED0643">
        <w:t>jst</w:t>
      </w:r>
      <w:proofErr w:type="spellEnd"/>
      <w:r w:rsidR="009737BC" w:rsidRPr="00ED0643">
        <w:t xml:space="preserve"> czyli szkoły.</w:t>
      </w:r>
    </w:p>
    <w:p w:rsidR="009737BC" w:rsidRDefault="009737BC" w:rsidP="001D51ED">
      <w:pPr>
        <w:rPr>
          <w:rFonts w:asciiTheme="minorHAnsi" w:hAnsiTheme="minorHAnsi"/>
        </w:rPr>
      </w:pPr>
    </w:p>
    <w:p w:rsidR="00731650" w:rsidRPr="00731650" w:rsidRDefault="00731650" w:rsidP="00731650">
      <w:pPr>
        <w:pStyle w:val="Akapitzlist"/>
        <w:numPr>
          <w:ilvl w:val="0"/>
          <w:numId w:val="3"/>
        </w:numPr>
        <w:jc w:val="both"/>
        <w:rPr>
          <w:rFonts w:asciiTheme="minorHAnsi" w:hAnsiTheme="minorHAnsi"/>
          <w:b/>
        </w:rPr>
      </w:pPr>
      <w:r w:rsidRPr="00731650">
        <w:rPr>
          <w:rFonts w:asciiTheme="minorHAnsi" w:hAnsiTheme="minorHAnsi"/>
          <w:b/>
        </w:rPr>
        <w:t xml:space="preserve">Z dniem 1  wrześniu 2016 roku do Szkoły Podstawowej w miejscowości X zostały włączone dwie szkoły tzn. Szkoła w miejscowości Y oraz Szkoła  w miejscowości Z.  Reguluje to uchwała Rady Gminy. W związku z powyższym średnią ze sprawdzianu kwalifikującą do udziału w projekcie 10.2. policzyliśmy jako średnia arytmetyczną z trzech podległych jednostek wg załącznik do nr 5 do regulaminu konkursu. Prosimy o odpowiedź czy zastosowanie powyższej metody jest prawidłowe zważywszy że beneficjentem bezpośrednim w  projekcie będzie jedna szkoła w miejscowości X grupująca dzieci z trzech szkół.   </w:t>
      </w:r>
    </w:p>
    <w:p w:rsidR="00731650" w:rsidRDefault="00731650" w:rsidP="00731650">
      <w:pPr>
        <w:jc w:val="both"/>
      </w:pPr>
      <w:r>
        <w:lastRenderedPageBreak/>
        <w:t xml:space="preserve">Kryterium dostępu nr 3 będzie spełnione jeżeli wykażą Państwo, że szkoła objęta projektem czyli Szkoła Podstawowa w miejscowości X ma średni wynik procentowy ze sprawdzianu szóstoklasisty z 2016 r. (średnia ważona wyliczona zgodnie z instrukcją z Załącznika nr 5) niższy niż średni wynik procentowy dla województwa dolnośląskiego. </w:t>
      </w:r>
    </w:p>
    <w:p w:rsidR="00731650" w:rsidRDefault="00731650" w:rsidP="00731650">
      <w:pPr>
        <w:jc w:val="both"/>
      </w:pPr>
    </w:p>
    <w:p w:rsidR="00731650" w:rsidRDefault="00731650" w:rsidP="00731650">
      <w:pPr>
        <w:pStyle w:val="Akapitzlist"/>
        <w:numPr>
          <w:ilvl w:val="0"/>
          <w:numId w:val="3"/>
        </w:numPr>
        <w:jc w:val="both"/>
        <w:rPr>
          <w:rFonts w:asciiTheme="minorHAnsi" w:hAnsiTheme="minorHAnsi"/>
          <w:b/>
        </w:rPr>
      </w:pPr>
      <w:r>
        <w:rPr>
          <w:rFonts w:asciiTheme="minorHAnsi" w:hAnsiTheme="minorHAnsi"/>
          <w:b/>
        </w:rPr>
        <w:t>C</w:t>
      </w:r>
      <w:r w:rsidRPr="00731650">
        <w:rPr>
          <w:rFonts w:asciiTheme="minorHAnsi" w:hAnsiTheme="minorHAnsi"/>
          <w:b/>
        </w:rPr>
        <w:t>zy istnieje limit na 1 uczestnika proj.?</w:t>
      </w:r>
    </w:p>
    <w:p w:rsidR="00731650" w:rsidRDefault="00731650" w:rsidP="00731650"/>
    <w:p w:rsidR="00731650" w:rsidRDefault="00731650" w:rsidP="00731650">
      <w:r>
        <w:t xml:space="preserve">Nie, ale w ramach oceny weryfikowana będzie relacja nakład-rezultat, czyli koszt ten powinien być racjonalny. </w:t>
      </w:r>
    </w:p>
    <w:p w:rsidR="00731650" w:rsidRPr="00731650" w:rsidRDefault="00731650" w:rsidP="00731650">
      <w:pPr>
        <w:jc w:val="both"/>
        <w:rPr>
          <w:rFonts w:asciiTheme="minorHAnsi" w:hAnsiTheme="minorHAnsi"/>
          <w:b/>
        </w:rPr>
      </w:pPr>
    </w:p>
    <w:p w:rsidR="00731650" w:rsidRPr="00731650" w:rsidRDefault="00731650" w:rsidP="00731650">
      <w:pPr>
        <w:pStyle w:val="Akapitzlist"/>
        <w:numPr>
          <w:ilvl w:val="0"/>
          <w:numId w:val="3"/>
        </w:numPr>
        <w:jc w:val="both"/>
        <w:rPr>
          <w:rFonts w:asciiTheme="minorHAnsi" w:hAnsiTheme="minorHAnsi"/>
          <w:b/>
        </w:rPr>
      </w:pPr>
      <w:r>
        <w:rPr>
          <w:rFonts w:asciiTheme="minorHAnsi" w:hAnsiTheme="minorHAnsi"/>
          <w:b/>
        </w:rPr>
        <w:t>C</w:t>
      </w:r>
      <w:r w:rsidRPr="00731650">
        <w:rPr>
          <w:rFonts w:asciiTheme="minorHAnsi" w:hAnsiTheme="minorHAnsi"/>
          <w:b/>
        </w:rPr>
        <w:t xml:space="preserve">zy jeżeli projekt zakłada zajęcia z rozwijania kompetencji cyfrowych (TK) u dzieci i kurs z RSA </w:t>
      </w:r>
      <w:proofErr w:type="spellStart"/>
      <w:r w:rsidRPr="00731650">
        <w:rPr>
          <w:rFonts w:asciiTheme="minorHAnsi" w:hAnsiTheme="minorHAnsi"/>
          <w:b/>
        </w:rPr>
        <w:t>Biofeedback</w:t>
      </w:r>
      <w:proofErr w:type="spellEnd"/>
      <w:r w:rsidRPr="00731650">
        <w:rPr>
          <w:rFonts w:asciiTheme="minorHAnsi" w:hAnsiTheme="minorHAnsi"/>
          <w:b/>
        </w:rPr>
        <w:t xml:space="preserve"> (w tym nauki oprogramowania) to należy uwzględnić wskaźnik z list WLWK  - liczba osób objętych szkoleniem w zakresie kompetencji cyfrowych.  Jeżeli tak to wlicza się w niego dzieci czy tylko nauczyciela?</w:t>
      </w:r>
    </w:p>
    <w:p w:rsidR="00731650" w:rsidRDefault="00731650" w:rsidP="00731650">
      <w:pPr>
        <w:pStyle w:val="Default"/>
        <w:rPr>
          <w:color w:val="auto"/>
          <w:sz w:val="22"/>
          <w:szCs w:val="22"/>
        </w:rPr>
      </w:pPr>
    </w:p>
    <w:p w:rsidR="00731650" w:rsidRDefault="00731650" w:rsidP="00731650">
      <w:pPr>
        <w:jc w:val="both"/>
      </w:pPr>
      <w:r>
        <w:t>Do wspomnianego wskaźnika horyzontalnego z listy WLWK należy wliczać „osoby objęte szkoleniami/doradztwem w zakresie nabywania/doskonalenia umiejętności warunkujących efektywne korzystanie z mediów elektronicznych” tj. zarówno uczniów, jeżeli planowani są do objęcia wsparciem, jak i nauczycieli, jeżeli również będą objęci przeszkoleniem z zakresu TIK.</w:t>
      </w:r>
    </w:p>
    <w:p w:rsidR="00731650" w:rsidRDefault="00731650" w:rsidP="00731650">
      <w:pPr>
        <w:jc w:val="both"/>
      </w:pPr>
    </w:p>
    <w:p w:rsidR="00731650" w:rsidRDefault="00731650" w:rsidP="00731650">
      <w:pPr>
        <w:pStyle w:val="Akapitzlist"/>
        <w:numPr>
          <w:ilvl w:val="0"/>
          <w:numId w:val="3"/>
        </w:numPr>
        <w:jc w:val="both"/>
        <w:rPr>
          <w:rFonts w:asciiTheme="minorHAnsi" w:hAnsiTheme="minorHAnsi"/>
          <w:b/>
        </w:rPr>
      </w:pPr>
      <w:r w:rsidRPr="00731650">
        <w:rPr>
          <w:rFonts w:asciiTheme="minorHAnsi" w:hAnsiTheme="minorHAnsi"/>
          <w:b/>
        </w:rPr>
        <w:t>Czy jest, a jeżeli tak to jaka, określona minimalna liczba/ilość uczniów w grupie na dodatkowych zajęciach edukacyjnych</w:t>
      </w:r>
      <w:r>
        <w:rPr>
          <w:rFonts w:asciiTheme="minorHAnsi" w:hAnsiTheme="minorHAnsi"/>
          <w:b/>
        </w:rPr>
        <w:t xml:space="preserve"> w 10.2.A</w:t>
      </w:r>
      <w:r w:rsidRPr="00731650">
        <w:rPr>
          <w:rFonts w:asciiTheme="minorHAnsi" w:hAnsiTheme="minorHAnsi"/>
          <w:b/>
        </w:rPr>
        <w:t>?</w:t>
      </w:r>
    </w:p>
    <w:p w:rsidR="00731650" w:rsidRDefault="00731650" w:rsidP="00731650">
      <w:pPr>
        <w:pStyle w:val="Default"/>
        <w:rPr>
          <w:color w:val="auto"/>
          <w:sz w:val="22"/>
          <w:szCs w:val="22"/>
        </w:rPr>
      </w:pPr>
    </w:p>
    <w:p w:rsidR="00731650" w:rsidRDefault="00731650" w:rsidP="00731650">
      <w:pPr>
        <w:jc w:val="both"/>
      </w:pPr>
      <w:r>
        <w:t>IOK nie określiła minimalnej ani maksymalnej liczby uczniów w grupie na zajęciach dodatkowych. Liczba uczniów w grupie powinna być zgodna z ustawą o systemie oświaty i jeżeli dotyczy - Rozporządzeniem MEN w zakresie udzielania i organizacji pomocy psychologiczno-pedagogicznej.</w:t>
      </w:r>
    </w:p>
    <w:p w:rsidR="00731650" w:rsidRDefault="00731650" w:rsidP="00731650">
      <w:pPr>
        <w:pStyle w:val="Zwykytekst"/>
        <w:rPr>
          <w:rFonts w:asciiTheme="minorHAnsi" w:hAnsiTheme="minorHAnsi" w:cs="Times New Roman"/>
          <w:b/>
          <w:sz w:val="22"/>
          <w:szCs w:val="22"/>
        </w:rPr>
      </w:pPr>
    </w:p>
    <w:p w:rsidR="00731650" w:rsidRPr="00731650" w:rsidRDefault="00731650" w:rsidP="00731650">
      <w:pPr>
        <w:pStyle w:val="Akapitzlist"/>
        <w:numPr>
          <w:ilvl w:val="0"/>
          <w:numId w:val="3"/>
        </w:numPr>
        <w:jc w:val="both"/>
        <w:rPr>
          <w:rFonts w:asciiTheme="minorHAnsi" w:hAnsiTheme="minorHAnsi"/>
          <w:b/>
        </w:rPr>
      </w:pPr>
      <w:r>
        <w:rPr>
          <w:rFonts w:asciiTheme="minorHAnsi" w:hAnsiTheme="minorHAnsi"/>
          <w:b/>
        </w:rPr>
        <w:t>P</w:t>
      </w:r>
      <w:r w:rsidRPr="00731650">
        <w:rPr>
          <w:rFonts w:asciiTheme="minorHAnsi" w:hAnsiTheme="minorHAnsi"/>
          <w:b/>
        </w:rPr>
        <w:t>roszę o informację czy dla projektu w którym grupę docelową będą stanowić uczniowie oraz nauczyciele będzie miała zastosowanie konieczność uzyskania certyfikatu po zakończeniu zajęć/szkoleń zgodnie z wymogami określonymi w "Liście sprawdzającej do weryfikacji czy dany certyfikat/dokument..."?</w:t>
      </w:r>
    </w:p>
    <w:p w:rsidR="00731650" w:rsidRDefault="00731650" w:rsidP="00731650">
      <w:pPr>
        <w:pStyle w:val="Zwykytekst"/>
      </w:pPr>
    </w:p>
    <w:p w:rsidR="00731650" w:rsidRPr="00731650" w:rsidRDefault="00731650" w:rsidP="00731650">
      <w:pPr>
        <w:jc w:val="both"/>
      </w:pPr>
      <w:r>
        <w:t xml:space="preserve">Wnioskodawca, jeżeli planuje wsparcie w zakresie </w:t>
      </w:r>
      <w:r w:rsidRPr="00731650">
        <w:rPr>
          <w:u w:val="single"/>
        </w:rPr>
        <w:t>podnoszenia kompetencji</w:t>
      </w:r>
      <w:r>
        <w:t xml:space="preserve"> (bez względu czy dla uczniów czy dla nauczycieli), powinien określić kompetencje jakie zostaną uzyskane czyli efekty uczenia się dla danej kompetencji oraz kryteria i metody ich weryfikacji. Fakt nabycia kompetencji powinien odbyć zgodnie z 4 etapami opisanymi w załączniku nr 2 do Regulaminu konkursu przy definicja wskaźnika: </w:t>
      </w:r>
      <w:r w:rsidRPr="00731650">
        <w:t>Liczba uczniów, którzy  nabyli kompetencje kluczowe po opuszczeniu programu</w:t>
      </w:r>
      <w:r>
        <w:t xml:space="preserve"> i </w:t>
      </w:r>
      <w:r w:rsidRPr="00731650">
        <w:t xml:space="preserve">Liczba nauczycieli, którzy uzyskali kwalifikacje lub nabyli kompetencje po opuszczeniu programu. </w:t>
      </w:r>
    </w:p>
    <w:p w:rsidR="00731650" w:rsidRDefault="00731650" w:rsidP="00731650">
      <w:pPr>
        <w:jc w:val="both"/>
      </w:pPr>
      <w:r>
        <w:t xml:space="preserve">Jest to: </w:t>
      </w:r>
    </w:p>
    <w:p w:rsidR="00731650" w:rsidRDefault="00731650" w:rsidP="00731650">
      <w:pPr>
        <w:jc w:val="both"/>
      </w:pPr>
      <w:r>
        <w:t xml:space="preserve">etap I zdefiniowanie grupy docelowej i zakresu w jakim będą podnoszone kompetencje; </w:t>
      </w:r>
    </w:p>
    <w:p w:rsidR="00731650" w:rsidRDefault="00731650" w:rsidP="00731650">
      <w:pPr>
        <w:jc w:val="both"/>
      </w:pPr>
      <w:r>
        <w:t>etap II zdefiniowanie efektów uczenia się, które osiągną uczestnicy w wyniku przeprowadzonych działań projektowych;</w:t>
      </w:r>
    </w:p>
    <w:p w:rsidR="00731650" w:rsidRDefault="00731650" w:rsidP="00731650">
      <w:pPr>
        <w:jc w:val="both"/>
      </w:pPr>
      <w:r>
        <w:t>etap III przeprowadzenie weryfikacji na podstawie opracowanych kryteriów oceny po zakończeniu wsparcia udzielanego danej osobie;</w:t>
      </w:r>
    </w:p>
    <w:p w:rsidR="00731650" w:rsidRDefault="00731650" w:rsidP="00731650">
      <w:pPr>
        <w:jc w:val="both"/>
      </w:pPr>
      <w:r>
        <w:t>etap IV porównanie uzyskanych wyników etapu III (ocena) z przyjętymi wymaganiami (określonymi na etapie II efektami uczenia się) po zakończeniu wsparcia udzielanego danej osobie.</w:t>
      </w:r>
    </w:p>
    <w:p w:rsidR="00731650" w:rsidRDefault="00731650" w:rsidP="00731650">
      <w:pPr>
        <w:jc w:val="both"/>
      </w:pPr>
      <w:r>
        <w:t>W ten sposób należy realizować wsparcie w zakresie podnoszenia kompetencji.</w:t>
      </w:r>
    </w:p>
    <w:p w:rsidR="00731650" w:rsidRPr="00731650" w:rsidRDefault="00731650" w:rsidP="00731650">
      <w:pPr>
        <w:jc w:val="both"/>
      </w:pPr>
      <w:r>
        <w:t xml:space="preserve">Podnoszenie kompetencji nie musi kończyć się uzyskaniem jakiegokolwiek certyfikatu rozumianego zgodnie z Załącznikiem </w:t>
      </w:r>
      <w:r w:rsidRPr="00731650">
        <w:t>Lista sprawdzająca kwalifikacje.</w:t>
      </w:r>
    </w:p>
    <w:p w:rsidR="00731650" w:rsidRDefault="00731650" w:rsidP="00731650">
      <w:pPr>
        <w:autoSpaceDE w:val="0"/>
        <w:autoSpaceDN w:val="0"/>
        <w:jc w:val="both"/>
      </w:pPr>
      <w:r>
        <w:t xml:space="preserve">Inaczej wygląda sytuacja gdy planujemy wsparcie w zakresie </w:t>
      </w:r>
      <w:r w:rsidRPr="00731650">
        <w:rPr>
          <w:u w:val="single"/>
        </w:rPr>
        <w:t>uzyskania kwalifikacji</w:t>
      </w:r>
      <w:r>
        <w:t xml:space="preserve">, w szczególności dla nauczycieli (w projektach dla edukacji podstawowej, gimnazjalnej i </w:t>
      </w:r>
      <w:proofErr w:type="spellStart"/>
      <w:r>
        <w:t>ponadgimnazjalnej</w:t>
      </w:r>
      <w:proofErr w:type="spellEnd"/>
      <w:r>
        <w:t xml:space="preserve"> rzadko planowane jest uzyskiwanie kwalifikacji przez uczniów ale jest to potencjalnie możliwe).</w:t>
      </w:r>
    </w:p>
    <w:p w:rsidR="00731650" w:rsidRDefault="00731650" w:rsidP="00731650">
      <w:pPr>
        <w:autoSpaceDE w:val="0"/>
        <w:autoSpaceDN w:val="0"/>
        <w:jc w:val="both"/>
      </w:pPr>
      <w:r>
        <w:lastRenderedPageBreak/>
        <w:t xml:space="preserve">Do zagadnienia </w:t>
      </w:r>
      <w:r w:rsidRPr="00731650">
        <w:t>uzyskiwania kwalifikacji</w:t>
      </w:r>
      <w:r>
        <w:t xml:space="preserve"> należy zapoznać się z dwoma dodatkowymi plikami przy Dokumentacji konkursowej: </w:t>
      </w:r>
    </w:p>
    <w:p w:rsidR="00731650" w:rsidRPr="00731650" w:rsidRDefault="00731650" w:rsidP="00F053B6">
      <w:pPr>
        <w:pStyle w:val="Akapitzlist"/>
        <w:numPr>
          <w:ilvl w:val="0"/>
          <w:numId w:val="5"/>
        </w:numPr>
        <w:autoSpaceDE w:val="0"/>
        <w:autoSpaceDN w:val="0"/>
        <w:jc w:val="both"/>
      </w:pPr>
      <w:r w:rsidRPr="00731650">
        <w:t>Podstawowe informacje dotyczące uzyskiwania kwalifikacji w ramach projektów współfinansowanych z Europejskiego Funduszu Społecznego;</w:t>
      </w:r>
    </w:p>
    <w:p w:rsidR="00731650" w:rsidRPr="00731650" w:rsidRDefault="00731650" w:rsidP="00F053B6">
      <w:pPr>
        <w:pStyle w:val="Akapitzlist"/>
        <w:numPr>
          <w:ilvl w:val="0"/>
          <w:numId w:val="5"/>
        </w:numPr>
        <w:autoSpaceDE w:val="0"/>
        <w:autoSpaceDN w:val="0"/>
        <w:jc w:val="both"/>
      </w:pPr>
      <w:r w:rsidRPr="00731650">
        <w:t>Lista sprawdzająca kwalifikacje.</w:t>
      </w:r>
    </w:p>
    <w:p w:rsidR="00731650" w:rsidRDefault="00731650" w:rsidP="00731650">
      <w:pPr>
        <w:autoSpaceDE w:val="0"/>
        <w:autoSpaceDN w:val="0"/>
        <w:jc w:val="both"/>
      </w:pPr>
      <w:r>
        <w:t>Uzyskanie kwalifikacji przede wszystkim polega na poddaniu efektów uczenia się walidacji i formalnym potwierdzeniu przez instytucję uprawnioną do certyfikowania.</w:t>
      </w:r>
    </w:p>
    <w:p w:rsidR="00731650" w:rsidRPr="00731650" w:rsidRDefault="00731650" w:rsidP="00731650">
      <w:pPr>
        <w:pStyle w:val="Default"/>
        <w:spacing w:after="18"/>
        <w:rPr>
          <w:rFonts w:ascii="Calibri" w:eastAsiaTheme="minorHAnsi" w:hAnsi="Calibri" w:cs="Times New Roman"/>
          <w:color w:val="auto"/>
          <w:sz w:val="22"/>
          <w:szCs w:val="22"/>
        </w:rPr>
      </w:pPr>
      <w:r w:rsidRPr="00731650">
        <w:rPr>
          <w:rFonts w:ascii="Calibri" w:eastAsiaTheme="minorHAnsi" w:hAnsi="Calibri" w:cs="Times New Roman"/>
          <w:color w:val="auto"/>
          <w:sz w:val="22"/>
          <w:szCs w:val="22"/>
        </w:rPr>
        <w:t>Odpowiadając więc na pytanie: jeśli w projekcie planuje się uzyskanie kwalifikacji, jest konieczność uzyskania certyfikatu.</w:t>
      </w:r>
    </w:p>
    <w:p w:rsidR="00731650" w:rsidRPr="00731650" w:rsidRDefault="00731650" w:rsidP="00731650">
      <w:pPr>
        <w:pStyle w:val="Zwykytekst"/>
        <w:rPr>
          <w:rFonts w:ascii="Calibri" w:hAnsi="Calibri" w:cs="Times New Roman"/>
          <w:sz w:val="22"/>
          <w:szCs w:val="22"/>
        </w:rPr>
      </w:pPr>
    </w:p>
    <w:p w:rsidR="00731650" w:rsidRDefault="00731650" w:rsidP="00731650">
      <w:pPr>
        <w:pStyle w:val="Zwykytekst"/>
        <w:rPr>
          <w:rFonts w:ascii="Calibri" w:hAnsi="Calibri"/>
          <w:sz w:val="22"/>
          <w:szCs w:val="22"/>
        </w:rPr>
      </w:pPr>
    </w:p>
    <w:p w:rsidR="00731650" w:rsidRPr="00F053B6" w:rsidRDefault="00F053B6" w:rsidP="00F053B6">
      <w:pPr>
        <w:pStyle w:val="Akapitzlist"/>
        <w:numPr>
          <w:ilvl w:val="0"/>
          <w:numId w:val="3"/>
        </w:numPr>
        <w:jc w:val="both"/>
        <w:rPr>
          <w:rFonts w:asciiTheme="minorHAnsi" w:hAnsiTheme="minorHAnsi"/>
          <w:b/>
        </w:rPr>
      </w:pPr>
      <w:r>
        <w:rPr>
          <w:rFonts w:asciiTheme="minorHAnsi" w:hAnsiTheme="minorHAnsi"/>
          <w:b/>
        </w:rPr>
        <w:t>C</w:t>
      </w:r>
      <w:r w:rsidR="00731650" w:rsidRPr="00F053B6">
        <w:rPr>
          <w:rFonts w:asciiTheme="minorHAnsi" w:hAnsiTheme="minorHAnsi"/>
          <w:b/>
        </w:rPr>
        <w:t>zy w przypadku projektów partnerskich można przed złożeniem wniosku zainicjować partnerstwo na mocy listu intencyjnego a nie umowy?</w:t>
      </w:r>
    </w:p>
    <w:p w:rsidR="00F053B6" w:rsidRDefault="00F053B6" w:rsidP="00F053B6">
      <w:pPr>
        <w:ind w:left="360"/>
        <w:jc w:val="both"/>
        <w:rPr>
          <w:rFonts w:asciiTheme="minorHAnsi" w:hAnsiTheme="minorHAnsi"/>
          <w:b/>
        </w:rPr>
      </w:pPr>
    </w:p>
    <w:p w:rsidR="00F053B6" w:rsidRPr="00F053B6" w:rsidRDefault="00F053B6" w:rsidP="00F053B6">
      <w:pPr>
        <w:autoSpaceDE w:val="0"/>
        <w:autoSpaceDN w:val="0"/>
        <w:jc w:val="both"/>
      </w:pPr>
      <w:r w:rsidRPr="00F053B6">
        <w:t>Zgodnie z Regulaminem konkursu:</w:t>
      </w:r>
    </w:p>
    <w:p w:rsidR="00F053B6" w:rsidRPr="00F053B6" w:rsidRDefault="00F053B6" w:rsidP="00F053B6">
      <w:pPr>
        <w:autoSpaceDE w:val="0"/>
        <w:autoSpaceDN w:val="0"/>
        <w:jc w:val="both"/>
      </w:pPr>
      <w:r w:rsidRPr="00F053B6">
        <w:t>Utworzenie lub zainicjowanie partnerstwa musi nastąpić przed złożeniem wniosku o dofinansowanie (nie jest doprecyzowana forma utworzenia lub zainicjowania partnerstwa).</w:t>
      </w:r>
    </w:p>
    <w:p w:rsidR="00F053B6" w:rsidRPr="00F053B6" w:rsidRDefault="00F053B6" w:rsidP="00F053B6">
      <w:pPr>
        <w:autoSpaceDE w:val="0"/>
        <w:autoSpaceDN w:val="0"/>
        <w:jc w:val="both"/>
      </w:pPr>
      <w:r w:rsidRPr="00F053B6">
        <w:t>Przed zawarciem umowy lub porozumienia o dofinansowaniu projektu, dokumentem wymaganym przez IOK jest umowa albo porozumienie o partnerstwie, szczegółowo określające reguły partnerstwa, w tym zwłaszcza wskazująca wiodącą rolę jednego podmiotu (partnera wiodącego) reprezentującego partnerstwo, który ostatecznie jest odpowiedzialny za realizację całości projektu oraz jego rozliczenie. Elementy, które powinna zawierać umowa oraz porozumienie o partnerstwie, zostały określone w art. 33 ust. 5 Ustawy.</w:t>
      </w:r>
    </w:p>
    <w:p w:rsidR="00F053B6" w:rsidRPr="00F053B6" w:rsidRDefault="00F053B6" w:rsidP="00F053B6">
      <w:pPr>
        <w:autoSpaceDE w:val="0"/>
        <w:autoSpaceDN w:val="0"/>
        <w:jc w:val="both"/>
      </w:pPr>
      <w:r w:rsidRPr="00F053B6">
        <w:t xml:space="preserve">Na etapie składania wniosku o dofinansowanie nie ma konieczności podpisywania umowy partnerskiej. </w:t>
      </w:r>
    </w:p>
    <w:p w:rsidR="00731650" w:rsidRDefault="00731650" w:rsidP="00F053B6">
      <w:pPr>
        <w:autoSpaceDE w:val="0"/>
        <w:autoSpaceDN w:val="0"/>
        <w:jc w:val="both"/>
      </w:pPr>
    </w:p>
    <w:p w:rsidR="00F053B6" w:rsidRDefault="00F053B6" w:rsidP="00F053B6">
      <w:pPr>
        <w:pStyle w:val="Akapitzlist"/>
        <w:numPr>
          <w:ilvl w:val="0"/>
          <w:numId w:val="3"/>
        </w:numPr>
        <w:jc w:val="both"/>
        <w:rPr>
          <w:rFonts w:asciiTheme="minorHAnsi" w:hAnsiTheme="minorHAnsi"/>
          <w:b/>
        </w:rPr>
      </w:pPr>
      <w:r>
        <w:rPr>
          <w:rFonts w:asciiTheme="minorHAnsi" w:hAnsiTheme="minorHAnsi"/>
          <w:b/>
        </w:rPr>
        <w:t>C</w:t>
      </w:r>
      <w:r w:rsidRPr="00F053B6">
        <w:rPr>
          <w:rFonts w:asciiTheme="minorHAnsi" w:hAnsiTheme="minorHAnsi"/>
          <w:b/>
        </w:rPr>
        <w:t>zy możemy zrealizować dla uczniów z klas VII zajęcia dodatkowe o charakterze interdyscyplinarnym z zakresu przedmiotów przyrodniczych (biologia, chemia, fizyka, geografia), tj. żeby były jedne zajęcia łączące te 4 przedmioty?</w:t>
      </w:r>
    </w:p>
    <w:p w:rsidR="00F053B6" w:rsidRDefault="00F053B6" w:rsidP="00F053B6">
      <w:pPr>
        <w:jc w:val="both"/>
        <w:rPr>
          <w:rFonts w:asciiTheme="minorHAnsi" w:hAnsiTheme="minorHAnsi"/>
          <w:b/>
        </w:rPr>
      </w:pPr>
    </w:p>
    <w:p w:rsidR="00F053B6" w:rsidRPr="00F053B6" w:rsidRDefault="00F053B6" w:rsidP="00F053B6">
      <w:pPr>
        <w:jc w:val="both"/>
        <w:rPr>
          <w:rFonts w:asciiTheme="minorHAnsi" w:hAnsiTheme="minorHAnsi"/>
        </w:rPr>
      </w:pPr>
      <w:r w:rsidRPr="00F053B6">
        <w:rPr>
          <w:rFonts w:asciiTheme="minorHAnsi" w:hAnsiTheme="minorHAnsi"/>
        </w:rPr>
        <w:t>Tak.</w:t>
      </w:r>
    </w:p>
    <w:p w:rsidR="00F053B6" w:rsidRDefault="00F053B6" w:rsidP="00F053B6"/>
    <w:p w:rsidR="00F053B6" w:rsidRPr="00F053B6" w:rsidRDefault="00F053B6" w:rsidP="00F053B6">
      <w:pPr>
        <w:pStyle w:val="Akapitzlist"/>
        <w:numPr>
          <w:ilvl w:val="0"/>
          <w:numId w:val="3"/>
        </w:numPr>
        <w:jc w:val="both"/>
      </w:pPr>
      <w:r w:rsidRPr="00F053B6">
        <w:rPr>
          <w:rFonts w:asciiTheme="minorHAnsi" w:hAnsiTheme="minorHAnsi"/>
          <w:b/>
        </w:rPr>
        <w:t xml:space="preserve">Jakie wyposażenie do pracowni przyrodniczej możemy zakupić dla uczniów klas VII biorąc pod uwagę, że uczniowie klas VII nie będą mieli w szkole jednego przedmiotu pt. "przyroda", ale 4 oddzielne przedmioty przyrodnicze tj. biologia, chemia, fizyka i geografia. </w:t>
      </w:r>
    </w:p>
    <w:p w:rsidR="00F053B6" w:rsidRDefault="00F053B6" w:rsidP="00F053B6"/>
    <w:p w:rsidR="00F053B6" w:rsidRDefault="00F053B6" w:rsidP="00F053B6">
      <w:pPr>
        <w:jc w:val="both"/>
      </w:pPr>
      <w:r>
        <w:t>Można zakupić takie wyposażenie, które wynika z diagnozy potrzeb edukacyjnych, ze spisu inwentarza oraz oceny stanu technicznego zasobów. Należy odwołać się do szczegółowych katalogów wyposażenia szkolnych pracowni przedmiotów przyrodniczych, które zostały opracowane przez MEN i są udostępnione za pośrednictwem strony internetowej:</w:t>
      </w:r>
    </w:p>
    <w:p w:rsidR="00F053B6" w:rsidRDefault="00931715" w:rsidP="00F053B6">
      <w:pPr>
        <w:jc w:val="both"/>
      </w:pPr>
      <w:hyperlink r:id="rId7" w:history="1">
        <w:r w:rsidR="00F053B6" w:rsidRPr="007A1355">
          <w:rPr>
            <w:rStyle w:val="Hipercze"/>
          </w:rPr>
          <w:t>http://efs.men.gov.pl/dokumenty/wytyczne-w-zakresie-realizacji-przedsiewziec-z-udzialem-srodkow-europejskiego-funduszu-spolecznego-w-obszarze-edukacji-na-lata-2014-2020/</w:t>
        </w:r>
      </w:hyperlink>
      <w:r w:rsidR="00F053B6">
        <w:t>.</w:t>
      </w:r>
    </w:p>
    <w:p w:rsidR="00F053B6" w:rsidRPr="00F053B6" w:rsidRDefault="00F053B6" w:rsidP="00F053B6">
      <w:pPr>
        <w:jc w:val="both"/>
      </w:pPr>
      <w:r>
        <w:t>Zakupione wyposażenie powinno być dostosowane do odpowiedniego etapu edukacyjnego i zakresu realizacji podstawy programowej kształcenia ogólnego. W związku z reformą oświaty, przy planowaniu wyposażenia pracowni przyrodniczych pod kątem potrzeb uczniów klasy VII należy odwołać się do katalogu dla poziomu gimnazjalnego, który uwzględnia zalecane wyposażenie pracowni dla poszczególnych przedmiotów. Zasadnym byłoby również przeanalizowanie projektowanych ramowych planów nauczania (dostępne na stronie MEN). Przy zakupie wyposażenia wykraczającego poza katalogi należy każdorazowo uzasadnić taki wydatek w budżecie projektu. Również fakt wyposażania pracowni w szkole podstawowej ale pod kątem potrzeb klas VII i VIII w oparciu o katalog dla szkoły gimnazjalnej należy wyraźnie uzasadnić we wniosku o dofinansowanie, tak aby oceniający nie mieli wątpliwości przy ocenie projektu.</w:t>
      </w:r>
    </w:p>
    <w:sectPr w:rsidR="00F053B6" w:rsidRPr="00F053B6" w:rsidSect="000B608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D76EC"/>
    <w:multiLevelType w:val="hybridMultilevel"/>
    <w:tmpl w:val="35AA16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111F7A37"/>
    <w:multiLevelType w:val="hybridMultilevel"/>
    <w:tmpl w:val="BE9E44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E497D20"/>
    <w:multiLevelType w:val="hybridMultilevel"/>
    <w:tmpl w:val="500E881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2E5B1928"/>
    <w:multiLevelType w:val="hybridMultilevel"/>
    <w:tmpl w:val="D88AAC7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66523514"/>
    <w:multiLevelType w:val="hybridMultilevel"/>
    <w:tmpl w:val="58064CBC"/>
    <w:lvl w:ilvl="0" w:tplc="5E40398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1D51ED"/>
    <w:rsid w:val="00094A20"/>
    <w:rsid w:val="000B4E5B"/>
    <w:rsid w:val="000B608C"/>
    <w:rsid w:val="000C5636"/>
    <w:rsid w:val="000D5022"/>
    <w:rsid w:val="0010784C"/>
    <w:rsid w:val="00193890"/>
    <w:rsid w:val="00193FF0"/>
    <w:rsid w:val="001A7FEC"/>
    <w:rsid w:val="001B0AF9"/>
    <w:rsid w:val="001C4479"/>
    <w:rsid w:val="001D3CA8"/>
    <w:rsid w:val="001D51ED"/>
    <w:rsid w:val="001D61B9"/>
    <w:rsid w:val="001E7542"/>
    <w:rsid w:val="001F5739"/>
    <w:rsid w:val="001F7214"/>
    <w:rsid w:val="002019E4"/>
    <w:rsid w:val="00252F19"/>
    <w:rsid w:val="00272165"/>
    <w:rsid w:val="003C477F"/>
    <w:rsid w:val="003D0175"/>
    <w:rsid w:val="00484783"/>
    <w:rsid w:val="004F3C50"/>
    <w:rsid w:val="005001CF"/>
    <w:rsid w:val="00521371"/>
    <w:rsid w:val="00535807"/>
    <w:rsid w:val="00544E38"/>
    <w:rsid w:val="00580872"/>
    <w:rsid w:val="005E7CE9"/>
    <w:rsid w:val="00606AD7"/>
    <w:rsid w:val="006254E4"/>
    <w:rsid w:val="00633ED1"/>
    <w:rsid w:val="006555F7"/>
    <w:rsid w:val="006827A3"/>
    <w:rsid w:val="006F67BE"/>
    <w:rsid w:val="007110EF"/>
    <w:rsid w:val="00731650"/>
    <w:rsid w:val="007C378B"/>
    <w:rsid w:val="007E57D4"/>
    <w:rsid w:val="007F7BEF"/>
    <w:rsid w:val="00825F70"/>
    <w:rsid w:val="00897F6A"/>
    <w:rsid w:val="008C5674"/>
    <w:rsid w:val="008D61F7"/>
    <w:rsid w:val="00912E0F"/>
    <w:rsid w:val="00931715"/>
    <w:rsid w:val="00936400"/>
    <w:rsid w:val="0094554A"/>
    <w:rsid w:val="00946D92"/>
    <w:rsid w:val="00970799"/>
    <w:rsid w:val="009737BC"/>
    <w:rsid w:val="009D7C39"/>
    <w:rsid w:val="00A0295B"/>
    <w:rsid w:val="00A174BC"/>
    <w:rsid w:val="00AA0F36"/>
    <w:rsid w:val="00AA4D4E"/>
    <w:rsid w:val="00AB607E"/>
    <w:rsid w:val="00B06AEE"/>
    <w:rsid w:val="00B66919"/>
    <w:rsid w:val="00C16D33"/>
    <w:rsid w:val="00C21F2B"/>
    <w:rsid w:val="00CA0A1C"/>
    <w:rsid w:val="00CD02E7"/>
    <w:rsid w:val="00D2684B"/>
    <w:rsid w:val="00D33C5F"/>
    <w:rsid w:val="00D47B1A"/>
    <w:rsid w:val="00DC1FB3"/>
    <w:rsid w:val="00DC2D5A"/>
    <w:rsid w:val="00DD45B3"/>
    <w:rsid w:val="00E22921"/>
    <w:rsid w:val="00E726EE"/>
    <w:rsid w:val="00E8473E"/>
    <w:rsid w:val="00ED0643"/>
    <w:rsid w:val="00ED1BEE"/>
    <w:rsid w:val="00ED3A97"/>
    <w:rsid w:val="00EE2318"/>
    <w:rsid w:val="00F053B6"/>
    <w:rsid w:val="00F16DD3"/>
    <w:rsid w:val="00F85A87"/>
    <w:rsid w:val="00FB4BD1"/>
    <w:rsid w:val="00FD239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D51ED"/>
    <w:pPr>
      <w:spacing w:after="0" w:line="240" w:lineRule="auto"/>
    </w:pPr>
    <w:rPr>
      <w:rFonts w:ascii="Calibri" w:eastAsiaTheme="minorHAns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1D51ED"/>
    <w:pPr>
      <w:autoSpaceDE w:val="0"/>
      <w:autoSpaceDN w:val="0"/>
      <w:adjustRightInd w:val="0"/>
      <w:spacing w:after="0" w:line="240" w:lineRule="auto"/>
    </w:pPr>
    <w:rPr>
      <w:rFonts w:ascii="Arial" w:hAnsi="Arial" w:cs="Arial"/>
      <w:color w:val="000000"/>
      <w:sz w:val="24"/>
      <w:szCs w:val="24"/>
    </w:rPr>
  </w:style>
  <w:style w:type="paragraph" w:styleId="Zwykytekst">
    <w:name w:val="Plain Text"/>
    <w:basedOn w:val="Normalny"/>
    <w:link w:val="ZwykytekstZnak"/>
    <w:uiPriority w:val="99"/>
    <w:unhideWhenUsed/>
    <w:rsid w:val="001D51ED"/>
    <w:rPr>
      <w:rFonts w:ascii="Consolas" w:hAnsi="Consolas" w:cstheme="minorBidi"/>
      <w:sz w:val="21"/>
      <w:szCs w:val="21"/>
    </w:rPr>
  </w:style>
  <w:style w:type="character" w:customStyle="1" w:styleId="ZwykytekstZnak">
    <w:name w:val="Zwykły tekst Znak"/>
    <w:basedOn w:val="Domylnaczcionkaakapitu"/>
    <w:link w:val="Zwykytekst"/>
    <w:uiPriority w:val="99"/>
    <w:rsid w:val="001D51ED"/>
    <w:rPr>
      <w:rFonts w:ascii="Consolas" w:eastAsiaTheme="minorHAnsi" w:hAnsi="Consolas"/>
      <w:sz w:val="21"/>
      <w:szCs w:val="21"/>
    </w:rPr>
  </w:style>
  <w:style w:type="paragraph" w:styleId="Akapitzlist">
    <w:name w:val="List Paragraph"/>
    <w:basedOn w:val="Normalny"/>
    <w:uiPriority w:val="34"/>
    <w:qFormat/>
    <w:rsid w:val="001D51ED"/>
    <w:pPr>
      <w:ind w:left="720"/>
      <w:contextualSpacing/>
    </w:pPr>
  </w:style>
  <w:style w:type="paragraph" w:styleId="NormalnyWeb">
    <w:name w:val="Normal (Web)"/>
    <w:basedOn w:val="Normalny"/>
    <w:uiPriority w:val="99"/>
    <w:semiHidden/>
    <w:unhideWhenUsed/>
    <w:rsid w:val="001D51ED"/>
    <w:rPr>
      <w:rFonts w:ascii="Times New Roman" w:hAnsi="Times New Roman"/>
      <w:sz w:val="24"/>
      <w:szCs w:val="24"/>
      <w:lang w:eastAsia="pl-PL"/>
    </w:rPr>
  </w:style>
  <w:style w:type="character" w:styleId="Hipercze">
    <w:name w:val="Hyperlink"/>
    <w:basedOn w:val="Domylnaczcionkaakapitu"/>
    <w:uiPriority w:val="99"/>
    <w:unhideWhenUsed/>
    <w:rsid w:val="00F053B6"/>
    <w:rPr>
      <w:color w:val="0000FF"/>
      <w:u w:val="single"/>
    </w:rPr>
  </w:style>
</w:styles>
</file>

<file path=word/webSettings.xml><?xml version="1.0" encoding="utf-8"?>
<w:webSettings xmlns:r="http://schemas.openxmlformats.org/officeDocument/2006/relationships" xmlns:w="http://schemas.openxmlformats.org/wordprocessingml/2006/main">
  <w:divs>
    <w:div w:id="55784441">
      <w:bodyDiv w:val="1"/>
      <w:marLeft w:val="0"/>
      <w:marRight w:val="0"/>
      <w:marTop w:val="0"/>
      <w:marBottom w:val="0"/>
      <w:divBdr>
        <w:top w:val="none" w:sz="0" w:space="0" w:color="auto"/>
        <w:left w:val="none" w:sz="0" w:space="0" w:color="auto"/>
        <w:bottom w:val="none" w:sz="0" w:space="0" w:color="auto"/>
        <w:right w:val="none" w:sz="0" w:space="0" w:color="auto"/>
      </w:divBdr>
    </w:div>
    <w:div w:id="211381347">
      <w:bodyDiv w:val="1"/>
      <w:marLeft w:val="0"/>
      <w:marRight w:val="0"/>
      <w:marTop w:val="0"/>
      <w:marBottom w:val="0"/>
      <w:divBdr>
        <w:top w:val="none" w:sz="0" w:space="0" w:color="auto"/>
        <w:left w:val="none" w:sz="0" w:space="0" w:color="auto"/>
        <w:bottom w:val="none" w:sz="0" w:space="0" w:color="auto"/>
        <w:right w:val="none" w:sz="0" w:space="0" w:color="auto"/>
      </w:divBdr>
    </w:div>
    <w:div w:id="218830034">
      <w:bodyDiv w:val="1"/>
      <w:marLeft w:val="0"/>
      <w:marRight w:val="0"/>
      <w:marTop w:val="0"/>
      <w:marBottom w:val="0"/>
      <w:divBdr>
        <w:top w:val="none" w:sz="0" w:space="0" w:color="auto"/>
        <w:left w:val="none" w:sz="0" w:space="0" w:color="auto"/>
        <w:bottom w:val="none" w:sz="0" w:space="0" w:color="auto"/>
        <w:right w:val="none" w:sz="0" w:space="0" w:color="auto"/>
      </w:divBdr>
    </w:div>
    <w:div w:id="274020307">
      <w:bodyDiv w:val="1"/>
      <w:marLeft w:val="0"/>
      <w:marRight w:val="0"/>
      <w:marTop w:val="0"/>
      <w:marBottom w:val="0"/>
      <w:divBdr>
        <w:top w:val="none" w:sz="0" w:space="0" w:color="auto"/>
        <w:left w:val="none" w:sz="0" w:space="0" w:color="auto"/>
        <w:bottom w:val="none" w:sz="0" w:space="0" w:color="auto"/>
        <w:right w:val="none" w:sz="0" w:space="0" w:color="auto"/>
      </w:divBdr>
    </w:div>
    <w:div w:id="374739627">
      <w:bodyDiv w:val="1"/>
      <w:marLeft w:val="0"/>
      <w:marRight w:val="0"/>
      <w:marTop w:val="0"/>
      <w:marBottom w:val="0"/>
      <w:divBdr>
        <w:top w:val="none" w:sz="0" w:space="0" w:color="auto"/>
        <w:left w:val="none" w:sz="0" w:space="0" w:color="auto"/>
        <w:bottom w:val="none" w:sz="0" w:space="0" w:color="auto"/>
        <w:right w:val="none" w:sz="0" w:space="0" w:color="auto"/>
      </w:divBdr>
    </w:div>
    <w:div w:id="433478532">
      <w:bodyDiv w:val="1"/>
      <w:marLeft w:val="0"/>
      <w:marRight w:val="0"/>
      <w:marTop w:val="0"/>
      <w:marBottom w:val="0"/>
      <w:divBdr>
        <w:top w:val="none" w:sz="0" w:space="0" w:color="auto"/>
        <w:left w:val="none" w:sz="0" w:space="0" w:color="auto"/>
        <w:bottom w:val="none" w:sz="0" w:space="0" w:color="auto"/>
        <w:right w:val="none" w:sz="0" w:space="0" w:color="auto"/>
      </w:divBdr>
    </w:div>
    <w:div w:id="628248471">
      <w:bodyDiv w:val="1"/>
      <w:marLeft w:val="0"/>
      <w:marRight w:val="0"/>
      <w:marTop w:val="0"/>
      <w:marBottom w:val="0"/>
      <w:divBdr>
        <w:top w:val="none" w:sz="0" w:space="0" w:color="auto"/>
        <w:left w:val="none" w:sz="0" w:space="0" w:color="auto"/>
        <w:bottom w:val="none" w:sz="0" w:space="0" w:color="auto"/>
        <w:right w:val="none" w:sz="0" w:space="0" w:color="auto"/>
      </w:divBdr>
    </w:div>
    <w:div w:id="665668589">
      <w:bodyDiv w:val="1"/>
      <w:marLeft w:val="0"/>
      <w:marRight w:val="0"/>
      <w:marTop w:val="0"/>
      <w:marBottom w:val="0"/>
      <w:divBdr>
        <w:top w:val="none" w:sz="0" w:space="0" w:color="auto"/>
        <w:left w:val="none" w:sz="0" w:space="0" w:color="auto"/>
        <w:bottom w:val="none" w:sz="0" w:space="0" w:color="auto"/>
        <w:right w:val="none" w:sz="0" w:space="0" w:color="auto"/>
      </w:divBdr>
    </w:div>
    <w:div w:id="718095828">
      <w:bodyDiv w:val="1"/>
      <w:marLeft w:val="0"/>
      <w:marRight w:val="0"/>
      <w:marTop w:val="0"/>
      <w:marBottom w:val="0"/>
      <w:divBdr>
        <w:top w:val="none" w:sz="0" w:space="0" w:color="auto"/>
        <w:left w:val="none" w:sz="0" w:space="0" w:color="auto"/>
        <w:bottom w:val="none" w:sz="0" w:space="0" w:color="auto"/>
        <w:right w:val="none" w:sz="0" w:space="0" w:color="auto"/>
      </w:divBdr>
    </w:div>
    <w:div w:id="740181162">
      <w:bodyDiv w:val="1"/>
      <w:marLeft w:val="0"/>
      <w:marRight w:val="0"/>
      <w:marTop w:val="0"/>
      <w:marBottom w:val="0"/>
      <w:divBdr>
        <w:top w:val="none" w:sz="0" w:space="0" w:color="auto"/>
        <w:left w:val="none" w:sz="0" w:space="0" w:color="auto"/>
        <w:bottom w:val="none" w:sz="0" w:space="0" w:color="auto"/>
        <w:right w:val="none" w:sz="0" w:space="0" w:color="auto"/>
      </w:divBdr>
    </w:div>
    <w:div w:id="906264095">
      <w:bodyDiv w:val="1"/>
      <w:marLeft w:val="0"/>
      <w:marRight w:val="0"/>
      <w:marTop w:val="0"/>
      <w:marBottom w:val="0"/>
      <w:divBdr>
        <w:top w:val="none" w:sz="0" w:space="0" w:color="auto"/>
        <w:left w:val="none" w:sz="0" w:space="0" w:color="auto"/>
        <w:bottom w:val="none" w:sz="0" w:space="0" w:color="auto"/>
        <w:right w:val="none" w:sz="0" w:space="0" w:color="auto"/>
      </w:divBdr>
    </w:div>
    <w:div w:id="943880859">
      <w:bodyDiv w:val="1"/>
      <w:marLeft w:val="0"/>
      <w:marRight w:val="0"/>
      <w:marTop w:val="0"/>
      <w:marBottom w:val="0"/>
      <w:divBdr>
        <w:top w:val="none" w:sz="0" w:space="0" w:color="auto"/>
        <w:left w:val="none" w:sz="0" w:space="0" w:color="auto"/>
        <w:bottom w:val="none" w:sz="0" w:space="0" w:color="auto"/>
        <w:right w:val="none" w:sz="0" w:space="0" w:color="auto"/>
      </w:divBdr>
    </w:div>
    <w:div w:id="1152024415">
      <w:bodyDiv w:val="1"/>
      <w:marLeft w:val="0"/>
      <w:marRight w:val="0"/>
      <w:marTop w:val="0"/>
      <w:marBottom w:val="0"/>
      <w:divBdr>
        <w:top w:val="none" w:sz="0" w:space="0" w:color="auto"/>
        <w:left w:val="none" w:sz="0" w:space="0" w:color="auto"/>
        <w:bottom w:val="none" w:sz="0" w:space="0" w:color="auto"/>
        <w:right w:val="none" w:sz="0" w:space="0" w:color="auto"/>
      </w:divBdr>
    </w:div>
    <w:div w:id="1237132341">
      <w:bodyDiv w:val="1"/>
      <w:marLeft w:val="0"/>
      <w:marRight w:val="0"/>
      <w:marTop w:val="0"/>
      <w:marBottom w:val="0"/>
      <w:divBdr>
        <w:top w:val="none" w:sz="0" w:space="0" w:color="auto"/>
        <w:left w:val="none" w:sz="0" w:space="0" w:color="auto"/>
        <w:bottom w:val="none" w:sz="0" w:space="0" w:color="auto"/>
        <w:right w:val="none" w:sz="0" w:space="0" w:color="auto"/>
      </w:divBdr>
    </w:div>
    <w:div w:id="1389761651">
      <w:bodyDiv w:val="1"/>
      <w:marLeft w:val="0"/>
      <w:marRight w:val="0"/>
      <w:marTop w:val="0"/>
      <w:marBottom w:val="0"/>
      <w:divBdr>
        <w:top w:val="none" w:sz="0" w:space="0" w:color="auto"/>
        <w:left w:val="none" w:sz="0" w:space="0" w:color="auto"/>
        <w:bottom w:val="none" w:sz="0" w:space="0" w:color="auto"/>
        <w:right w:val="none" w:sz="0" w:space="0" w:color="auto"/>
      </w:divBdr>
    </w:div>
    <w:div w:id="1434859761">
      <w:bodyDiv w:val="1"/>
      <w:marLeft w:val="0"/>
      <w:marRight w:val="0"/>
      <w:marTop w:val="0"/>
      <w:marBottom w:val="0"/>
      <w:divBdr>
        <w:top w:val="none" w:sz="0" w:space="0" w:color="auto"/>
        <w:left w:val="none" w:sz="0" w:space="0" w:color="auto"/>
        <w:bottom w:val="none" w:sz="0" w:space="0" w:color="auto"/>
        <w:right w:val="none" w:sz="0" w:space="0" w:color="auto"/>
      </w:divBdr>
    </w:div>
    <w:div w:id="1534611270">
      <w:bodyDiv w:val="1"/>
      <w:marLeft w:val="0"/>
      <w:marRight w:val="0"/>
      <w:marTop w:val="0"/>
      <w:marBottom w:val="0"/>
      <w:divBdr>
        <w:top w:val="none" w:sz="0" w:space="0" w:color="auto"/>
        <w:left w:val="none" w:sz="0" w:space="0" w:color="auto"/>
        <w:bottom w:val="none" w:sz="0" w:space="0" w:color="auto"/>
        <w:right w:val="none" w:sz="0" w:space="0" w:color="auto"/>
      </w:divBdr>
    </w:div>
    <w:div w:id="1554080883">
      <w:bodyDiv w:val="1"/>
      <w:marLeft w:val="0"/>
      <w:marRight w:val="0"/>
      <w:marTop w:val="0"/>
      <w:marBottom w:val="0"/>
      <w:divBdr>
        <w:top w:val="none" w:sz="0" w:space="0" w:color="auto"/>
        <w:left w:val="none" w:sz="0" w:space="0" w:color="auto"/>
        <w:bottom w:val="none" w:sz="0" w:space="0" w:color="auto"/>
        <w:right w:val="none" w:sz="0" w:space="0" w:color="auto"/>
      </w:divBdr>
    </w:div>
    <w:div w:id="1596940165">
      <w:bodyDiv w:val="1"/>
      <w:marLeft w:val="0"/>
      <w:marRight w:val="0"/>
      <w:marTop w:val="0"/>
      <w:marBottom w:val="0"/>
      <w:divBdr>
        <w:top w:val="none" w:sz="0" w:space="0" w:color="auto"/>
        <w:left w:val="none" w:sz="0" w:space="0" w:color="auto"/>
        <w:bottom w:val="none" w:sz="0" w:space="0" w:color="auto"/>
        <w:right w:val="none" w:sz="0" w:space="0" w:color="auto"/>
      </w:divBdr>
    </w:div>
    <w:div w:id="1676421222">
      <w:bodyDiv w:val="1"/>
      <w:marLeft w:val="0"/>
      <w:marRight w:val="0"/>
      <w:marTop w:val="0"/>
      <w:marBottom w:val="0"/>
      <w:divBdr>
        <w:top w:val="none" w:sz="0" w:space="0" w:color="auto"/>
        <w:left w:val="none" w:sz="0" w:space="0" w:color="auto"/>
        <w:bottom w:val="none" w:sz="0" w:space="0" w:color="auto"/>
        <w:right w:val="none" w:sz="0" w:space="0" w:color="auto"/>
      </w:divBdr>
    </w:div>
    <w:div w:id="1686322643">
      <w:bodyDiv w:val="1"/>
      <w:marLeft w:val="0"/>
      <w:marRight w:val="0"/>
      <w:marTop w:val="0"/>
      <w:marBottom w:val="0"/>
      <w:divBdr>
        <w:top w:val="none" w:sz="0" w:space="0" w:color="auto"/>
        <w:left w:val="none" w:sz="0" w:space="0" w:color="auto"/>
        <w:bottom w:val="none" w:sz="0" w:space="0" w:color="auto"/>
        <w:right w:val="none" w:sz="0" w:space="0" w:color="auto"/>
      </w:divBdr>
    </w:div>
    <w:div w:id="1738867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efs.men.gov.pl/dokumenty/wytyczne-w-zakresie-realizacji-przedsiewziec-z-udzialem-srodkow-europejskiego-funduszu-spolecznego-w-obszarze-edukacji-na-lata-2014-20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efs.men.gov.pl/wp-content/uploads/sites/5/2016/01/wykaz-pomocy-dydaktycznych-rekomendowanych-przez-ministerstwo-edukacji-narodowej.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A1D131-7780-4015-849A-495036B66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6252</Words>
  <Characters>37516</Characters>
  <Application>Microsoft Office Word</Application>
  <DocSecurity>0</DocSecurity>
  <Lines>312</Lines>
  <Paragraphs>87</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Dolnośląskiego</Company>
  <LinksUpToDate>false</LinksUpToDate>
  <CharactersWithSpaces>43681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dszafko</dc:creator>
  <cp:keywords/>
  <dc:description/>
  <cp:lastModifiedBy>dszafko</cp:lastModifiedBy>
  <cp:revision>13</cp:revision>
  <cp:lastPrinted>2017-02-24T08:46:00Z</cp:lastPrinted>
  <dcterms:created xsi:type="dcterms:W3CDTF">2017-02-21T10:26:00Z</dcterms:created>
  <dcterms:modified xsi:type="dcterms:W3CDTF">2017-02-24T10:39:00Z</dcterms:modified>
</cp:coreProperties>
</file>