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6B" w:rsidRPr="005A276B" w:rsidRDefault="005A276B" w:rsidP="005A276B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5A276B">
        <w:rPr>
          <w:b/>
        </w:rPr>
        <w:t xml:space="preserve">Proszę o podanie przykładów zastosowania zasady równości szans kobiet i mężczyzn w ramach zarządzania projektem. </w:t>
      </w:r>
    </w:p>
    <w:p w:rsidR="005A276B" w:rsidRP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A276B">
        <w:rPr>
          <w:rFonts w:asciiTheme="minorHAnsi" w:hAnsiTheme="minorHAnsi"/>
          <w:color w:val="auto"/>
          <w:sz w:val="22"/>
          <w:szCs w:val="22"/>
        </w:rPr>
        <w:t xml:space="preserve">Zasada równości szans kobiet i mężczyzn to zasada, która ma prowadzić do podejmowania działań na rzecz osiągnięcia stanu, w którym kobietom i mężczyznom przypisuje się taką samą wartość społeczną, równe prawa i równe obowiązki oraz równy dostęp do zasobów (tj. środki finansowe, szanse rozwoju), z których mogą korzystać. Zasada ta ma gwarantować możliwość wyboru drogi życiowej bez ograniczeń wynikających ze stereotypów płci. </w:t>
      </w:r>
    </w:p>
    <w:p w:rsid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276B" w:rsidRPr="005A276B" w:rsidRDefault="005A276B" w:rsidP="005A276B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A276B">
        <w:rPr>
          <w:rFonts w:asciiTheme="minorHAnsi" w:hAnsiTheme="minorHAnsi"/>
          <w:color w:val="auto"/>
          <w:sz w:val="22"/>
          <w:szCs w:val="22"/>
        </w:rPr>
        <w:t xml:space="preserve">Ocena zgodności projektów współfinansowanych z EFS z zasadą równości szans kobiet i mężczyzn odbywa się na podstawie tzw. „standardu minimum” opisanego w </w:t>
      </w:r>
      <w:r w:rsidRPr="005A276B">
        <w:rPr>
          <w:rFonts w:asciiTheme="minorHAnsi" w:hAnsiTheme="minorHAnsi"/>
          <w:i/>
          <w:color w:val="auto"/>
          <w:sz w:val="22"/>
          <w:szCs w:val="22"/>
        </w:rPr>
        <w:t>Wytycznych w zakresie realizacji zasady równości szans i niedyskryminacji, w tym dostępności dla osób z niepełnosprawnościami oraz zasady równości szans kobiet i mężczyzn w ramach funduszy unijnych na lata 2014-2020.</w:t>
      </w:r>
    </w:p>
    <w:p w:rsidR="005A276B" w:rsidRP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276B" w:rsidRP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A276B">
        <w:rPr>
          <w:rFonts w:asciiTheme="minorHAnsi" w:hAnsiTheme="minorHAnsi"/>
          <w:color w:val="auto"/>
          <w:sz w:val="22"/>
          <w:szCs w:val="22"/>
        </w:rPr>
        <w:t>We wniosku o dofinansowanie projektu powinna znaleźć się informacja, w jaki sposób planuje się zapewnić realizację zasady równości szans kobiet i mężczyzn w ramach procesu zarządzania projektem. Informacja ta powinna zawierać propozycję konkretnych działań, jakie zostaną podjęte w projekcie w ww. obszarze. Równościowe zarządzanie projektem polega przede wszystkim na zapewnieniu, że osoby zaangażowane w realizację projektu (np. personel odpowiedzialny za zarządzanie, personel merytoryczny, personel wykonawcy/partnera) posiadają odpowiednią wiedzę w zakresie obowiązku przestrzegania zasady równości szans kobiet i mężczyzn i potrafią stosować tę zasadę w codziennej pracy przy projekcie. Zdobycie niniejszej wiedzy może się odbyć poprzez poinformowanie</w:t>
      </w:r>
      <w:r>
        <w:rPr>
          <w:rFonts w:asciiTheme="minorHAnsi" w:hAnsiTheme="minorHAnsi"/>
          <w:color w:val="auto"/>
          <w:sz w:val="22"/>
          <w:szCs w:val="22"/>
        </w:rPr>
        <w:t xml:space="preserve"> np. w formie spotkania bądź cyklicznych spotkań zespołu zarządzającego/ personelu projektu/</w:t>
      </w:r>
      <w:r w:rsidRPr="005A276B">
        <w:rPr>
          <w:rFonts w:asciiTheme="minorHAnsi" w:hAnsiTheme="minorHAnsi"/>
          <w:color w:val="auto"/>
          <w:sz w:val="22"/>
          <w:szCs w:val="22"/>
        </w:rPr>
        <w:t xml:space="preserve">osób zaangażowanych w realizację projektu na temat możliwości i sposobów zastosowania zasady równości szans kobiet i mężczyzn w odniesieniu do problematyki tego konkretnego projektu, a także do wykonywanych przez zespół projektowy obowiązków związanych z prowadzeniem projektu. </w:t>
      </w:r>
    </w:p>
    <w:p w:rsid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A276B" w:rsidRP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5A276B">
        <w:rPr>
          <w:rFonts w:asciiTheme="minorHAnsi" w:hAnsiTheme="minorHAnsi"/>
          <w:color w:val="auto"/>
          <w:sz w:val="22"/>
          <w:szCs w:val="22"/>
          <w:u w:val="single"/>
        </w:rPr>
        <w:t>Działaniem podjętym na rzecz równościowego zarządzania może być również np.:</w:t>
      </w:r>
    </w:p>
    <w:p w:rsidR="005A276B" w:rsidRDefault="005A276B" w:rsidP="005A27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A276B">
        <w:rPr>
          <w:rFonts w:asciiTheme="minorHAnsi" w:hAnsiTheme="minorHAnsi"/>
          <w:color w:val="auto"/>
          <w:sz w:val="22"/>
          <w:szCs w:val="22"/>
        </w:rPr>
        <w:t>włączenie do projektu (np. jako konsultantów, doradców) osób lub organizacji posiadających udokumentowaną wiedzę i doświadczenie w prowadzeniu działań z zachowaniem zasady r</w:t>
      </w:r>
      <w:r>
        <w:rPr>
          <w:rFonts w:asciiTheme="minorHAnsi" w:hAnsiTheme="minorHAnsi"/>
          <w:color w:val="auto"/>
          <w:sz w:val="22"/>
          <w:szCs w:val="22"/>
        </w:rPr>
        <w:t>ówności szans kobiet i mężczyzn;</w:t>
      </w:r>
    </w:p>
    <w:p w:rsidR="005A276B" w:rsidRDefault="00AA3903" w:rsidP="005A27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powołanie członkowi zespołu zarządzającego </w:t>
      </w:r>
      <w:r w:rsidR="005A276B">
        <w:rPr>
          <w:rFonts w:asciiTheme="minorHAnsi" w:hAnsiTheme="minorHAnsi"/>
          <w:color w:val="auto"/>
          <w:sz w:val="22"/>
          <w:szCs w:val="22"/>
        </w:rPr>
        <w:t xml:space="preserve"> funkcji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276B">
        <w:rPr>
          <w:rFonts w:asciiTheme="minorHAnsi" w:hAnsiTheme="minorHAnsi"/>
          <w:color w:val="auto"/>
          <w:sz w:val="22"/>
          <w:szCs w:val="22"/>
        </w:rPr>
        <w:t xml:space="preserve"> koordynatora ds. równości szans</w:t>
      </w:r>
      <w:r>
        <w:rPr>
          <w:rFonts w:asciiTheme="minorHAnsi" w:hAnsiTheme="minorHAnsi"/>
          <w:color w:val="auto"/>
          <w:sz w:val="22"/>
          <w:szCs w:val="22"/>
        </w:rPr>
        <w:t xml:space="preserve"> kobiet i mężczyzn, którego dodatkowym zadaniem i odpowiedzialnością będzie bieżący nadzór nad przestrzeganiem zasady równości K i M w zespole, konsultowanie, doradzanie i monitorowanie realizowania tej zasady przez zespół podczas realizacji projektu itp.</w:t>
      </w:r>
    </w:p>
    <w:p w:rsidR="005A276B" w:rsidRPr="005A276B" w:rsidRDefault="005A276B" w:rsidP="005A27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A276B">
        <w:rPr>
          <w:rFonts w:asciiTheme="minorHAnsi" w:hAnsiTheme="minorHAnsi"/>
          <w:color w:val="auto"/>
          <w:sz w:val="22"/>
          <w:szCs w:val="22"/>
        </w:rPr>
        <w:t>zapewnienie takiej organizacji pracy zespołu projektowego, która umożliwia godzenie życia zawodowego z prywatnym (np. organizacja pracy uwzględniająca elastyczne formy zatrudnienia lub godziny pracy – o ile jest to uzasadnione potrzebami w ramach projektu). Należy jednak tutaj zwrócić uwagę, że zawieranie umów na zlecenie lub o dzieło nie zawsze oznacza stosowanie rozwiązań z zakresu godzenia życia zawodowego z prywatnym. Jeżeli we wniosku o dofinansowanie projektu pojawia się sformułowanie, że zespołowi projektowemu zostaną zagwarantowane elastyczne formy pracy, należy wskazać dokładnie jakie działania zostaną podjęte w tym zakresie.</w:t>
      </w:r>
    </w:p>
    <w:p w:rsidR="005A276B" w:rsidRPr="005A276B" w:rsidRDefault="005A276B" w:rsidP="005A276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276B" w:rsidRPr="005A276B" w:rsidRDefault="005A276B" w:rsidP="005A27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A276B">
        <w:rPr>
          <w:rFonts w:asciiTheme="minorHAnsi" w:hAnsiTheme="minorHAnsi"/>
          <w:color w:val="auto"/>
          <w:sz w:val="22"/>
          <w:szCs w:val="22"/>
        </w:rPr>
        <w:t>Równościowe zarządzanie projektem nie polega jednak na zatrudnieniu do obsługi projektu 50% mężczyzn i 50% kobiet, ani na zwykłej deklaracji, iż projekt będzie zarządzany równościowo. Stosowanie kryterium płci w procesie rekrutacji pracowników jest niezgodne z prawem pracy, a stosowanie polityki równych wynagrodzeń dla kobiet i mężczyzn za jednakową pracę lub pracę o jednakowej wartości jest obowiązkiem wynikającym z prawa pracy, nie zaś zasady horyzontalnej. Dlatego też zróżnicowanie zespołu projektowego ze względu na płeć zalecane jest tam, gdzie tworzą się zespoły (partnerstwa, komitety, rady, komisje</w:t>
      </w:r>
      <w:r w:rsidR="00AA3903">
        <w:rPr>
          <w:rFonts w:asciiTheme="minorHAnsi" w:hAnsiTheme="minorHAnsi"/>
          <w:color w:val="auto"/>
          <w:sz w:val="22"/>
          <w:szCs w:val="22"/>
        </w:rPr>
        <w:t>, grupy robocze, grupy sterujące</w:t>
      </w:r>
      <w:r w:rsidRPr="005A276B">
        <w:rPr>
          <w:rFonts w:asciiTheme="minorHAnsi" w:hAnsiTheme="minorHAnsi"/>
          <w:color w:val="auto"/>
          <w:sz w:val="22"/>
          <w:szCs w:val="22"/>
        </w:rPr>
        <w:t xml:space="preserve"> itp.) podejmujące </w:t>
      </w:r>
      <w:r w:rsidRPr="005A276B">
        <w:rPr>
          <w:rFonts w:asciiTheme="minorHAnsi" w:hAnsiTheme="minorHAnsi"/>
          <w:color w:val="auto"/>
          <w:sz w:val="22"/>
          <w:szCs w:val="22"/>
        </w:rPr>
        <w:lastRenderedPageBreak/>
        <w:t xml:space="preserve">decyzje w projekcie lub mające wpływ na jego przebieg. </w:t>
      </w:r>
      <w:r w:rsidR="00AA3903">
        <w:rPr>
          <w:rFonts w:asciiTheme="minorHAnsi" w:hAnsiTheme="minorHAnsi"/>
          <w:color w:val="auto"/>
          <w:sz w:val="22"/>
          <w:szCs w:val="22"/>
        </w:rPr>
        <w:t xml:space="preserve">Może mieć to zastosowanie w szczególności w projektach partnerskich, w których przewidziano powołanie zespołu koordynującego lub grupy sterującej składającej się z przedstawicieli partnerów. </w:t>
      </w:r>
      <w:r w:rsidRPr="005A276B">
        <w:rPr>
          <w:rFonts w:asciiTheme="minorHAnsi" w:hAnsiTheme="minorHAnsi"/>
          <w:color w:val="auto"/>
          <w:sz w:val="22"/>
          <w:szCs w:val="22"/>
        </w:rPr>
        <w:t>Warto wtedy dopilnować (o ile pozwala na to wiedza i doświadczenie poszczególnych kandydatów oraz obowiązujące uregulowania prawne), aby nie powstawały wyłącznie zespoły jednorodne płciowo.</w:t>
      </w:r>
    </w:p>
    <w:p w:rsidR="005A276B" w:rsidRPr="00AA3903" w:rsidRDefault="005A276B" w:rsidP="00AA3903">
      <w:pPr>
        <w:jc w:val="both"/>
        <w:rPr>
          <w:b/>
        </w:rPr>
      </w:pPr>
    </w:p>
    <w:p w:rsidR="005E18A9" w:rsidRPr="005A276B" w:rsidRDefault="006A47F6" w:rsidP="00FA1B69">
      <w:pPr>
        <w:pStyle w:val="Akapitzlist"/>
        <w:numPr>
          <w:ilvl w:val="0"/>
          <w:numId w:val="1"/>
        </w:numPr>
        <w:jc w:val="both"/>
        <w:rPr>
          <w:b/>
        </w:rPr>
      </w:pPr>
      <w:r w:rsidRPr="005A276B">
        <w:rPr>
          <w:b/>
        </w:rPr>
        <w:t xml:space="preserve">Proszę o podanie przykładów zastosowania zasady równości szans kobiet i mężczyzn w ramach projektów edukacyjnych. </w:t>
      </w:r>
    </w:p>
    <w:p w:rsidR="00AA3903" w:rsidRPr="00AC388B" w:rsidRDefault="00AA3903" w:rsidP="00AA3903">
      <w:pPr>
        <w:pStyle w:val="Tekstpodstawowy"/>
        <w:spacing w:line="276" w:lineRule="auto"/>
        <w:rPr>
          <w:rFonts w:ascii="Calibri" w:eastAsia="Times New Roman" w:hAnsi="Calibri" w:cs="Calibri"/>
          <w:sz w:val="22"/>
          <w:szCs w:val="22"/>
          <w:u w:val="single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u w:val="single"/>
          <w:lang w:eastAsia="en-US"/>
        </w:rPr>
        <w:t xml:space="preserve">Przykłady działań służących uwzględnieniu zasady równości szans kobiet i mężczyzn w </w:t>
      </w:r>
      <w:r w:rsidR="00AC388B" w:rsidRPr="00AC388B">
        <w:rPr>
          <w:rFonts w:ascii="Calibri" w:eastAsia="Times New Roman" w:hAnsi="Calibri" w:cs="Calibri"/>
          <w:sz w:val="22"/>
          <w:szCs w:val="22"/>
          <w:u w:val="single"/>
          <w:lang w:eastAsia="en-US"/>
        </w:rPr>
        <w:t>ramach projektów edukacyjnych</w:t>
      </w:r>
      <w:r w:rsidRPr="00AC388B">
        <w:rPr>
          <w:rFonts w:ascii="Calibri" w:eastAsia="Times New Roman" w:hAnsi="Calibri" w:cs="Calibri"/>
          <w:sz w:val="22"/>
          <w:szCs w:val="22"/>
          <w:u w:val="single"/>
          <w:lang w:eastAsia="en-US"/>
        </w:rPr>
        <w:t>: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przygotowanie kadry pedagogicznej poprzez: warsztaty przygotowujące do prowadzenia zajęć dot. przemocy rówieśniczej, rozmowy na temat trudnych emocji i konfliktów; warsztaty dot. sposobu prowadzenia zajęć oraz włączania tematyki równości płci do lekcji i zajęć;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różnorodne formy edukacyjne (lekcje, konkursy, prezentacje, filmy) pokazujące, czym są stereotypy i w jak krzywdzący sposób mogą działać na kobiety i mężczyzn w życiu prywatnym i społecznym (np. lekcje oraz rozmowy z uczennicami i uczniami na temat postaci kobiecych i męskich występujących w omawianych lekturach, a także szeroko pojętej literaturze pięknej,  cechy ich charakteru, działania jakie podejmują, wybory przed jakimi stają, relacje między kobietami i mężczyznami, zakończone dyskusją i refleksją), realizacja zajęć, które nie utrwalają stereotypów na temat kobiet i mężczyzn, dziewcząt i chłopców, lecz je przełamują (np. włączenie w równym stopniu dziewcząt i chłopców do każdego rodzaju zajęć: komputery, matematyka, języki obce, zajęcia sportowe, prace techniczne, podstawy gotowania, przedmioty humanistyczne). Warto zachęcać też dziewczęta i chłopców do podejmowania obowiązków i zadań, które od dziewcząt będą wymagały siły fizycznej i odwagi, od chłopców zaś odpowiedzialności i empatii;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zajęcia, podczas których prezentowane są ważne w życiu społecznym, politycznym i gospodarczym kobiety;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organizacja spotkania dzieci i młodzieży z przedstawicielami różnych zawodów (np. policjantami, lekarzami) tak, aby poznawały w danej roli zarówno kobiety, jak i mężczyzn;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zajęcia pokazujące zróżnicowanie społeczne i jednocześnie promujących różnorodność jako wartość, a szacunek wobec innych i równe traktowanie jako podstawowe zasady (np. dodatkowa lekcja czy warsztat na temat stereotypów, pokazująca, że dziewczęta mogą zostać uczonymi i być bardzo dobre w matematyce, fizyce itd., chłopcy zaś być opiekunami, czy nauczycielami;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 xml:space="preserve">zajęcia poświęcone zagadnieniom równości płci i rozwiązywaniu problemów bez użycia przemocy (np. przekazujące umiejętność radzenia sobie z trudnymi uczuciami, dyskryminacją, wykluczeniem, uprzedzeniami, szykanowaniem w relacjach z rówieśnikami/rówieśnicami); 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zajęcia dotyczące języka, uwrażliwiające na formy męskie i żeńskie nazw zawodów; wykorzystujące przysłowia odnoszące się do kobiet i mężczyzn;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t>zaangażowanie rodziców obu płci w życie szkoły, ze szczególnym zwróceniem uwagi i wsparciem dla zaangażowania ojców i opiekunów; spotkania i warsztaty dla matek/opiekunek i ojców/opiekunów dot. stereotypów i potrzeby zwrócenia uwagi na osłabianie istniejących barier i stereotypów w wychowaniu dzieci;</w:t>
      </w:r>
    </w:p>
    <w:p w:rsidR="00AA3903" w:rsidRPr="00AC388B" w:rsidRDefault="00AA3903" w:rsidP="00AC388B">
      <w:pPr>
        <w:pStyle w:val="Tekstpodstawowy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  <w:r w:rsidRPr="00AC388B">
        <w:rPr>
          <w:rFonts w:ascii="Calibri" w:eastAsia="Times New Roman" w:hAnsi="Calibri" w:cs="Calibri"/>
          <w:sz w:val="22"/>
          <w:szCs w:val="22"/>
          <w:lang w:eastAsia="en-US"/>
        </w:rPr>
        <w:lastRenderedPageBreak/>
        <w:t>zorganizowanie pracy szkoły w sposób odpowiadający na potrzeby pracujących rodziców i umożliwiający godzenie życia zawodowego z prywatnym (szczególnie istotne w przypadku rodziców samotnie wychowujących dzieci, a są to przede wszystkim kobiety).</w:t>
      </w:r>
    </w:p>
    <w:p w:rsidR="00AC388B" w:rsidRDefault="00AC388B" w:rsidP="00340892">
      <w:pPr>
        <w:rPr>
          <w:rFonts w:cs="Times New Roman"/>
          <w:u w:val="single"/>
          <w:lang w:eastAsia="pl-PL"/>
        </w:rPr>
      </w:pPr>
    </w:p>
    <w:p w:rsidR="00340892" w:rsidRPr="005A276B" w:rsidRDefault="00340892" w:rsidP="00340892">
      <w:pPr>
        <w:rPr>
          <w:color w:val="1F497D"/>
        </w:rPr>
      </w:pPr>
      <w:r w:rsidRPr="005A276B">
        <w:t>Zachęcamy do zapoznania się z prezentacją „</w:t>
      </w:r>
      <w:r w:rsidRPr="005A276B">
        <w:rPr>
          <w:i/>
        </w:rPr>
        <w:t>26.01.2016 Prezentacja zasada równości szans kobiet i mężczyzn</w:t>
      </w:r>
      <w:r w:rsidRPr="005A276B">
        <w:t xml:space="preserve">”, która była przedstawiana w ramach poprzednich spotkań informacyjnych dla konkursów z 2016 r.: </w:t>
      </w:r>
      <w:hyperlink r:id="rId6" w:history="1">
        <w:r w:rsidRPr="005A276B">
          <w:rPr>
            <w:rStyle w:val="Hipercze"/>
          </w:rPr>
          <w:t>http://rpo.dolnyslask.pl/spotkanie-informacyjne-dotyczace-dzialania-10-2-zapewnienie-rownego-dostepu-do-wysokiej-jakosci-edukacji-podstawowej-gimnazjalnej-i-ponadgimnazjalnej/</w:t>
        </w:r>
      </w:hyperlink>
      <w:r w:rsidRPr="005A276B">
        <w:rPr>
          <w:color w:val="1F497D"/>
        </w:rPr>
        <w:t xml:space="preserve"> </w:t>
      </w:r>
    </w:p>
    <w:p w:rsidR="00340892" w:rsidRPr="005A276B" w:rsidRDefault="00340892" w:rsidP="00340892"/>
    <w:p w:rsidR="006A47F6" w:rsidRPr="005A276B" w:rsidRDefault="006A47F6" w:rsidP="00FA1B69">
      <w:pPr>
        <w:pStyle w:val="Akapitzlist"/>
        <w:numPr>
          <w:ilvl w:val="0"/>
          <w:numId w:val="1"/>
        </w:numPr>
        <w:jc w:val="both"/>
        <w:rPr>
          <w:b/>
        </w:rPr>
      </w:pPr>
      <w:r w:rsidRPr="005A276B">
        <w:rPr>
          <w:b/>
        </w:rPr>
        <w:t>W jaki sposób we wniosku o dofinansowanie należy zapewnić, że sfinansowany w ramach projektów zakup pomocy dydaktycznych oraz narzędzi TIK niezbędnych do realizacji programów nauczania w szkołach lub pla</w:t>
      </w:r>
      <w:r w:rsidR="00FA1B69" w:rsidRPr="005A276B">
        <w:rPr>
          <w:b/>
        </w:rPr>
        <w:t>cówkach systemu oświaty, w tym odpowiednia infrastruktura sieciowo-usługowa będzie uwzględniał aspekt uniwersalnego projektowania/dostępności dla osób z niepełnosprawnościami?</w:t>
      </w:r>
    </w:p>
    <w:p w:rsidR="00FA1B69" w:rsidRPr="005A276B" w:rsidRDefault="00FA1B69" w:rsidP="00FA1B69">
      <w:pPr>
        <w:pStyle w:val="Akapitzlist"/>
      </w:pPr>
    </w:p>
    <w:p w:rsidR="00FA1B69" w:rsidRPr="005A276B" w:rsidRDefault="00FA1B69" w:rsidP="00FA1B69">
      <w:pPr>
        <w:jc w:val="both"/>
      </w:pPr>
      <w:r w:rsidRPr="005A276B">
        <w:t xml:space="preserve">IOK rekomenduje, aby w treści wniosku o dofinansowanie </w:t>
      </w:r>
      <w:r w:rsidR="00666877" w:rsidRPr="005A276B">
        <w:t xml:space="preserve">zawrzeć </w:t>
      </w:r>
      <w:r w:rsidRPr="005A276B">
        <w:t>deklarację o zakupie powyższego wyposażenia/doposażenia z uwzględnieniem aspektu uniwersalnego projektowania/dostępności dla osób z niepełnosprawnościami. We wniosku o dofinansowanie nie trzeba opisywać w jaki sposób Wnioskodawca zamierza to zapewnić (np. j</w:t>
      </w:r>
      <w:r w:rsidR="00BD5751" w:rsidRPr="005A276B">
        <w:t>akie wymogi zastosuje w ramach zamówień</w:t>
      </w:r>
      <w:r w:rsidRPr="005A276B">
        <w:t xml:space="preserve">). Faktyczny sposób wdrożenia tej deklaracji zostanie zweryfikowany przez IOK na etapie wdrażania projektu. </w:t>
      </w:r>
    </w:p>
    <w:p w:rsidR="00C824DD" w:rsidRPr="005A276B" w:rsidRDefault="00FA1B69" w:rsidP="00FA1B69">
      <w:pPr>
        <w:jc w:val="both"/>
      </w:pPr>
      <w:r w:rsidRPr="005A276B">
        <w:t>IOK podkreśla, że jeżeli na etapie sporządzania wniosku o dofinansowanie</w:t>
      </w:r>
      <w:r w:rsidR="00BD5751" w:rsidRPr="005A276B">
        <w:t xml:space="preserve"> Wnioskodawca wie, że jego grupę docelową będą</w:t>
      </w:r>
      <w:r w:rsidRPr="005A276B">
        <w:t xml:space="preserve"> w całości bądź</w:t>
      </w:r>
      <w:r w:rsidR="00BD5751" w:rsidRPr="005A276B">
        <w:t xml:space="preserve"> części</w:t>
      </w:r>
      <w:r w:rsidRPr="005A276B">
        <w:t xml:space="preserve"> stanowić osoby z niepełnosprawnościami lub dzieci/uczn</w:t>
      </w:r>
      <w:r w:rsidR="00C824DD" w:rsidRPr="005A276B">
        <w:t xml:space="preserve">iowie z niepełnosprawnościami, a tym samym </w:t>
      </w:r>
      <w:r w:rsidRPr="005A276B">
        <w:t xml:space="preserve">jakie wymagania powinien mieć </w:t>
      </w:r>
      <w:proofErr w:type="spellStart"/>
      <w:r w:rsidRPr="005A276B">
        <w:t>zakupowany</w:t>
      </w:r>
      <w:proofErr w:type="spellEnd"/>
      <w:r w:rsidRPr="005A276B">
        <w:t xml:space="preserve"> sprzęt (np.</w:t>
      </w:r>
      <w:r w:rsidR="00C824DD" w:rsidRPr="005A276B">
        <w:t xml:space="preserve"> komputery), wówczas powinien to </w:t>
      </w:r>
      <w:r w:rsidRPr="005A276B">
        <w:t xml:space="preserve">opisać w </w:t>
      </w:r>
      <w:r w:rsidR="00AC388B">
        <w:t xml:space="preserve">uzasadnieniu do </w:t>
      </w:r>
      <w:r w:rsidRPr="005A276B">
        <w:t xml:space="preserve">budżetu projektu. </w:t>
      </w:r>
    </w:p>
    <w:p w:rsidR="00FA1B69" w:rsidRDefault="00FA1B69" w:rsidP="00FA1B69">
      <w:pPr>
        <w:jc w:val="both"/>
      </w:pPr>
      <w:r w:rsidRPr="005A276B">
        <w:t xml:space="preserve">Przykład: Wnioskodawca zamierza kupić 10 komputerów, ale wie, że jedno dziecko z niepełnosprawnością będzie potrzebowało specjalnego oprogramowania, aby mogło ono na równi z pozostałymi dziećmi uczestniczyć w projekcie (np. program do odczytywania tekstu). Wówczas w budżecie powinien </w:t>
      </w:r>
      <w:r w:rsidR="00BD5751" w:rsidRPr="005A276B">
        <w:t>przewidzieć</w:t>
      </w:r>
      <w:r w:rsidRPr="005A276B">
        <w:t xml:space="preserve"> zakup 9 komputerów standardowych oraz 1 ze specjalnym oprogramowaniem. Ponieważ Oceniający zwróci uwagę na </w:t>
      </w:r>
      <w:r w:rsidR="00BD5751" w:rsidRPr="005A276B">
        <w:t xml:space="preserve">zróżnicowany koszt zakupów, w opisie wydatku powinien znaleźć się krótki opis uzasadniający zakup właśnie takiego komputera z oprogramowaniem. </w:t>
      </w:r>
    </w:p>
    <w:p w:rsidR="002657ED" w:rsidRDefault="002657ED" w:rsidP="00FA1B69">
      <w:pPr>
        <w:jc w:val="both"/>
      </w:pPr>
    </w:p>
    <w:p w:rsidR="00AC388B" w:rsidRPr="002657ED" w:rsidRDefault="00AC388B" w:rsidP="002657ED">
      <w:pPr>
        <w:pStyle w:val="Akapitzlist"/>
        <w:numPr>
          <w:ilvl w:val="0"/>
          <w:numId w:val="1"/>
        </w:numPr>
        <w:jc w:val="both"/>
        <w:rPr>
          <w:b/>
        </w:rPr>
      </w:pPr>
      <w:r w:rsidRPr="002657ED">
        <w:rPr>
          <w:b/>
        </w:rPr>
        <w:t>Mam pytanie dotyczące Kryterium premiującego nr 1 "Czy projekt jest realizowany we współpracy lub partnerstwie szkół z pracodawcami, instytucjami rynku pracy lub organizacjami pozarządowymi?"</w:t>
      </w:r>
      <w:r w:rsidR="002657ED" w:rsidRPr="002657ED">
        <w:rPr>
          <w:b/>
        </w:rPr>
        <w:t xml:space="preserve"> </w:t>
      </w:r>
      <w:r w:rsidRPr="002657ED">
        <w:rPr>
          <w:b/>
        </w:rPr>
        <w:t>Premiowane będą szczególnie projekty, w których wykazano stałą współpracę szkoły w zakresie szeroko pojętej edukacji. Kryterium zostanie zweryfikowane na podstawie zapisów wniosku o dofinansowanie projektu. W jaki sposób gmina powinna udowodnić współpracę z pracodawcami lub instytucjami rynku pracy?</w:t>
      </w:r>
    </w:p>
    <w:p w:rsidR="00AC388B" w:rsidRDefault="00AC388B" w:rsidP="00AC388B">
      <w:pPr>
        <w:spacing w:after="240"/>
        <w:jc w:val="both"/>
      </w:pPr>
      <w:r>
        <w:t xml:space="preserve">Wnioskodawca w treści wniosku o dofinansowanie powinien wskazać: nazwę współpracującego podmiotu, na czym polega współpraca i w jaki sposób będzie  realizowana w ramach projektu np. w jakie zadania będzie zaangażowany podmiot współpracujący, jaką wartość dodaną dla projektu wniesie zaangażowanie podmiotu współpracującego. Należy podać takie informacje, na podstawie </w:t>
      </w:r>
      <w:r>
        <w:lastRenderedPageBreak/>
        <w:t>których oceniający będą w stanie stwierdzić, że współpraca ma charakter stały, jest uzasadniona i w ramach projektu przyczyniając się do jego efektywności w osiąganiu celów projektu.</w:t>
      </w:r>
    </w:p>
    <w:p w:rsidR="00AC388B" w:rsidRDefault="00AC388B" w:rsidP="00AC388B">
      <w:pPr>
        <w:spacing w:after="240"/>
        <w:jc w:val="both"/>
      </w:pPr>
      <w:r>
        <w:t>Weryfikacja informacji zawartych we wniosku o dofinansowanie może podlegać kontroli w trakcie realizacji projektu.</w:t>
      </w:r>
    </w:p>
    <w:p w:rsidR="00AC388B" w:rsidRDefault="00AC388B" w:rsidP="00AC388B"/>
    <w:p w:rsidR="00AC388B" w:rsidRPr="005A276B" w:rsidRDefault="00AC388B" w:rsidP="002657ED">
      <w:pPr>
        <w:pStyle w:val="Akapitzlist"/>
        <w:jc w:val="both"/>
      </w:pPr>
    </w:p>
    <w:sectPr w:rsidR="00AC388B" w:rsidRPr="005A276B" w:rsidSect="001E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45"/>
    <w:multiLevelType w:val="hybridMultilevel"/>
    <w:tmpl w:val="AE48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F06"/>
    <w:multiLevelType w:val="hybridMultilevel"/>
    <w:tmpl w:val="3828C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12134"/>
    <w:multiLevelType w:val="hybridMultilevel"/>
    <w:tmpl w:val="94421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F6"/>
    <w:rsid w:val="001E4648"/>
    <w:rsid w:val="002657ED"/>
    <w:rsid w:val="00295076"/>
    <w:rsid w:val="00340892"/>
    <w:rsid w:val="005A276B"/>
    <w:rsid w:val="005E18A9"/>
    <w:rsid w:val="00666877"/>
    <w:rsid w:val="006A47F6"/>
    <w:rsid w:val="00757F24"/>
    <w:rsid w:val="009C0934"/>
    <w:rsid w:val="00AA3903"/>
    <w:rsid w:val="00AC388B"/>
    <w:rsid w:val="00BD5751"/>
    <w:rsid w:val="00C824DD"/>
    <w:rsid w:val="00E2601D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7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89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89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89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89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7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7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89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89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89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89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7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dolnyslask.pl/spotkanie-informacyjne-dotyczace-dzialania-10-2-zapewnienie-rownego-dostepu-do-wysokiej-jakosci-edukacji-podstawowej-gimnazjalnej-i-ponadgimnazjaln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Monika Winnicka</cp:lastModifiedBy>
  <cp:revision>2</cp:revision>
  <dcterms:created xsi:type="dcterms:W3CDTF">2017-02-16T09:02:00Z</dcterms:created>
  <dcterms:modified xsi:type="dcterms:W3CDTF">2017-02-16T09:02:00Z</dcterms:modified>
</cp:coreProperties>
</file>