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034" w:rsidRPr="00D11034" w:rsidRDefault="00D11034" w:rsidP="002D27EE">
      <w:pPr>
        <w:pStyle w:val="Akapitzlist"/>
        <w:numPr>
          <w:ilvl w:val="0"/>
          <w:numId w:val="1"/>
        </w:numPr>
        <w:jc w:val="both"/>
        <w:rPr>
          <w:b/>
          <w:bCs/>
          <w:sz w:val="23"/>
          <w:szCs w:val="23"/>
        </w:rPr>
      </w:pPr>
      <w:bookmarkStart w:id="0" w:name="_GoBack"/>
      <w:bookmarkEnd w:id="0"/>
      <w:r w:rsidRPr="00D11034">
        <w:rPr>
          <w:b/>
          <w:bCs/>
          <w:sz w:val="23"/>
          <w:szCs w:val="23"/>
        </w:rPr>
        <w:t xml:space="preserve">Czy wniosek może obejmować również szkoły podstawowe i gimnazjalne, które uzyskały w 2016 r. z egzaminów zewnętrznych średnią powyżej średniej wojewódzkiej czyli nie osiągają najsłabszych wyników edukacyjnych w skali regionu (zgodnie </w:t>
      </w:r>
      <w:r w:rsidR="002D27EE">
        <w:rPr>
          <w:b/>
          <w:bCs/>
          <w:sz w:val="23"/>
          <w:szCs w:val="23"/>
        </w:rPr>
        <w:t xml:space="preserve">               </w:t>
      </w:r>
      <w:r w:rsidRPr="00D11034">
        <w:rPr>
          <w:b/>
          <w:bCs/>
          <w:sz w:val="23"/>
          <w:szCs w:val="23"/>
        </w:rPr>
        <w:t>z kryterium formy wsparcia). Czy taki wniosek zostanie odrzucony czy wpłynie to tylko na wysokość punktacji i ocenę wniosku.</w:t>
      </w:r>
    </w:p>
    <w:p w:rsidR="00AC6C64" w:rsidRDefault="00AC6C64"/>
    <w:p w:rsidR="00D11034" w:rsidRDefault="00D11034" w:rsidP="002D27EE">
      <w:pPr>
        <w:jc w:val="both"/>
      </w:pPr>
      <w:r>
        <w:t xml:space="preserve">Zgodnie z kryterium dostępu nr 3 – kryterium formy wsparcia, projekt może być realizowany </w:t>
      </w:r>
      <w:r w:rsidR="002D27EE">
        <w:t xml:space="preserve">             </w:t>
      </w:r>
      <w:r>
        <w:t>w szkołach osiągających najsłabsze wyniki edukacyjne w skali regionu (bądź w przypadku konkursów w ramach mechanizmów ZIT - osiągających najsłabsze wyniki edukacyjne w skali ZIT). Zatem wsparciem mogą zostać objęte tylko te szkoły, których średni wynik procentowy ogółem jest niższy od średniej dla regionu bądź średniej dla ZIT. Wniosek niespełniający tego kryterium zostanie odrzucony. Nie ma również możliwości objęcia wsparciem szkół, które nie posiadają wyników egzaminów zewnętrznych z roku 2016 np. ze względu na fakt bycia szkołą nowoutworzoną lub posiadającą tylko klasy I-III szkoły podstawowej.</w:t>
      </w:r>
    </w:p>
    <w:p w:rsidR="00D11034" w:rsidRDefault="00D11034" w:rsidP="002D27EE">
      <w:pPr>
        <w:jc w:val="both"/>
      </w:pPr>
    </w:p>
    <w:p w:rsidR="00D11034" w:rsidRDefault="00D11034" w:rsidP="002D27EE">
      <w:pPr>
        <w:jc w:val="both"/>
      </w:pPr>
      <w:r>
        <w:t>Proszę zwrócić uwagę, że zgodnie z Załącznikiem nr 5 do Regulaminu konkursu, powyższe kryterium nie dotyczy:</w:t>
      </w:r>
    </w:p>
    <w:p w:rsidR="00D11034" w:rsidRDefault="00D11034" w:rsidP="002D27EE">
      <w:pPr>
        <w:jc w:val="both"/>
      </w:pPr>
      <w:r>
        <w:t>- szkół specjalnych,</w:t>
      </w:r>
    </w:p>
    <w:p w:rsidR="00D11034" w:rsidRDefault="00D11034" w:rsidP="002D27EE">
      <w:pPr>
        <w:jc w:val="both"/>
      </w:pPr>
      <w:r>
        <w:t>-  młodzieżowych ośrodków wychowawczych, młodzieżowych ośrodków socjoterapii, specjalnych ośrodków szkolno-wychowawczych oraz specjalnych ośrodków wychowawczych dla dzieci i młodzieży wymagających stosowania specjalnej organizacji nauki, metod pracy i wychowania,</w:t>
      </w:r>
    </w:p>
    <w:p w:rsidR="00D11034" w:rsidRDefault="00D11034" w:rsidP="002D27EE">
      <w:pPr>
        <w:jc w:val="both"/>
      </w:pPr>
      <w:r>
        <w:t>- ośrodków umożliwiających dzieciom i młodzieży, o których mowa w art. 16 ust. 7 Ustawy o systemie oświaty, a także dzieciom i młodzieży z upośledzeniem umysłowym z niepełnosprawnościami sprzężonymi, realizację odpowiednio obowiązku, o którym mowa w art. 14 ust. 3, obowiązku szkolnego i obowiązku nauki.</w:t>
      </w:r>
    </w:p>
    <w:p w:rsidR="00D11034" w:rsidRDefault="00D11034" w:rsidP="002D27EE">
      <w:pPr>
        <w:jc w:val="both"/>
      </w:pPr>
    </w:p>
    <w:p w:rsidR="00D11034" w:rsidRPr="002D27EE" w:rsidRDefault="002D27EE" w:rsidP="002D27EE">
      <w:pPr>
        <w:pStyle w:val="Akapitzlist"/>
        <w:numPr>
          <w:ilvl w:val="0"/>
          <w:numId w:val="1"/>
        </w:numPr>
        <w:jc w:val="both"/>
        <w:rPr>
          <w:b/>
        </w:rPr>
      </w:pPr>
      <w:r>
        <w:rPr>
          <w:b/>
        </w:rPr>
        <w:t>Czy projekt może</w:t>
      </w:r>
      <w:r w:rsidR="00D11034" w:rsidRPr="002D27EE">
        <w:rPr>
          <w:b/>
        </w:rPr>
        <w:t xml:space="preserve"> być skonstruowany w sposób przekrojowy w op</w:t>
      </w:r>
      <w:r w:rsidR="00436D48">
        <w:rPr>
          <w:b/>
        </w:rPr>
        <w:t>arciu o przenikające się typy (</w:t>
      </w:r>
      <w:r w:rsidR="00D11034" w:rsidRPr="002D27EE">
        <w:rPr>
          <w:b/>
        </w:rPr>
        <w:t>obszary, schematy) 10.2.A.-10.2.H., czy też projekty należy składać odrębnie dla każdego z pojedynczych schematów?</w:t>
      </w:r>
    </w:p>
    <w:p w:rsidR="00D11034" w:rsidRDefault="00D11034" w:rsidP="00D11034">
      <w:pPr>
        <w:ind w:left="360"/>
      </w:pPr>
    </w:p>
    <w:p w:rsidR="00D11034" w:rsidRDefault="00D11034" w:rsidP="002D27EE">
      <w:pPr>
        <w:jc w:val="both"/>
      </w:pPr>
      <w:r>
        <w:t xml:space="preserve">W ramach jednego wniosku o dofinansowanie można ująć kilka typów projektów, </w:t>
      </w:r>
      <w:r w:rsidR="00436D48">
        <w:t>a w ramach nich zaplanować różnorodne formy wsparcia</w:t>
      </w:r>
      <w:r>
        <w:t>. Należy mieć na uwadze, że potrzeba realizacji kilku typów</w:t>
      </w:r>
      <w:r w:rsidR="00436D48">
        <w:t xml:space="preserve"> projektów</w:t>
      </w:r>
      <w:r>
        <w:t xml:space="preserve"> w jednym projekcie </w:t>
      </w:r>
      <w:r w:rsidR="00436D48">
        <w:t xml:space="preserve">powinna </w:t>
      </w:r>
      <w:r>
        <w:t>wynika</w:t>
      </w:r>
      <w:r w:rsidR="00436D48">
        <w:t>ć</w:t>
      </w:r>
      <w:r>
        <w:t xml:space="preserve"> z diagnozy</w:t>
      </w:r>
      <w:r w:rsidR="00436D48">
        <w:t xml:space="preserve"> potrzeb edukacyjnych</w:t>
      </w:r>
      <w:r>
        <w:t xml:space="preserve"> przeprowadzonej przez </w:t>
      </w:r>
      <w:r w:rsidR="00436D48">
        <w:t>Wnioskodawcę</w:t>
      </w:r>
      <w:r>
        <w:t xml:space="preserve"> na potrzeby realizacji projektu. W takiej sytuacji konieczne jest również osiągnięcie wskaźników dla poszczególnych typów </w:t>
      </w:r>
      <w:r w:rsidR="00436D48">
        <w:t>projektów</w:t>
      </w:r>
      <w:r>
        <w:t xml:space="preserve">. </w:t>
      </w:r>
    </w:p>
    <w:p w:rsidR="00D11034" w:rsidRDefault="00D11034" w:rsidP="002D27EE">
      <w:pPr>
        <w:jc w:val="both"/>
      </w:pPr>
      <w:r>
        <w:t xml:space="preserve">Proszę również pamiętać o wymaganiach odnośnie realizacji poszczególnych typów projektów zawartych w </w:t>
      </w:r>
      <w:r>
        <w:rPr>
          <w:i/>
          <w:iCs/>
        </w:rPr>
        <w:t>Standardach realizacji wybranych form wsparcia</w:t>
      </w:r>
      <w:r>
        <w:t xml:space="preserve"> (Załącznik nr 4 do Regulaminu). M.in. zgodnie z jego zapisami, wsparcie skierowane do nauczycieli i pracowników pedagogicznych </w:t>
      </w:r>
      <w:r w:rsidR="002D27EE">
        <w:t xml:space="preserve">              </w:t>
      </w:r>
      <w:r>
        <w:t>w ramach schematów 10.2 G i 10.2 H może być realizowane jedynie jako wsparcie uzupełniające do działań skierowanych do uczniów, wsparcie w zakresie wyposażenia szkolnych pracowni również może być realizowane jedynie jako wsparcie uzupełniające, a typ projektu 10.2.C dotyczący pomocy stypendialnej nie może być realizowany jako samodzielny typ projektu.</w:t>
      </w:r>
    </w:p>
    <w:p w:rsidR="002D27EE" w:rsidRDefault="002D27EE" w:rsidP="002D27EE">
      <w:pPr>
        <w:jc w:val="both"/>
      </w:pPr>
    </w:p>
    <w:p w:rsidR="002D27EE" w:rsidRDefault="002D27EE" w:rsidP="002D27EE">
      <w:pPr>
        <w:jc w:val="both"/>
      </w:pPr>
    </w:p>
    <w:p w:rsidR="002D27EE" w:rsidRDefault="002D27EE" w:rsidP="002D27EE">
      <w:pPr>
        <w:jc w:val="both"/>
      </w:pPr>
    </w:p>
    <w:p w:rsidR="002D27EE" w:rsidRDefault="002D27EE" w:rsidP="002D27EE">
      <w:pPr>
        <w:jc w:val="both"/>
      </w:pPr>
    </w:p>
    <w:p w:rsidR="002D27EE" w:rsidRDefault="002D27EE" w:rsidP="002D27EE">
      <w:pPr>
        <w:jc w:val="both"/>
      </w:pPr>
    </w:p>
    <w:p w:rsidR="002D27EE" w:rsidRDefault="002D27EE" w:rsidP="002D27EE">
      <w:pPr>
        <w:jc w:val="both"/>
      </w:pPr>
    </w:p>
    <w:p w:rsidR="002D27EE" w:rsidRDefault="002D27EE" w:rsidP="002D27EE">
      <w:pPr>
        <w:jc w:val="both"/>
      </w:pPr>
    </w:p>
    <w:p w:rsidR="00D11034" w:rsidRDefault="00D11034" w:rsidP="00D11034">
      <w:pPr>
        <w:rPr>
          <w:b/>
          <w:bCs/>
        </w:rPr>
      </w:pPr>
    </w:p>
    <w:p w:rsidR="0026728F" w:rsidRPr="002D27EE" w:rsidRDefault="0026728F" w:rsidP="002D27EE">
      <w:pPr>
        <w:pStyle w:val="Akapitzlist"/>
        <w:numPr>
          <w:ilvl w:val="0"/>
          <w:numId w:val="1"/>
        </w:numPr>
        <w:jc w:val="both"/>
        <w:rPr>
          <w:b/>
        </w:rPr>
      </w:pPr>
      <w:r w:rsidRPr="002D27EE">
        <w:rPr>
          <w:b/>
        </w:rPr>
        <w:lastRenderedPageBreak/>
        <w:t>Piszę z zapytaniem o możliwość złożenia projektu prz</w:t>
      </w:r>
      <w:r w:rsidR="002D27EE" w:rsidRPr="002D27EE">
        <w:rPr>
          <w:b/>
        </w:rPr>
        <w:t xml:space="preserve">ez związek wyznaniowy, który </w:t>
      </w:r>
      <w:r w:rsidRPr="002D27EE">
        <w:rPr>
          <w:b/>
        </w:rPr>
        <w:t>posiada osobowość prawną. Uczestnikami projektu byliby uczniowie gimnazjum.</w:t>
      </w:r>
    </w:p>
    <w:p w:rsidR="0026728F" w:rsidRDefault="0026728F" w:rsidP="002D27EE">
      <w:pPr>
        <w:pStyle w:val="Akapitzlist"/>
        <w:jc w:val="both"/>
        <w:rPr>
          <w:b/>
        </w:rPr>
      </w:pPr>
      <w:r w:rsidRPr="002D27EE">
        <w:rPr>
          <w:b/>
        </w:rPr>
        <w:t>Uprzejmie proszę o informację, czy parafia może wnioskować w tym konkursie? Czy musi mieć partnera?</w:t>
      </w:r>
    </w:p>
    <w:p w:rsidR="002D27EE" w:rsidRPr="002D27EE" w:rsidRDefault="002D27EE" w:rsidP="002D27EE">
      <w:pPr>
        <w:pStyle w:val="Akapitzlist"/>
        <w:jc w:val="both"/>
        <w:rPr>
          <w:b/>
        </w:rPr>
      </w:pPr>
    </w:p>
    <w:p w:rsidR="0026728F" w:rsidRDefault="0026728F" w:rsidP="002D27EE">
      <w:pPr>
        <w:jc w:val="both"/>
      </w:pPr>
      <w:r>
        <w:t xml:space="preserve">Zgodnie z Regulaminem konkursu, podmiotami uprawnionymi </w:t>
      </w:r>
      <w:r w:rsidR="00436D48">
        <w:t>do składania wniosków w ramach D</w:t>
      </w:r>
      <w:r>
        <w:t>ziałania 10.2 są:</w:t>
      </w:r>
    </w:p>
    <w:p w:rsidR="0026728F" w:rsidRDefault="0026728F" w:rsidP="002D27EE">
      <w:pPr>
        <w:jc w:val="both"/>
      </w:pPr>
      <w:r>
        <w:t>- jednostki samorządu terytorialnego, ich związki i stowarzyszenia;</w:t>
      </w:r>
    </w:p>
    <w:p w:rsidR="0026728F" w:rsidRDefault="0026728F" w:rsidP="002D27EE">
      <w:pPr>
        <w:jc w:val="both"/>
      </w:pPr>
      <w:r>
        <w:t xml:space="preserve">- jednostki organizacyjne </w:t>
      </w:r>
      <w:proofErr w:type="spellStart"/>
      <w:r>
        <w:t>jst</w:t>
      </w:r>
      <w:proofErr w:type="spellEnd"/>
      <w:r>
        <w:t>;</w:t>
      </w:r>
    </w:p>
    <w:p w:rsidR="0026728F" w:rsidRDefault="0026728F" w:rsidP="002D27EE">
      <w:pPr>
        <w:jc w:val="both"/>
      </w:pPr>
      <w:r>
        <w:t>- organizacje pozarządowe;</w:t>
      </w:r>
    </w:p>
    <w:p w:rsidR="0026728F" w:rsidRDefault="0026728F" w:rsidP="002D27EE">
      <w:pPr>
        <w:jc w:val="both"/>
      </w:pPr>
      <w:r>
        <w:t>- organy prowadzące publiczne i niepubliczne szkoły podstawowe, gimnazjalne i ponadgimnazjalne.</w:t>
      </w:r>
    </w:p>
    <w:p w:rsidR="0026728F" w:rsidRDefault="0026728F" w:rsidP="002D27EE">
      <w:pPr>
        <w:jc w:val="both"/>
      </w:pPr>
    </w:p>
    <w:p w:rsidR="0026728F" w:rsidRDefault="0026728F" w:rsidP="002D27EE">
      <w:pPr>
        <w:jc w:val="both"/>
      </w:pPr>
      <w:r>
        <w:t xml:space="preserve">Związki wyznaniowe nie są wskazane jako potencjalny beneficjent mogący ubiegać się </w:t>
      </w:r>
      <w:r w:rsidR="002D27EE">
        <w:t xml:space="preserve">                         </w:t>
      </w:r>
      <w:r>
        <w:t xml:space="preserve">o dofinansowanie w przedmiotowym konkursie. Nie ma natomiast wykluczeń, by związek wyznaniowy był partnerem w projekcie. Partnerzy w projekcie to podmioty wnoszące do projektu zasoby ludzkie, organizacyjne, techniczne lub finansowe, realizujące projekt wspólnie </w:t>
      </w:r>
      <w:r w:rsidR="002D27EE">
        <w:t xml:space="preserve">                           </w:t>
      </w:r>
      <w:r>
        <w:t>z Wnioskodawcą. Mogą to być podmioty spoza wskazanego wyżej katalogu beneficjentów, nie mogą być natomiast wykluczone z możliw</w:t>
      </w:r>
      <w:r w:rsidR="00436D48">
        <w:t>ości pozyskania dofinansowania oraz nie mogą być podmiotami powiązanymi z Wnioskodawcą.</w:t>
      </w:r>
    </w:p>
    <w:p w:rsidR="0026728F" w:rsidRDefault="0026728F" w:rsidP="002D27EE">
      <w:pPr>
        <w:jc w:val="both"/>
      </w:pPr>
    </w:p>
    <w:p w:rsidR="002D27EE" w:rsidRDefault="0026728F" w:rsidP="002D27EE">
      <w:pPr>
        <w:jc w:val="both"/>
      </w:pPr>
      <w:r>
        <w:t xml:space="preserve">Jednocześnie pragnę przypomnieć, że zgodnie z kryterium dostępu nr 4 – kryterium formy wsparcia - Wnioskodawcą lub Partnerem musi być organ prowadzący szkołę/szkoły objętą/objęte wsparciem w ramach projektu. </w:t>
      </w:r>
    </w:p>
    <w:p w:rsidR="002D27EE" w:rsidRDefault="002D27EE" w:rsidP="002D27EE">
      <w:pPr>
        <w:jc w:val="both"/>
      </w:pPr>
    </w:p>
    <w:p w:rsidR="0026728F" w:rsidRPr="002D27EE" w:rsidRDefault="0026728F" w:rsidP="002D27EE">
      <w:pPr>
        <w:pStyle w:val="Akapitzlist"/>
        <w:numPr>
          <w:ilvl w:val="0"/>
          <w:numId w:val="1"/>
        </w:numPr>
        <w:jc w:val="both"/>
        <w:rPr>
          <w:b/>
        </w:rPr>
      </w:pPr>
      <w:r w:rsidRPr="002D27EE">
        <w:rPr>
          <w:b/>
        </w:rPr>
        <w:t>Zgodnie z zapisami na s. 7 Standardów realizacji wybranych form wsparcia w ramach Działania 10.2 RPO WD 2014-2020 dopuszcza się możliwość zakupu w ramach projektów,</w:t>
      </w:r>
      <w:r w:rsidR="002D27EE">
        <w:rPr>
          <w:b/>
        </w:rPr>
        <w:t xml:space="preserve">  </w:t>
      </w:r>
      <w:r w:rsidRPr="002D27EE">
        <w:rPr>
          <w:b/>
        </w:rPr>
        <w:t xml:space="preserve"> w szczególnie uzasadnionych przypadkach, komputerów stacjonarnych. W związku </w:t>
      </w:r>
      <w:r w:rsidR="002D27EE">
        <w:rPr>
          <w:b/>
        </w:rPr>
        <w:t xml:space="preserve">                  </w:t>
      </w:r>
      <w:r w:rsidRPr="002D27EE">
        <w:rPr>
          <w:b/>
        </w:rPr>
        <w:t>z powyższym, proszę o doprecyzowanie możliwości zakupu komputerów w projekcie.</w:t>
      </w:r>
    </w:p>
    <w:p w:rsidR="0026728F" w:rsidRDefault="0026728F" w:rsidP="0026728F">
      <w:pPr>
        <w:pStyle w:val="Akapitzlist"/>
      </w:pPr>
      <w:r>
        <w:t> </w:t>
      </w:r>
    </w:p>
    <w:p w:rsidR="0026728F" w:rsidRDefault="0026728F" w:rsidP="002D27EE">
      <w:pPr>
        <w:jc w:val="both"/>
      </w:pPr>
      <w:r>
        <w:t>Dokumen</w:t>
      </w:r>
      <w:r w:rsidR="002D27EE">
        <w:t>t</w:t>
      </w:r>
      <w:r>
        <w:t xml:space="preserve">acja konkursowa nie precyzuje, w jakich konkretnie sytuacjach dopuszczalny jest zakup komputerów stacjonarnych. </w:t>
      </w:r>
      <w:r>
        <w:rPr>
          <w:i/>
          <w:iCs/>
        </w:rPr>
        <w:t>Standardy realizacji wybranych form wsparcia</w:t>
      </w:r>
      <w:r>
        <w:t xml:space="preserve"> (Załącznik nr 4 </w:t>
      </w:r>
      <w:r w:rsidR="002D27EE">
        <w:t xml:space="preserve">                 </w:t>
      </w:r>
      <w:r>
        <w:t>do Regulaminu) wskazuje, że zakup komputerów stacjonarnych jest możliwy w szczególnie uzasadnionych przypadkach. We wniosku o dofinansowanie Wnioskodawca musi uzasadnić potrzebę zakupu komputerów stacjonarnych, a racjonalność przyjętych założeń będzie przedmiotem oceny eksperta.</w:t>
      </w:r>
    </w:p>
    <w:p w:rsidR="0026728F" w:rsidRDefault="0026728F" w:rsidP="002D27EE">
      <w:pPr>
        <w:jc w:val="both"/>
      </w:pPr>
    </w:p>
    <w:p w:rsidR="0026728F" w:rsidRDefault="0026728F" w:rsidP="002D27EE">
      <w:pPr>
        <w:jc w:val="both"/>
      </w:pPr>
      <w:r>
        <w:t>Pr</w:t>
      </w:r>
      <w:r w:rsidR="002D27EE">
        <w:t>oszę pamiętać, że zgodnie z Załą</w:t>
      </w:r>
      <w:r>
        <w:t xml:space="preserve">cznikiem nr 4 do Regulaminu, Wnioskodawca może zakupić </w:t>
      </w:r>
      <w:r w:rsidR="002D27EE">
        <w:t xml:space="preserve">           </w:t>
      </w:r>
      <w:r>
        <w:t>w ramach projektu pomoce dydaktyczne, narzędzia TIK oraz urządzenia sieciowe zawarte w katalogu pt. „Wykaz pomocy dydaktycznych, narzędzi TIK oraz urządzeń sieciowych”, określonym przez MEN. Wykaz jest dostępny pod poniższym linkiem (dół strony):  </w:t>
      </w:r>
    </w:p>
    <w:p w:rsidR="0026728F" w:rsidRDefault="007F30ED" w:rsidP="002D27EE">
      <w:pPr>
        <w:jc w:val="both"/>
      </w:pPr>
      <w:hyperlink r:id="rId6" w:history="1">
        <w:r w:rsidR="0026728F">
          <w:rPr>
            <w:rStyle w:val="Hipercze"/>
          </w:rPr>
          <w:t>https://efs.men.gov.pl/dokumenty/wytyczne-w-zakresie-realizacji-przedsiewziec-z-udzialem-srodkow-europejskiego-funduszu-spolecznego-w-obszarze-edukacji-na-lata-2014-2020/</w:t>
        </w:r>
      </w:hyperlink>
    </w:p>
    <w:p w:rsidR="0026728F" w:rsidRDefault="0026728F" w:rsidP="00EE6039">
      <w:r>
        <w:t xml:space="preserve">W powyższym wykazie znajduje się m.in. przenośny komputer dla ucznia, wraz </w:t>
      </w:r>
      <w:r w:rsidR="00EE6039">
        <w:t xml:space="preserve"> </w:t>
      </w:r>
      <w:r>
        <w:t>z oprogramowaniem lub inne mobilne urządzenie mające funkcje komputera</w:t>
      </w:r>
      <w:r w:rsidR="00436D48">
        <w:t>.</w:t>
      </w:r>
    </w:p>
    <w:p w:rsidR="0026728F" w:rsidRDefault="0026728F" w:rsidP="00EE6039">
      <w:pPr>
        <w:pStyle w:val="Akapitzlist"/>
      </w:pPr>
    </w:p>
    <w:p w:rsidR="0026728F" w:rsidRDefault="00EE6039" w:rsidP="0026728F">
      <w:pPr>
        <w:pStyle w:val="Akapitzlist"/>
        <w:numPr>
          <w:ilvl w:val="0"/>
          <w:numId w:val="1"/>
        </w:numPr>
      </w:pPr>
      <w:r w:rsidRPr="00EE6039">
        <w:rPr>
          <w:b/>
        </w:rPr>
        <w:t>W</w:t>
      </w:r>
      <w:r w:rsidR="0026728F" w:rsidRPr="00EE6039">
        <w:rPr>
          <w:b/>
        </w:rPr>
        <w:t>nioskodawcą jest urząd gminy, a potencjalnym partnerem fundacja i czy w tym przypadku obowiązuje ustawowa procedura wyboru partnera</w:t>
      </w:r>
      <w:r w:rsidR="0026728F">
        <w:t>?</w:t>
      </w:r>
    </w:p>
    <w:p w:rsidR="00EE6039" w:rsidRDefault="00EE6039" w:rsidP="00EE6039">
      <w:pPr>
        <w:pStyle w:val="Akapitzlist"/>
      </w:pPr>
    </w:p>
    <w:p w:rsidR="0026728F" w:rsidRDefault="0026728F" w:rsidP="0026728F">
      <w:pPr>
        <w:spacing w:before="100" w:beforeAutospacing="1" w:after="100" w:afterAutospacing="1"/>
        <w:jc w:val="both"/>
        <w:rPr>
          <w:color w:val="000000"/>
        </w:rPr>
      </w:pPr>
      <w:r>
        <w:rPr>
          <w:color w:val="000000"/>
        </w:rPr>
        <w:t xml:space="preserve">Zgodnie z art. 33 ust. 2 ustawy z dnia 11 lipca 2014 r. </w:t>
      </w:r>
      <w:r>
        <w:rPr>
          <w:i/>
          <w:iCs/>
          <w:color w:val="000000"/>
        </w:rPr>
        <w:t>o zasadach realizacji programów operacyjnych polityki spójności finansowanych w perspektywie finansowej 2014-2020</w:t>
      </w:r>
      <w:r>
        <w:rPr>
          <w:color w:val="000000"/>
        </w:rPr>
        <w:t xml:space="preserve"> wnioskodawcy będący jednostkami sektora finansów publicznych w rozumieniu przepisów o finansach publicznych lub </w:t>
      </w:r>
      <w:r>
        <w:rPr>
          <w:color w:val="000000"/>
        </w:rPr>
        <w:lastRenderedPageBreak/>
        <w:t xml:space="preserve">innymi podmiotami wymienionymi w art. 3 ust. 1 ustawy z dnia 29 stycznia 2004 r. </w:t>
      </w:r>
      <w:r>
        <w:rPr>
          <w:i/>
          <w:iCs/>
          <w:color w:val="000000"/>
        </w:rPr>
        <w:t>Prawo zamówień publicznych</w:t>
      </w:r>
      <w:r>
        <w:rPr>
          <w:color w:val="000000"/>
        </w:rPr>
        <w:t xml:space="preserve">, dokonują wyboru partnerów pochodzących </w:t>
      </w:r>
      <w:r>
        <w:rPr>
          <w:color w:val="000000"/>
          <w:u w:val="single"/>
        </w:rPr>
        <w:t>spoza sektora finansów publicznych</w:t>
      </w:r>
      <w:r>
        <w:rPr>
          <w:color w:val="000000"/>
        </w:rPr>
        <w:t xml:space="preserve"> </w:t>
      </w:r>
      <w:r w:rsidR="00EE6039">
        <w:rPr>
          <w:color w:val="000000"/>
        </w:rPr>
        <w:t xml:space="preserve">               </w:t>
      </w:r>
      <w:r>
        <w:rPr>
          <w:color w:val="000000"/>
        </w:rPr>
        <w:t>z zachowaniem zasady przejrzystości i równego traktowania podmiotów, a w szczególności są zobowiązani do zachowania wymogów określonych w pkt 1-3 art. 33 ust. 2 ustawy wdrożeniowej:</w:t>
      </w:r>
    </w:p>
    <w:p w:rsidR="0026728F" w:rsidRDefault="0026728F" w:rsidP="0026728F">
      <w:pPr>
        <w:numPr>
          <w:ilvl w:val="0"/>
          <w:numId w:val="2"/>
        </w:numPr>
        <w:spacing w:before="100" w:beforeAutospacing="1" w:after="100" w:afterAutospacing="1"/>
        <w:jc w:val="both"/>
        <w:rPr>
          <w:rFonts w:eastAsia="Times New Roman"/>
          <w:color w:val="000000"/>
        </w:rPr>
      </w:pPr>
      <w:r>
        <w:rPr>
          <w:rFonts w:eastAsia="Times New Roman"/>
          <w:color w:val="000000"/>
        </w:rPr>
        <w:t>ogłoszenia otwartego naboru partnerów na swojej stronie internetowej wraz ze wskazaniem co najmniej 21-dniowego terminu na zgłaszanie się partnerów;</w:t>
      </w:r>
    </w:p>
    <w:p w:rsidR="0026728F" w:rsidRDefault="0026728F" w:rsidP="0026728F">
      <w:pPr>
        <w:numPr>
          <w:ilvl w:val="0"/>
          <w:numId w:val="2"/>
        </w:numPr>
        <w:spacing w:before="100" w:beforeAutospacing="1" w:after="100" w:afterAutospacing="1"/>
        <w:jc w:val="both"/>
        <w:rPr>
          <w:rFonts w:eastAsia="Times New Roman"/>
          <w:color w:val="000000"/>
        </w:rPr>
      </w:pPr>
      <w:r>
        <w:rPr>
          <w:rFonts w:eastAsia="Times New Roman"/>
          <w:color w:val="000000"/>
        </w:rPr>
        <w:t>uwzględnienia przy wyborze partnerów: zgodności działania potencjalnego partnera z celami partnerstwa, deklarowanego wkładu potencjalnego partnera w realizację celu partnerstwa, doświadczenia w realizacji projektów o podobnym charakterze;</w:t>
      </w:r>
    </w:p>
    <w:p w:rsidR="0026728F" w:rsidRDefault="0026728F" w:rsidP="0026728F">
      <w:pPr>
        <w:numPr>
          <w:ilvl w:val="0"/>
          <w:numId w:val="2"/>
        </w:numPr>
        <w:spacing w:before="100" w:beforeAutospacing="1" w:after="100" w:afterAutospacing="1"/>
        <w:jc w:val="both"/>
        <w:rPr>
          <w:rFonts w:eastAsia="Times New Roman"/>
          <w:color w:val="000000"/>
        </w:rPr>
      </w:pPr>
      <w:r>
        <w:rPr>
          <w:rFonts w:eastAsia="Times New Roman"/>
          <w:color w:val="000000"/>
        </w:rPr>
        <w:t>podania do publicznej wiadomości na swojej stronie internetowej informacji o podmiotach wybranych do pełnienia funkcji partnera.</w:t>
      </w:r>
    </w:p>
    <w:p w:rsidR="0026728F" w:rsidRDefault="0026728F" w:rsidP="0026728F">
      <w:pPr>
        <w:spacing w:before="100" w:beforeAutospacing="1" w:after="100" w:afterAutospacing="1"/>
        <w:jc w:val="both"/>
        <w:rPr>
          <w:color w:val="000000"/>
        </w:rPr>
      </w:pPr>
      <w:r>
        <w:rPr>
          <w:color w:val="000000"/>
        </w:rPr>
        <w:t>Ponadto wybór partnerów spoza sektora finansów publiczny musi być dokonany przed złożeniem wniosku o dofinansowanie projektu partnerskiego.</w:t>
      </w:r>
      <w:r w:rsidR="00436D48">
        <w:rPr>
          <w:color w:val="000000"/>
        </w:rPr>
        <w:t xml:space="preserve"> Prawidłowość wyboru partnera do projektu będzie podlegała kontroli przed podpisaniem umowy o dofinansowanie.</w:t>
      </w:r>
    </w:p>
    <w:p w:rsidR="00436D48" w:rsidRDefault="00436D48" w:rsidP="00436D48">
      <w:pPr>
        <w:jc w:val="both"/>
        <w:rPr>
          <w:color w:val="000000"/>
        </w:rPr>
      </w:pPr>
      <w:r>
        <w:rPr>
          <w:color w:val="000000"/>
        </w:rPr>
        <w:t xml:space="preserve">Natomiast podmioty publiczne dokonując wybór partnera </w:t>
      </w:r>
      <w:r>
        <w:rPr>
          <w:color w:val="000000"/>
          <w:u w:val="single"/>
        </w:rPr>
        <w:t>zaliczanego do sektora finansów publicznych</w:t>
      </w:r>
      <w:r>
        <w:rPr>
          <w:color w:val="000000"/>
        </w:rPr>
        <w:t xml:space="preserve"> nie muszą stosować procedury konkurencyjnej. W ramach sektora finansów publicznych partnerstwa zawie</w:t>
      </w:r>
      <w:r w:rsidR="00C27DFE">
        <w:rPr>
          <w:color w:val="000000"/>
        </w:rPr>
        <w:t>rane są na podstawie porozumień o partnerstwie.</w:t>
      </w:r>
    </w:p>
    <w:p w:rsidR="0026728F" w:rsidRDefault="0026728F" w:rsidP="0026728F">
      <w:pPr>
        <w:spacing w:before="100" w:beforeAutospacing="1" w:after="100" w:afterAutospacing="1"/>
        <w:jc w:val="both"/>
        <w:rPr>
          <w:color w:val="000000"/>
        </w:rPr>
      </w:pPr>
      <w:r>
        <w:rPr>
          <w:color w:val="000000"/>
          <w:u w:val="single"/>
        </w:rPr>
        <w:t xml:space="preserve">Wybór partnerów przez </w:t>
      </w:r>
      <w:r>
        <w:rPr>
          <w:b/>
          <w:bCs/>
          <w:color w:val="000000"/>
          <w:u w:val="single"/>
        </w:rPr>
        <w:t>podmioty prywatne</w:t>
      </w:r>
      <w:r>
        <w:rPr>
          <w:color w:val="000000"/>
          <w:u w:val="single"/>
        </w:rPr>
        <w:t xml:space="preserve"> nie wymaga zastosowania procedury konkurencyjnej.</w:t>
      </w:r>
    </w:p>
    <w:p w:rsidR="0026728F" w:rsidRPr="00EE6039" w:rsidRDefault="00EE6039" w:rsidP="00EE6039">
      <w:pPr>
        <w:pStyle w:val="Zwykytekst"/>
        <w:numPr>
          <w:ilvl w:val="0"/>
          <w:numId w:val="1"/>
        </w:numPr>
        <w:jc w:val="both"/>
        <w:rPr>
          <w:b/>
        </w:rPr>
      </w:pPr>
      <w:r w:rsidRPr="00EE6039">
        <w:rPr>
          <w:b/>
        </w:rPr>
        <w:t>P</w:t>
      </w:r>
      <w:r w:rsidR="0026728F" w:rsidRPr="00EE6039">
        <w:rPr>
          <w:b/>
        </w:rPr>
        <w:t xml:space="preserve">roszę o wyjaśnienie, czy w ramach zad. 1 można ująć zajęcia </w:t>
      </w:r>
      <w:r w:rsidRPr="00EE6039">
        <w:rPr>
          <w:b/>
        </w:rPr>
        <w:t xml:space="preserve"> </w:t>
      </w:r>
      <w:r w:rsidR="0026728F" w:rsidRPr="00EE6039">
        <w:rPr>
          <w:b/>
        </w:rPr>
        <w:t xml:space="preserve">dydaktyczno - wyrównawcze organizowane dla uczniów klas I - III. Moje wątpliwości biorą się stąd, że te zajęcia obejmują nie tylko treści matematyczne, przyrodnicze, ale też język polski. Wynika to ze specyfiki </w:t>
      </w:r>
      <w:r>
        <w:rPr>
          <w:b/>
        </w:rPr>
        <w:t xml:space="preserve"> </w:t>
      </w:r>
      <w:r w:rsidR="0026728F" w:rsidRPr="00EE6039">
        <w:rPr>
          <w:b/>
        </w:rPr>
        <w:t>klas I -III.</w:t>
      </w:r>
    </w:p>
    <w:p w:rsidR="0026728F" w:rsidRDefault="0026728F" w:rsidP="0026728F">
      <w:pPr>
        <w:pStyle w:val="Zwykytekst"/>
        <w:ind w:left="720"/>
      </w:pPr>
    </w:p>
    <w:p w:rsidR="0026728F" w:rsidRDefault="00EE6039" w:rsidP="00EE6039">
      <w:pPr>
        <w:pStyle w:val="Zwykytekst"/>
        <w:ind w:left="720"/>
        <w:jc w:val="both"/>
      </w:pPr>
      <w:r>
        <w:t>J</w:t>
      </w:r>
      <w:r w:rsidR="0026728F">
        <w:t>eśli zajęcia dydaktyczno-wyrównawcze nie mają na celu stricte kształtowania i wspierania kompetencji kluczowych lub właściwych postaw (kreatywności, innowacyjności, przedsiębiorczości) to mogą być realizowane np. w ramach typu projektu 10.2.E Doradztwo</w:t>
      </w:r>
      <w:r>
        <w:t xml:space="preserve">    </w:t>
      </w:r>
      <w:r w:rsidR="0026728F">
        <w:t xml:space="preserve"> i pomoc psychologiczno-pedagogiczna dla uczniów, o ile jest ono zgodne z Rozporządzeniem Ministra Edukacji Narodowej z dnia 30 kwietnia 2013 r. w sprawie zasad udzielania</w:t>
      </w:r>
      <w:r>
        <w:t xml:space="preserve">                  </w:t>
      </w:r>
      <w:r w:rsidR="0026728F">
        <w:t xml:space="preserve"> i organizacji pomocy psychologiczno-pedagogicznej w publicznych przedszkolach, szkołach</w:t>
      </w:r>
      <w:r>
        <w:t xml:space="preserve">     </w:t>
      </w:r>
      <w:r w:rsidR="0026728F">
        <w:t xml:space="preserve"> i placówkach lub w ramach typu projektu 10.2.D Wsparcie w zakresie indywidualizacji pracy</w:t>
      </w:r>
      <w:r>
        <w:t xml:space="preserve">  </w:t>
      </w:r>
      <w:r w:rsidR="0026728F">
        <w:t xml:space="preserve"> z uczniem, o ile wsparcie ma być skierowane do uczniów o specjalnych potrzebach edukacyjnych i rozwojowych</w:t>
      </w:r>
      <w:r w:rsidR="00C27DFE">
        <w:t>.</w:t>
      </w:r>
    </w:p>
    <w:p w:rsidR="00EE6039" w:rsidRDefault="00EE6039" w:rsidP="00EE6039">
      <w:pPr>
        <w:pStyle w:val="Zwykytekst"/>
        <w:ind w:left="720"/>
        <w:jc w:val="both"/>
      </w:pPr>
    </w:p>
    <w:p w:rsidR="0026728F" w:rsidRPr="00EE6039" w:rsidRDefault="0026728F" w:rsidP="00EE6039">
      <w:pPr>
        <w:pStyle w:val="Akapitzlist"/>
        <w:numPr>
          <w:ilvl w:val="0"/>
          <w:numId w:val="1"/>
        </w:numPr>
        <w:jc w:val="both"/>
        <w:rPr>
          <w:b/>
        </w:rPr>
      </w:pPr>
      <w:r w:rsidRPr="00EE6039">
        <w:rPr>
          <w:b/>
        </w:rPr>
        <w:t xml:space="preserve">Czy w konkursie nr RPDS.10.02.01-IZ.00-02-220/17 dla poddziałania 10.2.1 Zapewnienie równego dostępu do wysokiej jakości edukacji podstawowej, gimnazjalnej </w:t>
      </w:r>
      <w:r w:rsidR="00EE6039">
        <w:rPr>
          <w:b/>
        </w:rPr>
        <w:t xml:space="preserve">                              </w:t>
      </w:r>
      <w:r w:rsidRPr="00EE6039">
        <w:rPr>
          <w:b/>
        </w:rPr>
        <w:t>i ponadgimnazjalnej wsparciem może być objęta Zasadnicza Szkoła Zawodowa?</w:t>
      </w:r>
    </w:p>
    <w:p w:rsidR="0026728F" w:rsidRDefault="0026728F" w:rsidP="0026728F">
      <w:pPr>
        <w:pStyle w:val="Zwykytekst"/>
        <w:ind w:left="720"/>
      </w:pPr>
    </w:p>
    <w:p w:rsidR="0026728F" w:rsidRDefault="00EE6039" w:rsidP="00EE6039">
      <w:pPr>
        <w:jc w:val="both"/>
      </w:pPr>
      <w:r>
        <w:t xml:space="preserve">W </w:t>
      </w:r>
      <w:r w:rsidR="0026728F">
        <w:t xml:space="preserve"> konkursie nr RPDS.10.02.01-IZ.00-02-220/17 dla Poddziałania 10.2.1 Zapewnienie równego dostępu do wysokiej jakości edukacji podstawowej, gimnazjalnej i ponadgimnazjalnej wsparciem nie może być objęta Zasadnicza Szkoła Zawodowa, ponieważ takie placówki nie </w:t>
      </w:r>
      <w:r w:rsidR="00C27DFE">
        <w:t>mogą się wykazać wynikami z egzaminów zewnętrznych w zakresie kształcenia ogólnego</w:t>
      </w:r>
      <w:r w:rsidR="0026728F">
        <w:t>, a tym samym nie spełniają Kryterium dostępu nr 3.</w:t>
      </w:r>
    </w:p>
    <w:p w:rsidR="00EE6039" w:rsidRDefault="00EE6039" w:rsidP="00EE6039">
      <w:pPr>
        <w:jc w:val="both"/>
      </w:pPr>
    </w:p>
    <w:p w:rsidR="00EE6039" w:rsidRDefault="00EE6039" w:rsidP="00EE6039">
      <w:pPr>
        <w:jc w:val="both"/>
      </w:pPr>
    </w:p>
    <w:p w:rsidR="00EE6039" w:rsidRDefault="00EE6039" w:rsidP="00EE6039">
      <w:pPr>
        <w:jc w:val="both"/>
      </w:pPr>
    </w:p>
    <w:p w:rsidR="00EE6039" w:rsidRDefault="00EE6039" w:rsidP="00EE6039">
      <w:pPr>
        <w:jc w:val="both"/>
      </w:pPr>
    </w:p>
    <w:p w:rsidR="0026728F" w:rsidRDefault="0026728F" w:rsidP="00EE6039">
      <w:pPr>
        <w:pStyle w:val="Zwykytekst"/>
        <w:ind w:left="720"/>
        <w:jc w:val="both"/>
      </w:pPr>
    </w:p>
    <w:p w:rsidR="002D27EE" w:rsidRDefault="002D27EE" w:rsidP="00EE6039">
      <w:pPr>
        <w:pStyle w:val="Akapitzlist"/>
        <w:numPr>
          <w:ilvl w:val="0"/>
          <w:numId w:val="1"/>
        </w:numPr>
        <w:jc w:val="both"/>
        <w:rPr>
          <w:b/>
          <w:color w:val="000000"/>
        </w:rPr>
      </w:pPr>
      <w:r w:rsidRPr="00EE6039">
        <w:rPr>
          <w:b/>
          <w:color w:val="000000"/>
        </w:rPr>
        <w:t>Czy  można wyposażyć zarówno pracownie TIK, jak i matematyczne i przyrodnicze szkół, które będą brały udział w projekcie i w tym przypadku limit wydatków na zakup sprzętu do pracowni nie może przekroczyć 30%? </w:t>
      </w:r>
    </w:p>
    <w:p w:rsidR="00EE6039" w:rsidRPr="00EE6039" w:rsidRDefault="00EE6039" w:rsidP="00EE6039">
      <w:pPr>
        <w:pStyle w:val="Akapitzlist"/>
        <w:jc w:val="both"/>
        <w:rPr>
          <w:b/>
          <w:color w:val="000000"/>
        </w:rPr>
      </w:pPr>
    </w:p>
    <w:p w:rsidR="002D27EE" w:rsidRDefault="00EE6039" w:rsidP="002D27EE">
      <w:pPr>
        <w:jc w:val="both"/>
        <w:rPr>
          <w:color w:val="000000"/>
        </w:rPr>
      </w:pPr>
      <w:r>
        <w:rPr>
          <w:color w:val="000000"/>
        </w:rPr>
        <w:t>W</w:t>
      </w:r>
      <w:r w:rsidR="002D27EE">
        <w:rPr>
          <w:color w:val="000000"/>
        </w:rPr>
        <w:t xml:space="preserve"> ramach projektu można zakupić, dla szkół objętych projektem, wyposażenie, sprzęt, pomoce dydaktyczne itp. do pracowni TIK i przedmiotowych (matematycznych i przyrodniczych). Wówczas, </w:t>
      </w:r>
      <w:r>
        <w:rPr>
          <w:color w:val="000000"/>
        </w:rPr>
        <w:t xml:space="preserve">   </w:t>
      </w:r>
      <w:r w:rsidR="002D27EE">
        <w:rPr>
          <w:color w:val="000000"/>
        </w:rPr>
        <w:t>w takim projekcie, łączny limit wydatków związanych z zakupem sprzętu nie może przekroczyć 30% wydatków projektu  (łącznie z cross-</w:t>
      </w:r>
      <w:proofErr w:type="spellStart"/>
      <w:r w:rsidR="002D27EE">
        <w:rPr>
          <w:color w:val="000000"/>
        </w:rPr>
        <w:t>financingiem</w:t>
      </w:r>
      <w:proofErr w:type="spellEnd"/>
      <w:r w:rsidR="002D27EE">
        <w:rPr>
          <w:color w:val="000000"/>
        </w:rPr>
        <w:t>).</w:t>
      </w:r>
    </w:p>
    <w:p w:rsidR="002D27EE" w:rsidRDefault="002D27EE" w:rsidP="002D27EE">
      <w:pPr>
        <w:rPr>
          <w:color w:val="000000"/>
        </w:rPr>
      </w:pPr>
      <w:r>
        <w:rPr>
          <w:color w:val="000000"/>
        </w:rPr>
        <w:t> </w:t>
      </w:r>
    </w:p>
    <w:p w:rsidR="002D27EE" w:rsidRDefault="002D27EE" w:rsidP="0026728F">
      <w:pPr>
        <w:pStyle w:val="Zwykytekst"/>
        <w:ind w:left="720"/>
      </w:pPr>
    </w:p>
    <w:p w:rsidR="002D27EE" w:rsidRDefault="002D27EE" w:rsidP="00EE6039">
      <w:pPr>
        <w:pStyle w:val="Akapitzlist"/>
        <w:numPr>
          <w:ilvl w:val="0"/>
          <w:numId w:val="1"/>
        </w:numPr>
        <w:rPr>
          <w:b/>
          <w:color w:val="000000"/>
        </w:rPr>
      </w:pPr>
      <w:r w:rsidRPr="00EE6039">
        <w:rPr>
          <w:b/>
          <w:color w:val="000000"/>
        </w:rPr>
        <w:t>Czy można doposażyć w pomoce dydaktyczne i urządzenia TIK sale językowe i limit nie może przekroczyć 10 % wydatków?</w:t>
      </w:r>
    </w:p>
    <w:p w:rsidR="00EE6039" w:rsidRPr="00EE6039" w:rsidRDefault="00EE6039" w:rsidP="00EE6039">
      <w:pPr>
        <w:pStyle w:val="Akapitzlist"/>
        <w:rPr>
          <w:b/>
          <w:color w:val="000000"/>
        </w:rPr>
      </w:pPr>
    </w:p>
    <w:p w:rsidR="002D27EE" w:rsidRDefault="002D27EE" w:rsidP="002D27EE">
      <w:pPr>
        <w:pStyle w:val="default"/>
        <w:jc w:val="both"/>
        <w:rPr>
          <w:sz w:val="22"/>
          <w:szCs w:val="22"/>
        </w:rPr>
      </w:pPr>
      <w:r>
        <w:rPr>
          <w:sz w:val="22"/>
          <w:szCs w:val="22"/>
        </w:rPr>
        <w:t>Zgodnie z Załącznikiem nr 4 do Regulaminu konkursu jest możliwe, w ramach typu projektu 10.2.B, wyposażanie szkolnych pracowni przedmiotów matematycznych i przyrodniczych w celu stworzenia warunków do nauczania eksperymentalnego. W ramach tego typu projektu nie jest możliwe wsparcie w formie wyposażenie/</w:t>
      </w:r>
      <w:r w:rsidR="00C27DFE">
        <w:rPr>
          <w:sz w:val="22"/>
          <w:szCs w:val="22"/>
        </w:rPr>
        <w:t>doposażenie stricte pracowni językowych.</w:t>
      </w:r>
    </w:p>
    <w:p w:rsidR="00C27DFE" w:rsidRPr="00C27DFE" w:rsidRDefault="00C27DFE" w:rsidP="00C27DFE">
      <w:pPr>
        <w:jc w:val="both"/>
        <w:rPr>
          <w:color w:val="000000"/>
        </w:rPr>
      </w:pPr>
      <w:r w:rsidRPr="00C27DFE">
        <w:rPr>
          <w:color w:val="000000"/>
        </w:rPr>
        <w:t>Natomiast w ramach typu projektu 10.2 A można wyposażyć szkoły w pomoce dydaktyczne oraz narzędzia TIK niezbędne do realizacji programów nauczania w celu kształtowania kompetencji kluczowych na rynku pracy (w zakres których wchodzi posługiwanie się językiem obcym) i/lub wsparcia nauki języków obcych</w:t>
      </w:r>
      <w:r>
        <w:rPr>
          <w:color w:val="000000"/>
        </w:rPr>
        <w:t>.</w:t>
      </w:r>
      <w:r w:rsidRPr="00C27DFE">
        <w:rPr>
          <w:color w:val="000000"/>
        </w:rPr>
        <w:t xml:space="preserve"> Należy </w:t>
      </w:r>
      <w:r>
        <w:rPr>
          <w:color w:val="000000"/>
        </w:rPr>
        <w:t>wówczas</w:t>
      </w:r>
      <w:r w:rsidRPr="00C27DFE">
        <w:rPr>
          <w:color w:val="000000"/>
        </w:rPr>
        <w:t xml:space="preserve"> pamiętać o limicie maksymalnej wartości wsparcia finansowego na zakup pomocy dydaktycznych, narzędzi TIK i urządzeń sieciowych w szkole lub placówce systemu oświaty, objętej wsparciem, który wynosi: </w:t>
      </w:r>
    </w:p>
    <w:p w:rsidR="00C27DFE" w:rsidRPr="00C27DFE" w:rsidRDefault="00C27DFE" w:rsidP="00C27DFE">
      <w:pPr>
        <w:pStyle w:val="Akapitzlist"/>
        <w:jc w:val="both"/>
        <w:rPr>
          <w:color w:val="000000"/>
        </w:rPr>
      </w:pPr>
      <w:r w:rsidRPr="00C27DFE">
        <w:rPr>
          <w:color w:val="000000"/>
        </w:rPr>
        <w:t xml:space="preserve">a) dla szkół lub placówek systemu oświaty do 300 uczniów – 140 000 zł; </w:t>
      </w:r>
    </w:p>
    <w:p w:rsidR="00C27DFE" w:rsidRPr="00C27DFE" w:rsidRDefault="00C27DFE" w:rsidP="00C27DFE">
      <w:pPr>
        <w:pStyle w:val="Akapitzlist"/>
        <w:jc w:val="both"/>
        <w:rPr>
          <w:color w:val="000000"/>
        </w:rPr>
      </w:pPr>
      <w:r w:rsidRPr="00C27DFE">
        <w:rPr>
          <w:color w:val="000000"/>
        </w:rPr>
        <w:t>b) dla szkół lub placówek systemu oświaty od 301 uczniów – 200 000 zł.</w:t>
      </w:r>
    </w:p>
    <w:p w:rsidR="00C27DFE" w:rsidRDefault="00C27DFE" w:rsidP="002D27EE">
      <w:pPr>
        <w:pStyle w:val="default"/>
        <w:jc w:val="both"/>
        <w:rPr>
          <w:sz w:val="22"/>
          <w:szCs w:val="22"/>
        </w:rPr>
      </w:pPr>
    </w:p>
    <w:p w:rsidR="002D27EE" w:rsidRDefault="002D27EE" w:rsidP="0026728F">
      <w:pPr>
        <w:pStyle w:val="Zwykytekst"/>
        <w:ind w:left="720"/>
      </w:pPr>
    </w:p>
    <w:p w:rsidR="002D27EE" w:rsidRDefault="002D27EE" w:rsidP="00EE6039">
      <w:pPr>
        <w:pStyle w:val="Akapitzlist"/>
        <w:numPr>
          <w:ilvl w:val="0"/>
          <w:numId w:val="1"/>
        </w:numPr>
        <w:jc w:val="both"/>
        <w:rPr>
          <w:b/>
          <w:color w:val="000000"/>
        </w:rPr>
      </w:pPr>
      <w:r w:rsidRPr="00EE6039">
        <w:rPr>
          <w:b/>
          <w:color w:val="000000"/>
        </w:rPr>
        <w:t>Czy można zaplanować wydatki na papier, tonery, materiały i inne przybory, które będziemy wykorzystywać w ramach zajęć realizujących cel projektu, i czy będą to koszty kwalifikowane bezpośrednie?</w:t>
      </w:r>
    </w:p>
    <w:p w:rsidR="00EE6039" w:rsidRPr="00EE6039" w:rsidRDefault="00EE6039" w:rsidP="00EE6039">
      <w:pPr>
        <w:pStyle w:val="Akapitzlist"/>
        <w:jc w:val="both"/>
        <w:rPr>
          <w:b/>
          <w:color w:val="000000"/>
        </w:rPr>
      </w:pPr>
    </w:p>
    <w:p w:rsidR="002D27EE" w:rsidRDefault="002D27EE" w:rsidP="002D27EE">
      <w:pPr>
        <w:autoSpaceDE w:val="0"/>
        <w:autoSpaceDN w:val="0"/>
        <w:jc w:val="both"/>
        <w:rPr>
          <w:color w:val="000000"/>
        </w:rPr>
      </w:pPr>
      <w:r>
        <w:rPr>
          <w:color w:val="000000"/>
        </w:rPr>
        <w:t xml:space="preserve">Wydatki takie można uznać za kwalifikowane bezpośrednie pod warunkiem, że są niezbędne </w:t>
      </w:r>
      <w:r w:rsidR="00EE6039">
        <w:rPr>
          <w:color w:val="000000"/>
        </w:rPr>
        <w:t xml:space="preserve">           </w:t>
      </w:r>
      <w:r>
        <w:rPr>
          <w:color w:val="000000"/>
        </w:rPr>
        <w:t>do realizacji celów projektu, zostały poniesione w związku z realizacją projektu, są bezpośrednio powiązane z zadaniami merytorycznymi (tj. są niezbędne do realizacji konkretnych zajęć edukacyjnych określonych w projekcie i będą wykorzystywane bezpośrednio przez uczestników zajęć) i nie stanowią jednocześnie kosztó</w:t>
      </w:r>
      <w:r w:rsidR="00EE6039">
        <w:rPr>
          <w:color w:val="000000"/>
        </w:rPr>
        <w:t>w pośrednich. W</w:t>
      </w:r>
      <w:r>
        <w:rPr>
          <w:color w:val="000000"/>
        </w:rPr>
        <w:t xml:space="preserve">e wniosku o dofinansowanie wykazywany jest szczegółowy budżet ze wskazaniem kosztów jednostkowych, który jest podstawą do oceny kwalifikowalności wydatków projektu na etapie oceny wniosku o dofinansowanie. </w:t>
      </w:r>
      <w:r w:rsidR="00C27DFE">
        <w:rPr>
          <w:color w:val="000000"/>
        </w:rPr>
        <w:t>IOK dokonując</w:t>
      </w:r>
      <w:r>
        <w:rPr>
          <w:color w:val="000000"/>
        </w:rPr>
        <w:t xml:space="preserve"> oceny kwalifikowalności na etapie wyboru projektu</w:t>
      </w:r>
      <w:r w:rsidR="00C27DFE">
        <w:rPr>
          <w:color w:val="000000"/>
        </w:rPr>
        <w:t xml:space="preserve"> ma obowiązek zweryfikować, czy</w:t>
      </w:r>
      <w:r w:rsidR="00EE6039">
        <w:rPr>
          <w:color w:val="000000"/>
        </w:rPr>
        <w:t xml:space="preserve"> </w:t>
      </w:r>
      <w:r>
        <w:rPr>
          <w:color w:val="000000"/>
        </w:rPr>
        <w:t xml:space="preserve">w ramach zadań określonych w budżecie projektu (w kosztach bezpośrednich) nie zostały wykazane koszty, które stanowią koszty pośrednie. Dodatkowo, na etapie realizacji projektu podmiot zatwierdzający wniosek o płatność weryfikuje, czy w zestawieniu poniesionych wydatków bezpośrednich załączanym do wniosku o płatność, nie zostały wykazane wydatki pośrednie. </w:t>
      </w:r>
    </w:p>
    <w:p w:rsidR="00C27DFE" w:rsidRDefault="00C27DFE" w:rsidP="002D27EE">
      <w:pPr>
        <w:autoSpaceDE w:val="0"/>
        <w:autoSpaceDN w:val="0"/>
        <w:jc w:val="both"/>
        <w:rPr>
          <w:color w:val="000000"/>
        </w:rPr>
      </w:pPr>
    </w:p>
    <w:p w:rsidR="00CB4571" w:rsidRDefault="00CB4571" w:rsidP="00CB4571">
      <w:pPr>
        <w:pStyle w:val="Akapitzlist"/>
        <w:numPr>
          <w:ilvl w:val="0"/>
          <w:numId w:val="1"/>
        </w:numPr>
        <w:spacing w:after="200" w:line="276" w:lineRule="auto"/>
        <w:jc w:val="both"/>
        <w:rPr>
          <w:b/>
        </w:rPr>
      </w:pPr>
      <w:r w:rsidRPr="00CB4571">
        <w:rPr>
          <w:b/>
        </w:rPr>
        <w:t>Gmina chce realizować projekt z partnerem spoza finansów</w:t>
      </w:r>
      <w:r>
        <w:rPr>
          <w:b/>
        </w:rPr>
        <w:t>.</w:t>
      </w:r>
      <w:r w:rsidRPr="00CB4571">
        <w:rPr>
          <w:b/>
        </w:rPr>
        <w:t xml:space="preserve"> Dodatkowo chęć do wspólnej realizacji projektu wyraziła sąsiednia gmina - w jaki sposób uregulować to prawnie?</w:t>
      </w:r>
    </w:p>
    <w:p w:rsidR="00CB4571" w:rsidRPr="00CB4571" w:rsidRDefault="00CB4571" w:rsidP="00CB4571">
      <w:pPr>
        <w:pStyle w:val="Default0"/>
        <w:jc w:val="both"/>
        <w:rPr>
          <w:color w:val="auto"/>
          <w:sz w:val="22"/>
          <w:szCs w:val="22"/>
        </w:rPr>
      </w:pPr>
      <w:r w:rsidRPr="00CB4571">
        <w:rPr>
          <w:color w:val="auto"/>
          <w:sz w:val="22"/>
          <w:szCs w:val="22"/>
        </w:rPr>
        <w:t xml:space="preserve">Konstrukcja Partnerstwa może wyglądać w następujący sposób: Gmina X (Wnioskodawca) pełni rolę Partnera Wiodącego; podmiot spoza sektora finansów publicznych stanowi Partnera nr 1; Gmina Y stanowi Partnera nr 2. Wnioskodawca projektu będzie stroną umowy o dofinansowanie działającym w imieniu i na rzecz partnerów w zakresie określonym umową albo porozumieniem o partnerstwie. </w:t>
      </w:r>
    </w:p>
    <w:p w:rsidR="00CB4571" w:rsidRPr="00CB4571" w:rsidRDefault="00CB4571" w:rsidP="00CB4571">
      <w:pPr>
        <w:pStyle w:val="Default0"/>
        <w:jc w:val="both"/>
        <w:rPr>
          <w:color w:val="auto"/>
          <w:sz w:val="22"/>
          <w:szCs w:val="22"/>
        </w:rPr>
      </w:pPr>
    </w:p>
    <w:p w:rsidR="00CB4571" w:rsidRPr="00CB4571" w:rsidRDefault="00CB4571" w:rsidP="00CB4571">
      <w:pPr>
        <w:pStyle w:val="Default0"/>
        <w:jc w:val="both"/>
        <w:rPr>
          <w:color w:val="auto"/>
          <w:sz w:val="22"/>
          <w:szCs w:val="22"/>
        </w:rPr>
      </w:pPr>
      <w:r w:rsidRPr="00CB4571">
        <w:rPr>
          <w:color w:val="auto"/>
          <w:sz w:val="22"/>
          <w:szCs w:val="22"/>
        </w:rPr>
        <w:t>Niezależnie od podziału zadań i obowiązków w ramach partnerstwa, odpowiedzialność za prawidłową realizację projektu ponosi Wnioskodawca jako strona umowy o dofinansowanie. Wnioskodawca musi posiadać pełnomocnictwo do podpisania umowy i wniosku o dofinansowanie projektu w imieniu i na rzecz partnerów. Przed zawarciem umowy lub porozumienia o dofinansowaniu projektu, dokumentem wymaganym przez IOK jest umowa albo porozumienie o partnerstwie, szczegółowo określające reguły partnerstwa, w tym zwłaszcza wskazująca wiodącą rolę jednego podmiotu (Partnera Wiodącego) reprezentującego partnerstwo, który ostatecznie jest odpowiedzialny za realizację całości projektu oraz jego rozliczenie. Elementy, które powinna zawierać umowa oraz porozumienie o partnerstwie, zostały ok</w:t>
      </w:r>
      <w:r>
        <w:rPr>
          <w:color w:val="auto"/>
          <w:sz w:val="22"/>
          <w:szCs w:val="22"/>
        </w:rPr>
        <w:t>reślone w art. 33 ust. 5 ustawy wdrożeniowej.</w:t>
      </w:r>
      <w:r w:rsidRPr="00CB4571">
        <w:rPr>
          <w:color w:val="auto"/>
          <w:sz w:val="22"/>
          <w:szCs w:val="22"/>
        </w:rPr>
        <w:t xml:space="preserve"> </w:t>
      </w:r>
    </w:p>
    <w:p w:rsidR="00CB4571" w:rsidRDefault="00CB4571" w:rsidP="00CB4571">
      <w:pPr>
        <w:pStyle w:val="Default0"/>
        <w:jc w:val="both"/>
        <w:rPr>
          <w:color w:val="auto"/>
          <w:sz w:val="22"/>
          <w:szCs w:val="22"/>
        </w:rPr>
      </w:pPr>
      <w:r w:rsidRPr="00CB4571">
        <w:rPr>
          <w:color w:val="auto"/>
          <w:sz w:val="22"/>
          <w:szCs w:val="22"/>
        </w:rPr>
        <w:t xml:space="preserve">Należy pamiętać, że partner spoza sektora finansów publicznych powinien być wybrany zgodnie z </w:t>
      </w:r>
      <w:r w:rsidRPr="00CB4571">
        <w:rPr>
          <w:rFonts w:asciiTheme="minorHAnsi" w:eastAsiaTheme="minorHAnsi" w:hAnsiTheme="minorHAnsi" w:cstheme="minorBidi"/>
          <w:color w:val="auto"/>
          <w:sz w:val="22"/>
          <w:szCs w:val="22"/>
        </w:rPr>
        <w:t>art. 33 ustawy wdrożeniowej.</w:t>
      </w:r>
      <w:r w:rsidRPr="00CB4571">
        <w:rPr>
          <w:color w:val="auto"/>
          <w:sz w:val="22"/>
          <w:szCs w:val="22"/>
        </w:rPr>
        <w:t xml:space="preserve"> </w:t>
      </w:r>
    </w:p>
    <w:p w:rsidR="00CB4571" w:rsidRDefault="00CB4571" w:rsidP="00CB4571">
      <w:pPr>
        <w:pStyle w:val="Default0"/>
        <w:jc w:val="both"/>
        <w:rPr>
          <w:color w:val="auto"/>
          <w:sz w:val="22"/>
          <w:szCs w:val="22"/>
        </w:rPr>
      </w:pPr>
    </w:p>
    <w:p w:rsidR="00CB4571" w:rsidRDefault="00CB4571" w:rsidP="00CB4571">
      <w:pPr>
        <w:pStyle w:val="Default0"/>
        <w:numPr>
          <w:ilvl w:val="0"/>
          <w:numId w:val="1"/>
        </w:numPr>
        <w:jc w:val="both"/>
        <w:rPr>
          <w:b/>
          <w:color w:val="auto"/>
          <w:sz w:val="22"/>
          <w:szCs w:val="22"/>
        </w:rPr>
      </w:pPr>
      <w:r w:rsidRPr="00CB4571">
        <w:rPr>
          <w:b/>
          <w:color w:val="auto"/>
          <w:sz w:val="22"/>
          <w:szCs w:val="22"/>
        </w:rPr>
        <w:t>Proszę o podanie informacji na temat wskazanych kwestii i przykładów ich pozytywnej oceny w projektach tj.: wielkość kosztu transportu dzieci na zajęcia na obszarach wiejskich w stosunku do innych kosztów - ja</w:t>
      </w:r>
      <w:r>
        <w:rPr>
          <w:b/>
          <w:color w:val="auto"/>
          <w:sz w:val="22"/>
          <w:szCs w:val="22"/>
        </w:rPr>
        <w:t>kie zalecenia IZ w tym zakresie?</w:t>
      </w:r>
    </w:p>
    <w:p w:rsidR="00CB4571" w:rsidRDefault="00CB4571" w:rsidP="00CB4571">
      <w:pPr>
        <w:jc w:val="both"/>
        <w:rPr>
          <w:color w:val="FF0000"/>
          <w:highlight w:val="yellow"/>
        </w:rPr>
      </w:pPr>
    </w:p>
    <w:p w:rsidR="00CB4571" w:rsidRDefault="00CB4571" w:rsidP="00CB4571">
      <w:pPr>
        <w:jc w:val="both"/>
      </w:pPr>
      <w:r w:rsidRPr="00CB4571">
        <w:t xml:space="preserve">IOK nie określiła w Regulaminie konkursu limitów ani stawek maksymalnych w tym zakresie. Wnioskodawca we wniosku o dofinansowanie proponuje wartość takiego wydatku biorąc pod uwagę </w:t>
      </w:r>
      <w:r>
        <w:t xml:space="preserve">racjonalność i efektywność </w:t>
      </w:r>
      <w:r w:rsidRPr="00CB4571">
        <w:t>wydatkowania środków</w:t>
      </w:r>
      <w:r>
        <w:t>, a także zastosowanie stawek rynkowych.</w:t>
      </w:r>
      <w:r w:rsidRPr="00CB4571">
        <w:t xml:space="preserve"> Na etapie oceny wniosku o dofinansowanie oceniający badają prawidłowość konstrukcji budżetu i kwalifikowalność wydatków. </w:t>
      </w:r>
    </w:p>
    <w:p w:rsidR="00CB4571" w:rsidRDefault="00CB4571" w:rsidP="00CB4571">
      <w:pPr>
        <w:jc w:val="both"/>
      </w:pPr>
    </w:p>
    <w:p w:rsidR="00CB4571" w:rsidRDefault="00CB4571" w:rsidP="00CB4571">
      <w:pPr>
        <w:pStyle w:val="Akapitzlist"/>
        <w:numPr>
          <w:ilvl w:val="0"/>
          <w:numId w:val="1"/>
        </w:numPr>
        <w:jc w:val="both"/>
        <w:rPr>
          <w:rFonts w:eastAsia="Times New Roman" w:cs="Calibri"/>
          <w:b/>
          <w:lang w:eastAsia="en-US"/>
        </w:rPr>
      </w:pPr>
      <w:r>
        <w:rPr>
          <w:rFonts w:eastAsia="Times New Roman" w:cs="Calibri"/>
          <w:b/>
          <w:lang w:eastAsia="en-US"/>
        </w:rPr>
        <w:t>J</w:t>
      </w:r>
      <w:r w:rsidRPr="00CB4571">
        <w:rPr>
          <w:rFonts w:eastAsia="Times New Roman" w:cs="Calibri"/>
          <w:b/>
          <w:lang w:eastAsia="en-US"/>
        </w:rPr>
        <w:t xml:space="preserve">akie są możliwości przeprowadzenia zajęć poza szkołami tzn. jak dokładnie należy opisać koszty z tym związane (jakie mogą być w stosunku do innych w budżecie), w sytuacji gdy gmina jeszcze nie wie kto będzie wykonawcą, bo postępowanie zostanie przeprowadzone dopiero po </w:t>
      </w:r>
      <w:r>
        <w:rPr>
          <w:rFonts w:eastAsia="Times New Roman" w:cs="Calibri"/>
          <w:b/>
          <w:lang w:eastAsia="en-US"/>
        </w:rPr>
        <w:t>zawarciu umowy o dofinansowanie?</w:t>
      </w:r>
    </w:p>
    <w:p w:rsidR="00CB4571" w:rsidRDefault="00CB4571" w:rsidP="00CB4571">
      <w:pPr>
        <w:jc w:val="both"/>
        <w:rPr>
          <w:color w:val="FF0000"/>
          <w:highlight w:val="yellow"/>
        </w:rPr>
      </w:pPr>
    </w:p>
    <w:p w:rsidR="00CB4571" w:rsidRDefault="00CB4571" w:rsidP="00CB4571">
      <w:pPr>
        <w:autoSpaceDE w:val="0"/>
        <w:autoSpaceDN w:val="0"/>
        <w:adjustRightInd w:val="0"/>
        <w:jc w:val="both"/>
      </w:pPr>
      <w:r w:rsidRPr="00CB4571">
        <w:t>IOK nie określiła w Regulaminie konkursu limitów ani stawek maksymalnych w tym zakresie. Wnioskodawca we wniosku o dofinansowanie proponuje wartość takiego wydatku biorąc pod uwagę racjonalność</w:t>
      </w:r>
      <w:r>
        <w:t xml:space="preserve"> i efektywność</w:t>
      </w:r>
      <w:r w:rsidRPr="00CB4571">
        <w:t xml:space="preserve"> wydatkowania</w:t>
      </w:r>
      <w:r>
        <w:t xml:space="preserve"> środków, a także zastosowanie stawek rynkowych. </w:t>
      </w:r>
      <w:r w:rsidRPr="00CB4571">
        <w:t xml:space="preserve"> Na etapie oceny wniosku o dofinansowanie oceniający badają prawidłowość konstrukcji budżetu i kwalifikowalność wydatków.</w:t>
      </w:r>
      <w:r>
        <w:t xml:space="preserve"> W celu rozpoznania stawek rynkowych Wnioskodawca może przeprowadzić na etapie opracowywania wniosku o dofinansowanie</w:t>
      </w:r>
      <w:r w:rsidR="008E1C66">
        <w:t xml:space="preserve"> </w:t>
      </w:r>
      <w:r>
        <w:t>rozeznanie rynku, zgodnie z procedurami i praktykami obowiązującymi u Wnioskodawcy lub w oparciu o Rozdział 6.5</w:t>
      </w:r>
      <w:r w:rsidR="008E1C66">
        <w:t xml:space="preserve"> „Zamówienia udzielane w ramach projektów”</w:t>
      </w:r>
      <w:r>
        <w:t xml:space="preserve"> w Wytycznych </w:t>
      </w:r>
      <w:r w:rsidRPr="00CB4571">
        <w:t>w zakresie kwalifikowalno</w:t>
      </w:r>
      <w:r w:rsidRPr="00CB4571">
        <w:rPr>
          <w:rFonts w:hint="eastAsia"/>
        </w:rPr>
        <w:t>ś</w:t>
      </w:r>
      <w:r w:rsidRPr="00CB4571">
        <w:t>ci wydatków w ramach Europejskiego</w:t>
      </w:r>
      <w:r w:rsidR="008E1C66">
        <w:t xml:space="preserve"> </w:t>
      </w:r>
      <w:r w:rsidRPr="00CB4571">
        <w:t>Funduszu Rozwoju Regionalnego, Europejskiego Funduszu Społecznego</w:t>
      </w:r>
      <w:r w:rsidR="008E1C66">
        <w:t xml:space="preserve"> </w:t>
      </w:r>
      <w:r w:rsidRPr="00CB4571">
        <w:t>oraz Funduszu Spójno</w:t>
      </w:r>
      <w:r w:rsidRPr="00CB4571">
        <w:rPr>
          <w:rFonts w:hint="eastAsia"/>
        </w:rPr>
        <w:t>ś</w:t>
      </w:r>
      <w:r w:rsidRPr="00CB4571">
        <w:t>ci na lata 2014-2020</w:t>
      </w:r>
      <w:r w:rsidR="008E1C66">
        <w:t>.</w:t>
      </w:r>
    </w:p>
    <w:p w:rsidR="008E1C66" w:rsidRDefault="008E1C66" w:rsidP="00CB4571">
      <w:pPr>
        <w:autoSpaceDE w:val="0"/>
        <w:autoSpaceDN w:val="0"/>
        <w:adjustRightInd w:val="0"/>
        <w:jc w:val="both"/>
      </w:pPr>
    </w:p>
    <w:p w:rsidR="008E1C66" w:rsidRDefault="008E1C66" w:rsidP="008E1C66">
      <w:pPr>
        <w:pStyle w:val="Akapitzlist"/>
        <w:numPr>
          <w:ilvl w:val="0"/>
          <w:numId w:val="1"/>
        </w:numPr>
        <w:jc w:val="both"/>
        <w:rPr>
          <w:rFonts w:eastAsia="Times New Roman" w:cs="Calibri"/>
          <w:b/>
          <w:lang w:eastAsia="en-US"/>
        </w:rPr>
      </w:pPr>
      <w:r>
        <w:rPr>
          <w:rFonts w:eastAsia="Times New Roman" w:cs="Calibri"/>
          <w:b/>
          <w:lang w:eastAsia="en-US"/>
        </w:rPr>
        <w:t>C</w:t>
      </w:r>
      <w:r w:rsidRPr="008E1C66">
        <w:rPr>
          <w:rFonts w:eastAsia="Times New Roman" w:cs="Calibri"/>
          <w:b/>
          <w:lang w:eastAsia="en-US"/>
        </w:rPr>
        <w:t>zy w ramach projektu można przeprowadzić prace budowlane w zakresie modernizacji pracowni przedmiotowych, instalacji sieci internetowej</w:t>
      </w:r>
      <w:r>
        <w:rPr>
          <w:rFonts w:eastAsia="Times New Roman" w:cs="Calibri"/>
          <w:b/>
          <w:lang w:eastAsia="en-US"/>
        </w:rPr>
        <w:t>?</w:t>
      </w:r>
    </w:p>
    <w:p w:rsidR="008E1C66" w:rsidRDefault="008E1C66" w:rsidP="008E1C66">
      <w:pPr>
        <w:jc w:val="both"/>
        <w:rPr>
          <w:rFonts w:eastAsia="Times New Roman" w:cs="Calibri"/>
          <w:b/>
          <w:lang w:eastAsia="en-US"/>
        </w:rPr>
      </w:pPr>
    </w:p>
    <w:p w:rsidR="008E1C66" w:rsidRPr="008E1C66" w:rsidRDefault="008E1C66" w:rsidP="008E1C66">
      <w:pPr>
        <w:pStyle w:val="Default0"/>
        <w:jc w:val="both"/>
        <w:rPr>
          <w:color w:val="auto"/>
          <w:sz w:val="22"/>
          <w:szCs w:val="22"/>
        </w:rPr>
      </w:pPr>
      <w:r w:rsidRPr="008E1C66">
        <w:rPr>
          <w:color w:val="auto"/>
          <w:sz w:val="22"/>
          <w:szCs w:val="22"/>
        </w:rPr>
        <w:t xml:space="preserve">W ramach typu projektu 10.2.B można wyposażyć szkolne pracownie w narzędzia do nauczania przedmiotów przyrodniczych lub matematyki, w tym można zakwalifikować koszty związane z </w:t>
      </w:r>
      <w:r w:rsidRPr="008E1C66">
        <w:rPr>
          <w:color w:val="auto"/>
          <w:sz w:val="22"/>
          <w:szCs w:val="22"/>
          <w:u w:val="single"/>
        </w:rPr>
        <w:t>dostosowaniem lub adaptacją pomieszczeń</w:t>
      </w:r>
      <w:r w:rsidRPr="008E1C66">
        <w:rPr>
          <w:color w:val="auto"/>
          <w:sz w:val="22"/>
          <w:szCs w:val="22"/>
        </w:rPr>
        <w:t xml:space="preserve"> na potrzeby pracowni szkolnych, wynikające m. in. z konieczności montażu zakupionego wyposażenia oraz zagwarantowania bezpiecznego ich użytkowania. Koszty związane z dostosowaniem lub adaptacją pomieszczeń (tj. prace remontowo-wykończeniowe i zakup infrastruktury, przy czym poprzez infrastrukturę rozumie się elementy nieprzenośne, na stałe przytwierdzone do nieruchomości) co do zasady stanowią koszty w ramach cross-</w:t>
      </w:r>
      <w:proofErr w:type="spellStart"/>
      <w:r w:rsidRPr="008E1C66">
        <w:rPr>
          <w:color w:val="auto"/>
          <w:sz w:val="22"/>
          <w:szCs w:val="22"/>
        </w:rPr>
        <w:t>financingu</w:t>
      </w:r>
      <w:proofErr w:type="spellEnd"/>
      <w:r w:rsidRPr="008E1C66">
        <w:rPr>
          <w:color w:val="auto"/>
          <w:sz w:val="22"/>
          <w:szCs w:val="22"/>
        </w:rPr>
        <w:t xml:space="preserve"> więc należy je zaplanować do wysokości 10% finansowania unijnego na poziomie projektu. W przypadku projektów planujących wyposażenie pracowni przyrodniczych i matematycznych wydatki w ramach cross-</w:t>
      </w:r>
      <w:proofErr w:type="spellStart"/>
      <w:r w:rsidRPr="008E1C66">
        <w:rPr>
          <w:color w:val="auto"/>
          <w:sz w:val="22"/>
          <w:szCs w:val="22"/>
        </w:rPr>
        <w:t>financingu</w:t>
      </w:r>
      <w:proofErr w:type="spellEnd"/>
      <w:r w:rsidRPr="008E1C66">
        <w:rPr>
          <w:color w:val="auto"/>
          <w:sz w:val="22"/>
          <w:szCs w:val="22"/>
        </w:rPr>
        <w:t xml:space="preserve"> oraz wydatki na sprzęt nie mogą przekroczyć </w:t>
      </w:r>
      <w:r w:rsidRPr="008E1C66">
        <w:rPr>
          <w:color w:val="auto"/>
          <w:sz w:val="22"/>
          <w:szCs w:val="22"/>
        </w:rPr>
        <w:lastRenderedPageBreak/>
        <w:t>30% wydatków projektu. Szczegóły (możliwości i warunki) dotyczące zakupu wyposażenia pracowni przyrodniczych i matematycznych zostały opisane w Załączniku nr 4 do Regulaminu konkursu (str.10-12).</w:t>
      </w:r>
    </w:p>
    <w:p w:rsidR="008E1C66" w:rsidRDefault="008E1C66" w:rsidP="008E1C66">
      <w:pPr>
        <w:pStyle w:val="Default0"/>
        <w:jc w:val="both"/>
        <w:rPr>
          <w:color w:val="auto"/>
          <w:sz w:val="22"/>
          <w:szCs w:val="22"/>
        </w:rPr>
      </w:pPr>
      <w:r w:rsidRPr="008E1C66">
        <w:rPr>
          <w:color w:val="auto"/>
          <w:sz w:val="22"/>
          <w:szCs w:val="22"/>
        </w:rPr>
        <w:t>Natomiast instalacja sieci internetowej w pracowniach przedmiotowych jest możliwa w ramach typu projektu 10.2.A jako forma wsparcia określona w punkcie j): „wyposażenie szkół lub placówek systemu oświaty w pomoce dydaktyczne oraz narzędzia TIK niezbędne do realizacji programów nauczania w szkołach lub placówkach systemu oświaty, w tym zapewnienie odpowiedniej infrastruktury sieciowo-usługowej”. Szczegóły (warunki i możliwości) dotyczące wsparcia w formie zapewnienia infrastruktury sieciowo-usługowej zostały opisane w Załączniku nr 4 do Regulaminu konkursu (str. 5-9).</w:t>
      </w:r>
    </w:p>
    <w:p w:rsidR="008E1C66" w:rsidRDefault="008E1C66" w:rsidP="008E1C66">
      <w:pPr>
        <w:pStyle w:val="Default0"/>
        <w:jc w:val="both"/>
        <w:rPr>
          <w:color w:val="auto"/>
          <w:sz w:val="22"/>
          <w:szCs w:val="22"/>
        </w:rPr>
      </w:pPr>
    </w:p>
    <w:p w:rsidR="008E1C66" w:rsidRPr="008E1C66" w:rsidRDefault="008E1C66" w:rsidP="008E1C66">
      <w:pPr>
        <w:pStyle w:val="Akapitzlist"/>
        <w:numPr>
          <w:ilvl w:val="0"/>
          <w:numId w:val="1"/>
        </w:numPr>
        <w:jc w:val="both"/>
        <w:rPr>
          <w:rFonts w:eastAsia="Times New Roman" w:cs="Calibri"/>
          <w:b/>
          <w:lang w:eastAsia="en-US"/>
        </w:rPr>
      </w:pPr>
      <w:r w:rsidRPr="008E1C66">
        <w:rPr>
          <w:rFonts w:eastAsia="Times New Roman" w:cs="Calibri"/>
          <w:b/>
          <w:lang w:eastAsia="en-US"/>
        </w:rPr>
        <w:t>Na bazie aktualnie istniejącego gimnazjum od września powstanie nowa szkoła podstawowa z wygaszanymi klasami gimnazjum. Czy można aplikować o środki na tę nową szkołę, czy tylko na gimnazjum?</w:t>
      </w:r>
    </w:p>
    <w:p w:rsidR="008E1C66" w:rsidRPr="008E1C66" w:rsidRDefault="008E1C66" w:rsidP="008E1C66">
      <w:pPr>
        <w:pStyle w:val="Default0"/>
        <w:jc w:val="both"/>
        <w:rPr>
          <w:color w:val="auto"/>
          <w:sz w:val="22"/>
          <w:szCs w:val="22"/>
        </w:rPr>
      </w:pPr>
    </w:p>
    <w:p w:rsidR="008E1C66" w:rsidRPr="008E1C66" w:rsidRDefault="008E1C66" w:rsidP="008E1C66">
      <w:pPr>
        <w:jc w:val="both"/>
      </w:pPr>
      <w:r w:rsidRPr="008E1C66">
        <w:t xml:space="preserve">Podstawowym kryterium ubiegania się o dofinansowanie jest fakt skierowania wsparcia w projekcie dla szkoły, którą osiąga najsłabsze wyniki edukacyjne tzn. której średni wynik procentowy z egzaminu zewnętrznego w roku 2016 r. jest niższy niż średni wynik procentowy dla województwa dolnośląskiego (lub dla ZIT – jeśli projekt będzie realizowany na terenie ZIT). Zgodnie z Załącznikiem nr 5 do Regulaminu konkursu, wsparcie w ramach projektu nie może być udzielone szkołom, które nie posiadają wyników z egzaminów zewnętrznych za rok 2016 czyli nie może być udzielone szkołom planowanym do utworzenia. W związku z tym, jeśli Państwa gimnazjum, posiada wyniki z egzaminów zewnętrznych za rok 2016 należy, zgodnie z Załącznikiem nr 5, obliczyć średni wynik procentowy szkoły (średnia ważona) i jeśli wynik ten jest niższy niż średni wynik procentowy dla regionu (lub ZIT), można ubiegać się o dofinansowanie dla tej szkoły. Kolejnym krokiem jest przeprowadzenie </w:t>
      </w:r>
      <w:r w:rsidRPr="008E1C66">
        <w:rPr>
          <w:i/>
        </w:rPr>
        <w:t>Diagnozy potrzeb edukacyjnych</w:t>
      </w:r>
      <w:r w:rsidRPr="008E1C66">
        <w:t>. Diagnoza powinna być przeprowadzona w oparciu o istniejącą i aktualną sieć i strukturę szkolnictwa czyli musi się odnosić do aktualnej sytuacji gimnazjum i jej uczniów. Wsparcie w ramach projektu powinno odpowiadać na zdiagnozowane potrzeby edukacyjne czyli powinno być zaplanowane</w:t>
      </w:r>
      <w:r>
        <w:t xml:space="preserve"> dla grupy docelowej którą można zdiagnozować czyli</w:t>
      </w:r>
      <w:r w:rsidRPr="008E1C66">
        <w:t xml:space="preserve"> dla uczniów obecnego gimnazjum, dla kadry pedagogicznej tego gimnazjum i w odniesieniu do aktualnych zasobów gimnazjum.</w:t>
      </w:r>
    </w:p>
    <w:p w:rsidR="008E1C66" w:rsidRDefault="008E1C66" w:rsidP="008E1C66">
      <w:pPr>
        <w:jc w:val="both"/>
      </w:pPr>
      <w:r w:rsidRPr="008E1C66">
        <w:t>W przypadku otrzymania dofinansowania, po podpisaniu umowy o dofinansowanie, będzie możliwość wprowadzenia zmian do projektu wynikających z wprowadzonej reformy oświaty czyli np. zmiany nazwy szkoły.</w:t>
      </w:r>
    </w:p>
    <w:p w:rsidR="008E1C66" w:rsidRDefault="008E1C66" w:rsidP="008E1C66">
      <w:pPr>
        <w:jc w:val="both"/>
      </w:pPr>
    </w:p>
    <w:p w:rsidR="008E1C66" w:rsidRPr="008E1C66" w:rsidRDefault="008E1C66" w:rsidP="008E1C66">
      <w:pPr>
        <w:pStyle w:val="Akapitzlist"/>
        <w:numPr>
          <w:ilvl w:val="0"/>
          <w:numId w:val="1"/>
        </w:numPr>
        <w:jc w:val="both"/>
        <w:rPr>
          <w:rFonts w:eastAsia="Times New Roman" w:cs="Calibri"/>
          <w:b/>
          <w:lang w:eastAsia="en-US"/>
        </w:rPr>
      </w:pPr>
      <w:r w:rsidRPr="008E1C66">
        <w:rPr>
          <w:rFonts w:eastAsia="Times New Roman" w:cs="Calibri"/>
          <w:b/>
          <w:lang w:eastAsia="en-US"/>
        </w:rPr>
        <w:t>Czy w ramach projektu uczniowie uczestniczący w zajęciach z języka niemieckiego mogą uczestniczyć w wycieczce do Berlina, która wpisana byłaby w koszty projektu?</w:t>
      </w:r>
    </w:p>
    <w:p w:rsidR="008E1C66" w:rsidRDefault="008E1C66" w:rsidP="008E1C66">
      <w:pPr>
        <w:jc w:val="both"/>
      </w:pPr>
    </w:p>
    <w:p w:rsidR="008E1C66" w:rsidRPr="008E1C66" w:rsidRDefault="008E1C66" w:rsidP="008E1C66">
      <w:pPr>
        <w:jc w:val="both"/>
      </w:pPr>
      <w:r w:rsidRPr="008E1C66">
        <w:t xml:space="preserve">W ramach typu projektu 10.2.A jest możliwość realizacji różnych form wsparcia mających na celu kształtowanie kompetencji kluczowych (w tym języków obcych nowożytnych) i wsparcie nauki języków obcych. W ramach „zajęć z języka niemieckiego” są możliwe do zakwalifikowania takie formy i metody pracy, które przyczyniają się do realizacji celu zajęć. </w:t>
      </w:r>
    </w:p>
    <w:p w:rsidR="008E1C66" w:rsidRDefault="008E1C66" w:rsidP="008E1C66">
      <w:pPr>
        <w:autoSpaceDE w:val="0"/>
        <w:autoSpaceDN w:val="0"/>
        <w:adjustRightInd w:val="0"/>
        <w:jc w:val="both"/>
      </w:pPr>
      <w:r w:rsidRPr="008E1C66">
        <w:t>Kwalifikowalność geograficzna wydatków w ramach EFS, co do zasady, ograniczona jest do terytorium kraju, a w ramach Programów Operacyjnych do obszaru Programu Operacyjnego czyli w przypadku RPO WD do województwa dolnośląskiego. IZ może jednak uznać za kwalifikowany wydatek poniesiony poza terytorium kraju na terenie UE</w:t>
      </w:r>
      <w:r w:rsidR="00A93860">
        <w:t>,</w:t>
      </w:r>
      <w:r w:rsidRPr="008E1C66">
        <w:t xml:space="preserve"> pod warunkiem, że wydatek jest uzasadniony celem projektu, przy czym jest konieczne wyraźne uwzględnienie tego we wniosku o dofinansowanie (ze wskazaniem możliwie szczegółowo planowanego miejsca realizacji wsparcia) i przedstawienie odpowiedniego uzasadnienia.</w:t>
      </w:r>
      <w:r w:rsidR="00A93860">
        <w:t xml:space="preserve"> Uzasadnienie powinno wykazywać, że nie ma możliwości osiągnięcia celów danej formy wsparcia na terytorium województwa dolnośląskiego lub na terytorium kraju.</w:t>
      </w:r>
    </w:p>
    <w:p w:rsidR="00A93860" w:rsidRDefault="00A93860" w:rsidP="008E1C66">
      <w:pPr>
        <w:autoSpaceDE w:val="0"/>
        <w:autoSpaceDN w:val="0"/>
        <w:adjustRightInd w:val="0"/>
        <w:jc w:val="both"/>
      </w:pPr>
    </w:p>
    <w:p w:rsidR="00A93860" w:rsidRPr="00A93860" w:rsidRDefault="00A93860" w:rsidP="00A93860">
      <w:pPr>
        <w:pStyle w:val="Akapitzlist"/>
        <w:numPr>
          <w:ilvl w:val="0"/>
          <w:numId w:val="1"/>
        </w:numPr>
        <w:jc w:val="both"/>
        <w:rPr>
          <w:color w:val="FF0000"/>
        </w:rPr>
      </w:pPr>
      <w:r w:rsidRPr="00A93860">
        <w:rPr>
          <w:rFonts w:eastAsia="Times New Roman" w:cs="Calibri"/>
          <w:b/>
          <w:lang w:eastAsia="en-US"/>
        </w:rPr>
        <w:lastRenderedPageBreak/>
        <w:t>Czy w ramach naboru: RPDS.10.02.01-IZ.00-02-220/17 Działanie 10.2 Zapewnienie równego dostępu do wysokiej jakości edukacji podstawowej, gimnazjalnej i ponadgimnazjalnej Poddziałanie – konkurs horyzontalny i OSI, Poradnia Psychologiczno-Pedagogiczna będąca placówką oświaty, może aplikować w/w naborze?</w:t>
      </w:r>
      <w:r w:rsidRPr="00A93860">
        <w:rPr>
          <w:color w:val="FF0000"/>
        </w:rPr>
        <w:t xml:space="preserve"> </w:t>
      </w:r>
    </w:p>
    <w:p w:rsidR="00A93860" w:rsidRDefault="00A93860" w:rsidP="00A93860">
      <w:pPr>
        <w:jc w:val="both"/>
        <w:rPr>
          <w:color w:val="FF0000"/>
        </w:rPr>
      </w:pPr>
    </w:p>
    <w:p w:rsidR="00A93860" w:rsidRPr="00A93860" w:rsidRDefault="00A93860" w:rsidP="00A93860">
      <w:pPr>
        <w:jc w:val="both"/>
      </w:pPr>
      <w:r w:rsidRPr="00A93860">
        <w:t xml:space="preserve">W ramach niniejszych konkursów Wnioskodawcami mogą być: </w:t>
      </w:r>
    </w:p>
    <w:p w:rsidR="00A93860" w:rsidRPr="00A93860" w:rsidRDefault="00A93860" w:rsidP="00A93860">
      <w:pPr>
        <w:numPr>
          <w:ilvl w:val="0"/>
          <w:numId w:val="4"/>
        </w:numPr>
        <w:ind w:left="300"/>
      </w:pPr>
      <w:r w:rsidRPr="00A93860">
        <w:t>jednostki samorządu terytorialnego, ich związki i stowarzyszenia;</w:t>
      </w:r>
    </w:p>
    <w:p w:rsidR="00A93860" w:rsidRPr="00A93860" w:rsidRDefault="00A93860" w:rsidP="00A93860">
      <w:pPr>
        <w:numPr>
          <w:ilvl w:val="0"/>
          <w:numId w:val="4"/>
        </w:numPr>
        <w:ind w:left="300"/>
      </w:pPr>
      <w:r w:rsidRPr="00A93860">
        <w:t xml:space="preserve">jednostki organizacyjne </w:t>
      </w:r>
      <w:proofErr w:type="spellStart"/>
      <w:r w:rsidRPr="00A93860">
        <w:t>jst</w:t>
      </w:r>
      <w:proofErr w:type="spellEnd"/>
      <w:r w:rsidRPr="00A93860">
        <w:t>;</w:t>
      </w:r>
    </w:p>
    <w:p w:rsidR="00A93860" w:rsidRPr="00A93860" w:rsidRDefault="00A93860" w:rsidP="00A93860">
      <w:pPr>
        <w:numPr>
          <w:ilvl w:val="0"/>
          <w:numId w:val="4"/>
        </w:numPr>
        <w:ind w:left="300"/>
      </w:pPr>
      <w:r w:rsidRPr="00A93860">
        <w:t>organizacje pozarządowe;</w:t>
      </w:r>
    </w:p>
    <w:p w:rsidR="00A93860" w:rsidRPr="00A93860" w:rsidRDefault="00A93860" w:rsidP="00A93860">
      <w:pPr>
        <w:numPr>
          <w:ilvl w:val="0"/>
          <w:numId w:val="4"/>
        </w:numPr>
        <w:ind w:left="300"/>
      </w:pPr>
      <w:r w:rsidRPr="00A93860">
        <w:t>organy prowadzące publiczne i niepubliczne szkoły podstawowe, gimnazjalne i ponadgimnazjalne.</w:t>
      </w:r>
    </w:p>
    <w:p w:rsidR="00A93860" w:rsidRPr="00A93860" w:rsidRDefault="00A93860" w:rsidP="00A93860">
      <w:pPr>
        <w:ind w:left="-60"/>
        <w:jc w:val="both"/>
      </w:pPr>
      <w:r w:rsidRPr="00A93860">
        <w:t xml:space="preserve">Wnioskodawcą może być podmiot posiadający osobowość prawną.  O dofinansowanie nie mogą ubiegać się podmioty, które podlegają wykluczeniu z możliwości otrzymania dofinansowania, w tym wykluczeniu, o którym mowa w art. 207 ust. 4 ustawy z dnia 27 sierpnia 2009 r. o finansach publicznych. </w:t>
      </w:r>
    </w:p>
    <w:p w:rsidR="00A93860" w:rsidRPr="00A93860" w:rsidRDefault="00A93860" w:rsidP="00A93860">
      <w:pPr>
        <w:tabs>
          <w:tab w:val="left" w:pos="4515"/>
        </w:tabs>
        <w:ind w:left="-60"/>
        <w:jc w:val="both"/>
      </w:pPr>
    </w:p>
    <w:p w:rsidR="00A93860" w:rsidRPr="00A93860" w:rsidRDefault="00A93860" w:rsidP="00A93860">
      <w:pPr>
        <w:tabs>
          <w:tab w:val="left" w:pos="4515"/>
        </w:tabs>
        <w:ind w:left="-60"/>
        <w:jc w:val="both"/>
      </w:pPr>
      <w:r w:rsidRPr="00A93860">
        <w:t xml:space="preserve">W pytaniu nie doprecyzowano formy organizacyjno-prawnej Poradni, więc trudno odpowiedzieć bardziej precyzyjnie. Jeżeli Poradnia Psychologiczno-Pedagogiczna, o której mowa w pytaniu, wpisuje się w w/w kategorie podmiotów i posiada osobowość prawną to może być Wnioskodawcą. </w:t>
      </w:r>
    </w:p>
    <w:p w:rsidR="00A93860" w:rsidRPr="00A93860" w:rsidRDefault="00A93860" w:rsidP="00A93860">
      <w:pPr>
        <w:tabs>
          <w:tab w:val="left" w:pos="4515"/>
        </w:tabs>
        <w:ind w:left="-60"/>
        <w:jc w:val="both"/>
      </w:pPr>
    </w:p>
    <w:p w:rsidR="00A93860" w:rsidRPr="00A93860" w:rsidRDefault="00A93860" w:rsidP="00A93860">
      <w:pPr>
        <w:tabs>
          <w:tab w:val="left" w:pos="4515"/>
        </w:tabs>
        <w:ind w:left="-60"/>
        <w:jc w:val="both"/>
      </w:pPr>
      <w:r w:rsidRPr="00A93860">
        <w:t xml:space="preserve">W Polsce funkcjonują jednostki organizacyjne </w:t>
      </w:r>
      <w:proofErr w:type="spellStart"/>
      <w:r w:rsidRPr="00A93860">
        <w:t>jst</w:t>
      </w:r>
      <w:proofErr w:type="spellEnd"/>
      <w:r w:rsidRPr="00A93860">
        <w:t xml:space="preserve"> zarówno posiadające jak i nieposiadające osobowości prawnej. Funkcjonują np. Powiatowe Poradnie Psychologiczno-Pedagogiczne, które są jednostkami organizacyjnymi </w:t>
      </w:r>
      <w:proofErr w:type="spellStart"/>
      <w:r w:rsidRPr="00A93860">
        <w:t>jst</w:t>
      </w:r>
      <w:proofErr w:type="spellEnd"/>
      <w:r w:rsidRPr="00A93860">
        <w:t xml:space="preserve"> posiadającymi osobowość prawną tzn. charakteryzują się samodzielnością prawną i niezależnością od jednostek samorządu terytorialnego, działają w obrocie prawnym we własnym imieniu i na własną odpowiedzialność. Taka poradnia może być Wnioskodawcą. </w:t>
      </w:r>
    </w:p>
    <w:p w:rsidR="00A93860" w:rsidRPr="00A93860" w:rsidRDefault="00A93860" w:rsidP="00A93860">
      <w:pPr>
        <w:tabs>
          <w:tab w:val="left" w:pos="4515"/>
        </w:tabs>
        <w:ind w:left="-60"/>
        <w:jc w:val="both"/>
      </w:pPr>
    </w:p>
    <w:p w:rsidR="00A93860" w:rsidRDefault="00A93860" w:rsidP="00A93860">
      <w:pPr>
        <w:tabs>
          <w:tab w:val="left" w:pos="4515"/>
        </w:tabs>
        <w:ind w:left="-60"/>
        <w:jc w:val="both"/>
      </w:pPr>
      <w:r w:rsidRPr="00A93860">
        <w:t xml:space="preserve">Jeżeli Poradnia nie posiada osobowości prawnej i jest jednostką organizacyjną </w:t>
      </w:r>
      <w:proofErr w:type="spellStart"/>
      <w:r w:rsidRPr="00A93860">
        <w:t>jst</w:t>
      </w:r>
      <w:proofErr w:type="spellEnd"/>
      <w:r w:rsidRPr="00A93860">
        <w:t xml:space="preserve"> to zawsze działa w imieniu i na rachunek organu założycielskiego: gminy, powiatu czy województwa. W takim projekcie Wnioskodawcą powinna być jednostka samorządu terytorialnego, która powierzy swojej jednostce organizacyjnej (np. poradni) realizację projektu, zwanej wówczas realizatorem projektu. Wówczas we wniosku o dofinansowanie w polu Nazwa Wnioskodawcy należy wpisać pełną nazwę właściwej jednostki samorządu terytorialnego posiadającej osobowość prawną (np. Gminy) oraz jej dane identyfikacyjne i teleadresowe. Oznacza to jednocześnie, że podmiot ten będzie stroną umowy o dofinansowanie przedmiotowego projektu. Dane jednostki organizacyjnej tzw. realizatora projektu (np. poradni) nieposiadającej osobowości prawnej, której gmina zamierza powierzyć realizację projektu na podstawie pełnomocnictwa, upoważnienia lub innego równoważnego dokumentu, należy podać w punkcie 2.11 Wniosku o dofinansowanie „Inne podmioty zaangażowane w realizację projektu”.</w:t>
      </w:r>
    </w:p>
    <w:p w:rsidR="00A93860" w:rsidRDefault="00A93860" w:rsidP="00A93860">
      <w:pPr>
        <w:tabs>
          <w:tab w:val="left" w:pos="4515"/>
        </w:tabs>
        <w:ind w:left="-60"/>
        <w:jc w:val="both"/>
      </w:pPr>
    </w:p>
    <w:p w:rsidR="00A93860" w:rsidRDefault="00A93860" w:rsidP="00A93860">
      <w:pPr>
        <w:tabs>
          <w:tab w:val="left" w:pos="4515"/>
        </w:tabs>
        <w:ind w:left="-60"/>
        <w:jc w:val="both"/>
      </w:pPr>
      <w:r>
        <w:t xml:space="preserve">Należy również pamiętać o kryteriach dostępu: wsparcie musi być skierowane do szkół osiągających najsłabsze wyniki edukacyjne w skali regionu/ZIT (lub być skierowane do </w:t>
      </w:r>
      <w:proofErr w:type="spellStart"/>
      <w:r>
        <w:t>szół</w:t>
      </w:r>
      <w:proofErr w:type="spellEnd"/>
      <w:r>
        <w:t xml:space="preserve"> specjalnych i placówek wskazanych w wyłączeniu do kryterium nr 3) oraz Wnioskodawcą lub Partnerem w projekcie musi być organ prowadzący szkołę objętą wsparciem.</w:t>
      </w:r>
    </w:p>
    <w:p w:rsidR="00A93860" w:rsidRDefault="00A93860" w:rsidP="00A93860">
      <w:pPr>
        <w:tabs>
          <w:tab w:val="left" w:pos="4515"/>
        </w:tabs>
        <w:ind w:left="-60"/>
        <w:jc w:val="both"/>
      </w:pPr>
    </w:p>
    <w:p w:rsidR="00A93860" w:rsidRPr="00A93860" w:rsidRDefault="00A93860" w:rsidP="00A93860">
      <w:pPr>
        <w:pStyle w:val="Akapitzlist"/>
        <w:numPr>
          <w:ilvl w:val="0"/>
          <w:numId w:val="1"/>
        </w:numPr>
        <w:jc w:val="both"/>
        <w:rPr>
          <w:rFonts w:eastAsia="Times New Roman" w:cs="Calibri"/>
          <w:b/>
          <w:lang w:eastAsia="en-US"/>
        </w:rPr>
      </w:pPr>
      <w:r w:rsidRPr="00A93860">
        <w:rPr>
          <w:rFonts w:eastAsia="Times New Roman" w:cs="Calibri"/>
          <w:b/>
          <w:lang w:eastAsia="en-US"/>
        </w:rPr>
        <w:t>Czy 5% wkład własny musi być wkładem finansowym? Czy może być to wartość udostępnionych sal, czas pracy osób zaangażowanych w realizację projektu?</w:t>
      </w:r>
    </w:p>
    <w:p w:rsidR="00A93860" w:rsidRDefault="00A93860" w:rsidP="00A93860">
      <w:pPr>
        <w:autoSpaceDE w:val="0"/>
        <w:autoSpaceDN w:val="0"/>
        <w:adjustRightInd w:val="0"/>
        <w:jc w:val="both"/>
        <w:rPr>
          <w:color w:val="FF0000"/>
        </w:rPr>
      </w:pPr>
    </w:p>
    <w:p w:rsidR="00A93860" w:rsidRPr="00A93860" w:rsidRDefault="00A93860" w:rsidP="000B5BA9">
      <w:pPr>
        <w:autoSpaceDE w:val="0"/>
        <w:autoSpaceDN w:val="0"/>
        <w:adjustRightInd w:val="0"/>
        <w:jc w:val="both"/>
      </w:pPr>
      <w:r w:rsidRPr="00A93860">
        <w:t xml:space="preserve">Wkład własny nie musi być wkładem finansowym. Może to być wkład niepieniężny. Wkład niepieniężny polega na wniesieniu (wykorzystaniu na rzecz projektu) nieruchomości (może to być wykorzystanie całej nieruchomości lub wartość amortyzacji lub wynajmu sal), urządzeń, materiałów (surowców), wartości niematerialnych i prawnych, ekspertyz lub nieodpłatnej pracy wykonywanej przez wolontariuszy na podstawie ustawy z dnia 24 kwietnia 2003 r. o działalności pożytku </w:t>
      </w:r>
      <w:r w:rsidRPr="00A93860">
        <w:lastRenderedPageBreak/>
        <w:t>publicznego i o wolontariacie. Wkład niepieniężny powinien być wnoszony przez Wnioskodawcę ze składników jego majątku lub z majątku innych podmiotów, jeżeli możliwość taka wynika z przepisów prawa lub może być wniesiony przez Partnera projektu.</w:t>
      </w:r>
    </w:p>
    <w:p w:rsidR="00A93860" w:rsidRPr="00A93860" w:rsidRDefault="00A93860" w:rsidP="000B5BA9">
      <w:pPr>
        <w:autoSpaceDE w:val="0"/>
        <w:autoSpaceDN w:val="0"/>
        <w:adjustRightInd w:val="0"/>
        <w:jc w:val="both"/>
      </w:pPr>
      <w:r w:rsidRPr="00A93860">
        <w:t>Wkład niepieniężny, który w ciągu 7 poprzednich lat (10 lat dla nieruchomości) był współfinansowany ze środków unijnych lub/oraz dotacji z krajowych środków publicznych, jest niekwalifikowany.</w:t>
      </w:r>
    </w:p>
    <w:p w:rsidR="00A93860" w:rsidRDefault="00A93860" w:rsidP="000B5BA9">
      <w:pPr>
        <w:autoSpaceDE w:val="0"/>
        <w:autoSpaceDN w:val="0"/>
        <w:adjustRightInd w:val="0"/>
        <w:jc w:val="both"/>
      </w:pPr>
      <w:r w:rsidRPr="00A93860">
        <w:t xml:space="preserve">Zasady wnoszenia wkładu niepieniężnego do projektów są opisane w </w:t>
      </w:r>
      <w:r w:rsidRPr="00A93860">
        <w:rPr>
          <w:i/>
        </w:rPr>
        <w:t>Wytycznych w zakresie kwalifikowalno</w:t>
      </w:r>
      <w:r w:rsidRPr="00A93860">
        <w:rPr>
          <w:rFonts w:hint="eastAsia"/>
          <w:i/>
        </w:rPr>
        <w:t>ś</w:t>
      </w:r>
      <w:r w:rsidRPr="00A93860">
        <w:rPr>
          <w:i/>
        </w:rPr>
        <w:t>ci wydatków w ramach Europejskiego Funduszu Rozwoju Regionalnego, Europejskiego Funduszu Społecznego oraz Funduszu Spójno</w:t>
      </w:r>
      <w:r w:rsidRPr="00A93860">
        <w:rPr>
          <w:rFonts w:hint="eastAsia"/>
          <w:i/>
        </w:rPr>
        <w:t>ś</w:t>
      </w:r>
      <w:r w:rsidRPr="00A93860">
        <w:rPr>
          <w:i/>
        </w:rPr>
        <w:t>ci na lata 2014-2020</w:t>
      </w:r>
      <w:r w:rsidRPr="00A93860">
        <w:t xml:space="preserve"> w Rozdziale 6.10.</w:t>
      </w:r>
    </w:p>
    <w:p w:rsidR="000B5BA9" w:rsidRDefault="000B5BA9" w:rsidP="000B5BA9">
      <w:pPr>
        <w:autoSpaceDE w:val="0"/>
        <w:autoSpaceDN w:val="0"/>
        <w:adjustRightInd w:val="0"/>
        <w:jc w:val="both"/>
      </w:pPr>
    </w:p>
    <w:p w:rsidR="000B5BA9" w:rsidRDefault="000B5BA9" w:rsidP="000B5BA9">
      <w:pPr>
        <w:pStyle w:val="Akapitzlist"/>
        <w:numPr>
          <w:ilvl w:val="0"/>
          <w:numId w:val="1"/>
        </w:numPr>
        <w:jc w:val="both"/>
        <w:rPr>
          <w:rFonts w:eastAsia="Times New Roman" w:cs="Calibri"/>
          <w:b/>
          <w:lang w:eastAsia="en-US"/>
        </w:rPr>
      </w:pPr>
      <w:r w:rsidRPr="000B5BA9">
        <w:rPr>
          <w:rFonts w:eastAsia="Times New Roman" w:cs="Calibri"/>
          <w:b/>
          <w:lang w:eastAsia="en-US"/>
        </w:rPr>
        <w:t>Czy osoba p</w:t>
      </w:r>
      <w:r>
        <w:rPr>
          <w:rFonts w:eastAsia="Times New Roman" w:cs="Calibri"/>
          <w:b/>
          <w:lang w:eastAsia="en-US"/>
        </w:rPr>
        <w:t>ełniąca</w:t>
      </w:r>
      <w:r w:rsidRPr="000B5BA9">
        <w:rPr>
          <w:rFonts w:eastAsia="Times New Roman" w:cs="Calibri"/>
          <w:b/>
          <w:lang w:eastAsia="en-US"/>
        </w:rPr>
        <w:t xml:space="preserve"> funkcje w zespole zarządzającym projektem (koszty pośrednie), może jednocześnie prowadzić zajęcia z uczniami w ramach zadań (koszty bezpośrednie</w:t>
      </w:r>
      <w:r>
        <w:rPr>
          <w:rFonts w:eastAsia="Times New Roman" w:cs="Calibri"/>
          <w:b/>
          <w:lang w:eastAsia="en-US"/>
        </w:rPr>
        <w:t>)?</w:t>
      </w:r>
    </w:p>
    <w:p w:rsidR="000B5BA9" w:rsidRDefault="000B5BA9" w:rsidP="000B5BA9">
      <w:pPr>
        <w:jc w:val="both"/>
        <w:rPr>
          <w:rFonts w:eastAsia="Times New Roman" w:cs="Calibri"/>
          <w:b/>
          <w:lang w:eastAsia="en-US"/>
        </w:rPr>
      </w:pPr>
    </w:p>
    <w:p w:rsidR="000B5BA9" w:rsidRDefault="000B5BA9" w:rsidP="000B5BA9">
      <w:pPr>
        <w:jc w:val="both"/>
        <w:rPr>
          <w:i/>
        </w:rPr>
      </w:pPr>
      <w:r w:rsidRPr="000B5BA9">
        <w:t>Regulamin konkursu nie wskazuje przeciwwskazań dla takiej sytuacji. Należy jednak pamiętać, że zatrudnianie</w:t>
      </w:r>
      <w:r>
        <w:t xml:space="preserve"> personelu</w:t>
      </w:r>
      <w:r w:rsidRPr="000B5BA9">
        <w:t xml:space="preserve"> lub udzielanie zamówień w ramach projektu musi być zgodne z adekwatnymi przepisami prawa np. w zakresie Kodeksu pracy, Karty N</w:t>
      </w:r>
      <w:r>
        <w:t>auczyciela, Ustawy o systemie oś</w:t>
      </w:r>
      <w:r w:rsidRPr="000B5BA9">
        <w:t xml:space="preserve">wiaty oraz zgodne z zasadami realizacji projektów tj. w szczególności z zasadami angażowania personelu projektu oraz udzielania zamówień w projekcie (zgodnie z Wytycznymi </w:t>
      </w:r>
      <w:r w:rsidRPr="000B5BA9">
        <w:rPr>
          <w:i/>
        </w:rPr>
        <w:t>Wytycznych w zakresie kwalifikowalno</w:t>
      </w:r>
      <w:r w:rsidRPr="000B5BA9">
        <w:rPr>
          <w:rFonts w:hint="eastAsia"/>
          <w:i/>
        </w:rPr>
        <w:t>ś</w:t>
      </w:r>
      <w:r w:rsidRPr="000B5BA9">
        <w:rPr>
          <w:i/>
        </w:rPr>
        <w:t>ci wydatków w ramach Europejskiego Funduszu Rozwoju Regionalnego, Europejskiego Funduszu Społecznego oraz Funduszu Spójno</w:t>
      </w:r>
      <w:r w:rsidRPr="000B5BA9">
        <w:rPr>
          <w:rFonts w:hint="eastAsia"/>
          <w:i/>
        </w:rPr>
        <w:t>ś</w:t>
      </w:r>
      <w:r w:rsidRPr="000B5BA9">
        <w:rPr>
          <w:i/>
        </w:rPr>
        <w:t>ci na lata 2014-2020</w:t>
      </w:r>
      <w:r>
        <w:rPr>
          <w:i/>
        </w:rPr>
        <w:t>).</w:t>
      </w:r>
    </w:p>
    <w:p w:rsidR="000B5BA9" w:rsidRDefault="000B5BA9" w:rsidP="000B5BA9">
      <w:pPr>
        <w:jc w:val="both"/>
        <w:rPr>
          <w:i/>
        </w:rPr>
      </w:pPr>
    </w:p>
    <w:p w:rsidR="000B5BA9" w:rsidRDefault="000B5BA9" w:rsidP="000B5BA9">
      <w:pPr>
        <w:pStyle w:val="Akapitzlist"/>
        <w:numPr>
          <w:ilvl w:val="0"/>
          <w:numId w:val="1"/>
        </w:numPr>
        <w:jc w:val="both"/>
        <w:rPr>
          <w:rFonts w:eastAsia="Times New Roman" w:cs="Calibri"/>
          <w:b/>
          <w:lang w:eastAsia="en-US"/>
        </w:rPr>
      </w:pPr>
      <w:r w:rsidRPr="000B5BA9">
        <w:rPr>
          <w:rFonts w:eastAsia="Times New Roman" w:cs="Calibri"/>
          <w:b/>
          <w:lang w:eastAsia="en-US"/>
        </w:rPr>
        <w:t>Czy konieczne jest podawanie we wniosku imion i nazwisk osób, które planuje się zatrudnić do projektu. Dlaczego nie wystarczy opis kompetencji tych osób (wykształcenie, staż pr</w:t>
      </w:r>
      <w:r>
        <w:rPr>
          <w:rFonts w:eastAsia="Times New Roman" w:cs="Calibri"/>
          <w:b/>
          <w:lang w:eastAsia="en-US"/>
        </w:rPr>
        <w:t>acy)?</w:t>
      </w:r>
    </w:p>
    <w:p w:rsidR="000B5BA9" w:rsidRDefault="000B5BA9" w:rsidP="000B5BA9">
      <w:pPr>
        <w:jc w:val="both"/>
        <w:rPr>
          <w:rFonts w:eastAsia="Times New Roman" w:cs="Calibri"/>
          <w:b/>
          <w:lang w:eastAsia="en-US"/>
        </w:rPr>
      </w:pPr>
    </w:p>
    <w:p w:rsidR="000B5BA9" w:rsidRDefault="000B5BA9" w:rsidP="000B5BA9">
      <w:pPr>
        <w:pStyle w:val="Default0"/>
        <w:jc w:val="both"/>
        <w:rPr>
          <w:rFonts w:eastAsiaTheme="minorHAnsi" w:cs="Times New Roman"/>
          <w:color w:val="auto"/>
          <w:sz w:val="22"/>
          <w:szCs w:val="22"/>
          <w:lang w:eastAsia="pl-PL"/>
        </w:rPr>
      </w:pPr>
      <w:r w:rsidRPr="000B5BA9">
        <w:rPr>
          <w:rFonts w:eastAsiaTheme="minorHAnsi" w:cs="Times New Roman"/>
          <w:color w:val="auto"/>
          <w:sz w:val="22"/>
          <w:szCs w:val="22"/>
          <w:lang w:eastAsia="pl-PL"/>
        </w:rPr>
        <w:t xml:space="preserve">Zgodnie z instrukcją wypełniania wniosku o dofinansowanie: </w:t>
      </w:r>
      <w:r>
        <w:rPr>
          <w:rFonts w:eastAsiaTheme="minorHAnsi" w:cs="Times New Roman"/>
          <w:color w:val="auto"/>
          <w:sz w:val="22"/>
          <w:szCs w:val="22"/>
          <w:lang w:eastAsia="pl-PL"/>
        </w:rPr>
        <w:t>e</w:t>
      </w:r>
      <w:r w:rsidRPr="000B5BA9">
        <w:rPr>
          <w:rFonts w:eastAsiaTheme="minorHAnsi" w:cs="Times New Roman"/>
          <w:color w:val="auto"/>
          <w:sz w:val="22"/>
          <w:szCs w:val="22"/>
          <w:lang w:eastAsia="pl-PL"/>
        </w:rPr>
        <w:t>lementem oceny jest również doświadczenie personelu, przy czym przy opisie doświadczenia kadry zarządzającej zaangażowanej w realizację projektu Wnioskodawca nie może posługiwać się ogólnymi stwierdzeniami (np. Wnioskodawca zapewni wysoko wykwalifikowany personel). O ile to możliwe, należy podać syntetyczną informację o doświadczeniu zawodowym istotnym z punktu widzenia projektu, z uwzględnieniem planowanych na danym stanowisku zadań, uprawnień i odpowiedzialności. Należy wskazać najważniejsze kwalifikacje wymagane na danym stanowisku pracy. W sytuacji, gdy jest to możliwe, należy wskazać konkretne osoby (z imienia i nazwiska), które będą odpowiedzialne za zarządzanie projektem. W tym zakresie należy wskazać tylko posiadany potencjał kadrowy, a więc w szczególności osoby na stałe współpracujące i planowane do oddelegowania do projektu, a nie te, które Wnioskodawca dopiero chciałby zaangażować.</w:t>
      </w:r>
    </w:p>
    <w:p w:rsidR="000B5BA9" w:rsidRDefault="000B5BA9" w:rsidP="000B5BA9">
      <w:pPr>
        <w:pStyle w:val="Default0"/>
        <w:jc w:val="both"/>
        <w:rPr>
          <w:rFonts w:eastAsiaTheme="minorHAnsi" w:cs="Times New Roman"/>
          <w:color w:val="auto"/>
          <w:sz w:val="22"/>
          <w:szCs w:val="22"/>
          <w:lang w:eastAsia="pl-PL"/>
        </w:rPr>
      </w:pPr>
    </w:p>
    <w:p w:rsidR="000B5BA9" w:rsidRDefault="000B5BA9" w:rsidP="000B5BA9">
      <w:pPr>
        <w:pStyle w:val="Default0"/>
        <w:jc w:val="both"/>
        <w:rPr>
          <w:rFonts w:eastAsiaTheme="minorHAnsi" w:cs="Times New Roman"/>
          <w:color w:val="auto"/>
          <w:sz w:val="22"/>
          <w:szCs w:val="22"/>
          <w:lang w:eastAsia="pl-PL"/>
        </w:rPr>
      </w:pPr>
      <w:r>
        <w:rPr>
          <w:rFonts w:eastAsiaTheme="minorHAnsi" w:cs="Times New Roman"/>
          <w:color w:val="auto"/>
          <w:sz w:val="22"/>
          <w:szCs w:val="22"/>
          <w:lang w:eastAsia="pl-PL"/>
        </w:rPr>
        <w:t>IOK przypomina, że Komisja Oceny Projektów dokonuje oceny projektu na podstawie wniosku o dofinansowanie: im wyższy stopień szczegółowości, precyzyjności i konkretności zapisów i informacji we wniosku o dofinansowanie, tym członkowie KOP mają więcej dostępnych informacji na podstawie których mogą ocenić np. doświadczenie Wnioskodawcy i sposób zarządzania</w:t>
      </w:r>
      <w:r w:rsidR="00D74EB7">
        <w:rPr>
          <w:rFonts w:eastAsiaTheme="minorHAnsi" w:cs="Times New Roman"/>
          <w:color w:val="auto"/>
          <w:sz w:val="22"/>
          <w:szCs w:val="22"/>
          <w:lang w:eastAsia="pl-PL"/>
        </w:rPr>
        <w:t xml:space="preserve"> projektem.</w:t>
      </w:r>
    </w:p>
    <w:p w:rsidR="00D74EB7" w:rsidRDefault="00D74EB7" w:rsidP="000B5BA9">
      <w:pPr>
        <w:pStyle w:val="Default0"/>
        <w:jc w:val="both"/>
        <w:rPr>
          <w:rFonts w:eastAsiaTheme="minorHAnsi" w:cs="Times New Roman"/>
          <w:color w:val="auto"/>
          <w:sz w:val="22"/>
          <w:szCs w:val="22"/>
          <w:lang w:eastAsia="pl-PL"/>
        </w:rPr>
      </w:pPr>
    </w:p>
    <w:p w:rsidR="00D74EB7" w:rsidRPr="00D74EB7" w:rsidRDefault="00D74EB7" w:rsidP="00D74EB7">
      <w:pPr>
        <w:pStyle w:val="Akapitzlist"/>
        <w:numPr>
          <w:ilvl w:val="0"/>
          <w:numId w:val="1"/>
        </w:numPr>
        <w:jc w:val="both"/>
        <w:rPr>
          <w:rFonts w:eastAsia="Times New Roman" w:cs="Calibri"/>
          <w:b/>
          <w:lang w:eastAsia="en-US"/>
        </w:rPr>
      </w:pPr>
      <w:r w:rsidRPr="00D74EB7">
        <w:rPr>
          <w:rFonts w:eastAsia="Times New Roman" w:cs="Calibri"/>
          <w:b/>
          <w:lang w:eastAsia="en-US"/>
        </w:rPr>
        <w:t>Czy w ramach rozwijania kompetencji językowych uczniów, można realizować wyjazdy poza granice kraju, je</w:t>
      </w:r>
      <w:r>
        <w:rPr>
          <w:rFonts w:eastAsia="Times New Roman" w:cs="Calibri"/>
          <w:b/>
          <w:lang w:eastAsia="en-US"/>
        </w:rPr>
        <w:t>śli wynika to z programu zajęć?</w:t>
      </w:r>
    </w:p>
    <w:p w:rsidR="00D74EB7" w:rsidRPr="000B5BA9" w:rsidRDefault="00D74EB7" w:rsidP="00D74EB7">
      <w:pPr>
        <w:pStyle w:val="Default0"/>
        <w:jc w:val="both"/>
        <w:rPr>
          <w:rFonts w:eastAsiaTheme="minorHAnsi" w:cs="Times New Roman"/>
          <w:color w:val="auto"/>
          <w:sz w:val="22"/>
          <w:szCs w:val="22"/>
          <w:lang w:eastAsia="pl-PL"/>
        </w:rPr>
      </w:pPr>
    </w:p>
    <w:p w:rsidR="00D74EB7" w:rsidRPr="008E1C66" w:rsidRDefault="00D74EB7" w:rsidP="00D74EB7">
      <w:pPr>
        <w:jc w:val="both"/>
      </w:pPr>
      <w:r w:rsidRPr="008E1C66">
        <w:t xml:space="preserve">W ramach typu projektu 10.2.A jest możliwość realizacji różnych form wsparcia mających na celu kształtowanie kompetencji kluczowych (w tym języków obcych nowożytnych) i wsparcie nauki języków obcych. W ramach </w:t>
      </w:r>
      <w:r>
        <w:t xml:space="preserve">tych form wsparcia </w:t>
      </w:r>
      <w:r w:rsidRPr="008E1C66">
        <w:t xml:space="preserve">są możliwe do zakwalifikowania takie formy i metody pracy, które przyczyniają się do realizacji celu zajęć. </w:t>
      </w:r>
    </w:p>
    <w:p w:rsidR="00D74EB7" w:rsidRDefault="00D74EB7" w:rsidP="00D74EB7">
      <w:pPr>
        <w:autoSpaceDE w:val="0"/>
        <w:autoSpaceDN w:val="0"/>
        <w:adjustRightInd w:val="0"/>
        <w:jc w:val="both"/>
      </w:pPr>
      <w:r w:rsidRPr="008E1C66">
        <w:t>Kwalifikowalność geograficzna wydatków w ramach EFS, co do zasady, ograniczona jest do terytorium kraju, a w ramach Programów Operacyjnych do obszaru Programu Operacyjnego czyli w przypadku RPO WD do województwa dolnośląskiego. IZ może jednak uznać za kwalifikowany wydatek poniesiony poza terytorium kraju na terenie UE</w:t>
      </w:r>
      <w:r>
        <w:t>,</w:t>
      </w:r>
      <w:r w:rsidRPr="008E1C66">
        <w:t xml:space="preserve"> pod warunkiem, że wydatek jest </w:t>
      </w:r>
      <w:r w:rsidRPr="008E1C66">
        <w:lastRenderedPageBreak/>
        <w:t>uzasadniony celem projektu, przy czym jest konieczne wyraźne uwzględnienie tego we wniosku o dofinansowanie (ze wskazaniem możliwie szczegółowo planowanego miejsca realizacji wsparcia) i przedstawienie odpowiedniego uzasadnienia.</w:t>
      </w:r>
      <w:r>
        <w:t xml:space="preserve"> Uzasadnienie powinno wykazywać, że nie ma możliwości osiągnięcia celów danej formy wsparcia na terytorium województwa dolnośląskiego lub na terytorium kraju.</w:t>
      </w:r>
    </w:p>
    <w:p w:rsidR="00D74EB7" w:rsidRDefault="00D74EB7" w:rsidP="00D74EB7">
      <w:pPr>
        <w:autoSpaceDE w:val="0"/>
        <w:autoSpaceDN w:val="0"/>
        <w:adjustRightInd w:val="0"/>
        <w:jc w:val="both"/>
      </w:pPr>
    </w:p>
    <w:p w:rsidR="00D74EB7" w:rsidRDefault="00D74EB7" w:rsidP="00D74EB7">
      <w:pPr>
        <w:pStyle w:val="Akapitzlist"/>
        <w:numPr>
          <w:ilvl w:val="0"/>
          <w:numId w:val="1"/>
        </w:numPr>
        <w:jc w:val="both"/>
        <w:rPr>
          <w:rFonts w:eastAsia="Times New Roman" w:cs="Calibri"/>
          <w:b/>
          <w:lang w:eastAsia="en-US"/>
        </w:rPr>
      </w:pPr>
      <w:r w:rsidRPr="00D74EB7">
        <w:rPr>
          <w:rFonts w:eastAsia="Times New Roman" w:cs="Calibri"/>
          <w:b/>
          <w:lang w:eastAsia="en-US"/>
        </w:rPr>
        <w:t>W gimnazjum zaplanowano utworzenie Szkolnego Ośrodka Kariery. Jak powinna zostać zapewniona trwałość w tym zakresie?</w:t>
      </w:r>
    </w:p>
    <w:p w:rsidR="00D74EB7" w:rsidRDefault="00D74EB7" w:rsidP="00D74EB7">
      <w:pPr>
        <w:jc w:val="both"/>
        <w:rPr>
          <w:rFonts w:eastAsia="Times New Roman" w:cs="Calibri"/>
          <w:b/>
          <w:lang w:eastAsia="en-US"/>
        </w:rPr>
      </w:pPr>
    </w:p>
    <w:p w:rsidR="00D74EB7" w:rsidRPr="006F2D3C" w:rsidRDefault="00D74EB7" w:rsidP="00D74EB7">
      <w:pPr>
        <w:jc w:val="both"/>
        <w:rPr>
          <w:rFonts w:eastAsia="Times New Roman" w:cs="Calibri"/>
          <w:lang w:eastAsia="en-US"/>
        </w:rPr>
      </w:pPr>
      <w:r w:rsidRPr="006F2D3C">
        <w:rPr>
          <w:rFonts w:eastAsia="Times New Roman" w:cs="Calibri"/>
          <w:lang w:eastAsia="en-US"/>
        </w:rPr>
        <w:t xml:space="preserve">W ramach konkursów IOK nie określiła szczegółowych warunków zapewniania trwałości dla SOK lub </w:t>
      </w:r>
      <w:proofErr w:type="spellStart"/>
      <w:r w:rsidRPr="006F2D3C">
        <w:rPr>
          <w:rFonts w:eastAsia="Times New Roman" w:cs="Calibri"/>
          <w:lang w:eastAsia="en-US"/>
        </w:rPr>
        <w:t>SPInKa</w:t>
      </w:r>
      <w:proofErr w:type="spellEnd"/>
      <w:r w:rsidRPr="006F2D3C">
        <w:rPr>
          <w:rFonts w:eastAsia="Times New Roman" w:cs="Calibri"/>
          <w:lang w:eastAsia="en-US"/>
        </w:rPr>
        <w:t>. Tym niemniej projekt musi być zgodny z zasadą trwałości dla projektów EFS.</w:t>
      </w:r>
    </w:p>
    <w:p w:rsidR="00D74EB7" w:rsidRPr="006F2D3C" w:rsidRDefault="00D74EB7" w:rsidP="00D74EB7">
      <w:pPr>
        <w:jc w:val="both"/>
      </w:pPr>
      <w:r w:rsidRPr="006F2D3C">
        <w:t xml:space="preserve">W przypadku Działania 10.2, jeśli w ramach projektu doszło do wyposażenia szkoły lub placówki systemu oświaty w pomoce dydaktyczne, narzędzia TIK, urządzenia sieciowe w ramach infrastruktury sieciowo-usługowej, </w:t>
      </w:r>
      <w:r w:rsidR="006F2D3C">
        <w:t>B</w:t>
      </w:r>
      <w:r w:rsidRPr="006F2D3C">
        <w:t>eneficjent jest zobowiązany do osiągnięcia i zachowania funkcjonalności infrastruktury sieciowo-usługowej w okresie do 6 miesięcy od daty zakończenia realizacji projektu. Ponadto, w przypadku Działania 10.2, jeśli w ramach projektu doposażono pracownie przedmiotowe, beneficjent jest zobowiązany do wykorzystywania doposażenia pracowni przedmiotowych w celach edukacyjnych. Dodatkowo, jeśli w ramach projektu doszło do inwestycji w infrastrukturę  w ramach cross-</w:t>
      </w:r>
      <w:proofErr w:type="spellStart"/>
      <w:r w:rsidRPr="006F2D3C">
        <w:t>financingu</w:t>
      </w:r>
      <w:proofErr w:type="spellEnd"/>
      <w:r w:rsidRPr="006F2D3C">
        <w:t>, beneficjent jest zobowiązany do zachowania zasady trwałości infrastruktury w EFS (elementy nieprzenośne np. na stałe przytwierdzone do nieruchomości) w okresie 5 lat od da</w:t>
      </w:r>
      <w:r w:rsidR="006F2D3C">
        <w:t>ty płatności końcowej na rzecz B</w:t>
      </w:r>
      <w:r w:rsidRPr="006F2D3C">
        <w:t>eneficjenta lub zatwierdzenia końcowego wniosku o płatność. Zgodnie z Wytycznymi</w:t>
      </w:r>
      <w:r w:rsidR="006F2D3C">
        <w:t xml:space="preserve"> w zakresie kwalifikowalności projektów</w:t>
      </w:r>
      <w:r w:rsidRPr="006F2D3C">
        <w:t xml:space="preserve">, naruszenie zasady trwałości następuje m.in. w sytuacji, gdy w okresie trwałości nastąpiła zmiana własności (rozumiana jako rozporządzenie prawem własności) elementu współfinansowanej infrastruktury, która daje przedsiębiorstwu lub podmiotowi publicznemu nienależne korzyści lub nastąpiła istotna zmiana wpływająca na charakter projektu, jego cele lub warunki realizacji, która mogłaby doprowadzić do naruszenia jego pierwotnych celów. </w:t>
      </w:r>
    </w:p>
    <w:p w:rsidR="00D74EB7" w:rsidRDefault="00D74EB7" w:rsidP="00D74EB7">
      <w:pPr>
        <w:jc w:val="both"/>
        <w:rPr>
          <w:rFonts w:eastAsia="Times New Roman" w:cs="Calibri"/>
          <w:lang w:eastAsia="en-US"/>
        </w:rPr>
      </w:pPr>
    </w:p>
    <w:p w:rsidR="006F2D3C" w:rsidRDefault="006F2D3C" w:rsidP="006F2D3C">
      <w:pPr>
        <w:pStyle w:val="Akapitzlist"/>
        <w:numPr>
          <w:ilvl w:val="0"/>
          <w:numId w:val="1"/>
        </w:numPr>
        <w:jc w:val="both"/>
        <w:rPr>
          <w:rFonts w:eastAsia="Times New Roman" w:cs="Calibri"/>
          <w:b/>
          <w:lang w:eastAsia="en-US"/>
        </w:rPr>
      </w:pPr>
      <w:r w:rsidRPr="006F2D3C">
        <w:rPr>
          <w:rFonts w:eastAsia="Times New Roman" w:cs="Calibri"/>
          <w:b/>
          <w:lang w:eastAsia="en-US"/>
        </w:rPr>
        <w:t>Jak zrealizować zapis dot. klauzul  społecznych w przypadku niektórych zamówień jeżeli takowe nie będą realizowane w projekcie np. catering, wynajem pomieszczeń (</w:t>
      </w:r>
      <w:r>
        <w:rPr>
          <w:rFonts w:eastAsia="Times New Roman" w:cs="Calibri"/>
          <w:b/>
          <w:lang w:eastAsia="en-US"/>
        </w:rPr>
        <w:t>wszystko na terenie szkoły)?</w:t>
      </w:r>
    </w:p>
    <w:p w:rsidR="006F2D3C" w:rsidRDefault="006F2D3C" w:rsidP="006F2D3C">
      <w:pPr>
        <w:jc w:val="both"/>
        <w:rPr>
          <w:rFonts w:eastAsia="Times New Roman" w:cs="Calibri"/>
          <w:b/>
          <w:lang w:eastAsia="en-US"/>
        </w:rPr>
      </w:pPr>
    </w:p>
    <w:p w:rsidR="006F2D3C" w:rsidRPr="006F2D3C" w:rsidRDefault="006F2D3C" w:rsidP="006F2D3C">
      <w:pPr>
        <w:jc w:val="both"/>
      </w:pPr>
      <w:r w:rsidRPr="006F2D3C">
        <w:t>Klauzule społeczne należy stosować przy udzielaniu zamówień w projektach zgodnie z PZP lub zasadą konkurencyjności. Jeżeli w projekcie nie będą udzielane zam</w:t>
      </w:r>
      <w:r>
        <w:t>ówienia zgodnie z PZP lub zasadą</w:t>
      </w:r>
      <w:r w:rsidRPr="006F2D3C">
        <w:t xml:space="preserve"> konkurencyjności dotyczące wymienionych usług w Regulaminie konkursu, nie ma konieczności stosowania klauzul społecznych.</w:t>
      </w:r>
    </w:p>
    <w:p w:rsidR="006F2D3C" w:rsidRPr="006F2D3C" w:rsidRDefault="006F2D3C" w:rsidP="006F2D3C">
      <w:pPr>
        <w:jc w:val="both"/>
        <w:rPr>
          <w:rFonts w:cs="Arial"/>
        </w:rPr>
      </w:pPr>
      <w:r w:rsidRPr="006F2D3C">
        <w:rPr>
          <w:rFonts w:cs="Arial"/>
        </w:rPr>
        <w:t>Katalog przykładowych klauzul społecznych w ramach zasady konkurencyjności:</w:t>
      </w:r>
    </w:p>
    <w:p w:rsidR="006F2D3C" w:rsidRPr="006F2D3C" w:rsidRDefault="006F2D3C" w:rsidP="006F2D3C">
      <w:pPr>
        <w:pStyle w:val="Akapitzlist"/>
        <w:numPr>
          <w:ilvl w:val="0"/>
          <w:numId w:val="5"/>
        </w:numPr>
        <w:contextualSpacing w:val="0"/>
        <w:jc w:val="both"/>
        <w:rPr>
          <w:rFonts w:cs="Arial"/>
        </w:rPr>
      </w:pPr>
      <w:r w:rsidRPr="006F2D3C">
        <w:rPr>
          <w:rFonts w:cs="Arial"/>
        </w:rPr>
        <w:t>Preferowanie wykonawców będących zakładami pracy chronionej, poprzez adekwatne zastosowanie kryterium oceny składanych ofert.</w:t>
      </w:r>
    </w:p>
    <w:p w:rsidR="006F2D3C" w:rsidRPr="006F2D3C" w:rsidRDefault="006F2D3C" w:rsidP="006F2D3C">
      <w:pPr>
        <w:pStyle w:val="Akapitzlist"/>
        <w:numPr>
          <w:ilvl w:val="0"/>
          <w:numId w:val="5"/>
        </w:numPr>
        <w:contextualSpacing w:val="0"/>
        <w:jc w:val="both"/>
        <w:rPr>
          <w:rFonts w:cs="Arial"/>
        </w:rPr>
      </w:pPr>
      <w:r w:rsidRPr="006F2D3C">
        <w:rPr>
          <w:rFonts w:cs="Arial"/>
        </w:rPr>
        <w:t>Preferowanie wykonawców zatrudniających osoby niepełnosprawne, osoby bezrobotne, osoby młodociane, osoby pozbawione wolności lub zwalniane z zakładów karnych, mające trudności w integracji ze środowiskiem, osoby z zaburzeniami psychicznymi, osoby bezdomne, osoby, które uzyskały status uchodźcy, osoby będące członkami mniejszości znajdującej się w niekorzystnej sytuacji, o określonym procentowym wskaźniku zatrudnienia tych osób nie mniejszym niż 30%.</w:t>
      </w:r>
    </w:p>
    <w:p w:rsidR="006F2D3C" w:rsidRPr="006F2D3C" w:rsidRDefault="006F2D3C" w:rsidP="006F2D3C">
      <w:pPr>
        <w:pStyle w:val="Akapitzlist"/>
        <w:numPr>
          <w:ilvl w:val="0"/>
          <w:numId w:val="5"/>
        </w:numPr>
        <w:contextualSpacing w:val="0"/>
        <w:jc w:val="both"/>
        <w:rPr>
          <w:rFonts w:cs="Arial"/>
        </w:rPr>
      </w:pPr>
      <w:r w:rsidRPr="006F2D3C">
        <w:rPr>
          <w:rFonts w:cs="Arial"/>
        </w:rPr>
        <w:t>Wykluczenie wykonawcy, którego prawomocnie skazano za wykroczenie przeciwko prawom pracownika lub wykroczenie przeciwko środowisku.</w:t>
      </w:r>
    </w:p>
    <w:p w:rsidR="006F2D3C" w:rsidRPr="006F2D3C" w:rsidRDefault="006F2D3C" w:rsidP="006F2D3C">
      <w:pPr>
        <w:pStyle w:val="Akapitzlist"/>
        <w:numPr>
          <w:ilvl w:val="0"/>
          <w:numId w:val="5"/>
        </w:numPr>
        <w:contextualSpacing w:val="0"/>
        <w:jc w:val="both"/>
        <w:rPr>
          <w:rFonts w:cs="Arial"/>
        </w:rPr>
      </w:pPr>
      <w:r w:rsidRPr="006F2D3C">
        <w:rPr>
          <w:rFonts w:cs="Arial"/>
        </w:rPr>
        <w:t xml:space="preserve">Wykluczenie wykonawcy, wobec którego wydano ostateczną decyzję administracyjną </w:t>
      </w:r>
      <w:r w:rsidRPr="006F2D3C">
        <w:rPr>
          <w:rFonts w:cs="Arial"/>
        </w:rPr>
        <w:br/>
        <w:t>o naruszeniu obowiązków wynikających z przepisów prawa pracy, prawa ochrony środowiska lub przepisów o zabezpieczeniu społecznym.</w:t>
      </w:r>
    </w:p>
    <w:p w:rsidR="006F2D3C" w:rsidRPr="006F2D3C" w:rsidRDefault="006F2D3C" w:rsidP="006F2D3C">
      <w:pPr>
        <w:pStyle w:val="Akapitzlist"/>
        <w:numPr>
          <w:ilvl w:val="0"/>
          <w:numId w:val="5"/>
        </w:numPr>
        <w:contextualSpacing w:val="0"/>
        <w:jc w:val="both"/>
        <w:rPr>
          <w:rFonts w:cs="Arial"/>
        </w:rPr>
      </w:pPr>
      <w:r w:rsidRPr="006F2D3C">
        <w:t xml:space="preserve">Wymaganie zatrudnienia przez wykonawcę lub podwykonawcę na podstawie umowy o pracę osób wykonujących wskazane przez zamawiającego czynności w zakresie realizacji </w:t>
      </w:r>
      <w:r w:rsidRPr="006F2D3C">
        <w:lastRenderedPageBreak/>
        <w:t>zamówienia, jeżeli wykonanie tych czynności polega na wykonywaniu pracy w sposób określony w art. 22 § 1 ustawy z dnia 26 czerwca 1974 r. – Kodeks pracy.</w:t>
      </w:r>
    </w:p>
    <w:p w:rsidR="006F2D3C" w:rsidRPr="006F2D3C" w:rsidRDefault="006F2D3C" w:rsidP="006F2D3C">
      <w:pPr>
        <w:pStyle w:val="Akapitzlist"/>
        <w:numPr>
          <w:ilvl w:val="0"/>
          <w:numId w:val="5"/>
        </w:numPr>
        <w:autoSpaceDE w:val="0"/>
        <w:autoSpaceDN w:val="0"/>
        <w:adjustRightInd w:val="0"/>
        <w:contextualSpacing w:val="0"/>
        <w:jc w:val="both"/>
        <w:rPr>
          <w:b/>
        </w:rPr>
      </w:pPr>
      <w:r w:rsidRPr="006F2D3C">
        <w:t>W przypadku zamówień przeznaczonych do użytku osób fizycznych, w tym pracowników zamawiającego</w:t>
      </w:r>
      <w:r w:rsidRPr="006F2D3C" w:rsidDel="00B62FAA">
        <w:rPr>
          <w:rFonts w:cs="Arial"/>
        </w:rPr>
        <w:t xml:space="preserve"> </w:t>
      </w:r>
      <w:r w:rsidRPr="006F2D3C">
        <w:rPr>
          <w:rFonts w:cs="Arial"/>
        </w:rPr>
        <w:t>- sporządzenie</w:t>
      </w:r>
      <w:r w:rsidRPr="006F2D3C">
        <w:t xml:space="preserve"> opisu przedmiotu zamówienia z uwzględnieniem wymagań </w:t>
      </w:r>
      <w:r w:rsidRPr="006F2D3C">
        <w:br/>
        <w:t>w zakresie dostępności dla osób z niepełnosprawnościami lub z uwzględnieniem potrzeb wszystkich użytkowników.</w:t>
      </w:r>
    </w:p>
    <w:p w:rsidR="006F2D3C" w:rsidRDefault="006F2D3C" w:rsidP="006F2D3C">
      <w:pPr>
        <w:autoSpaceDE w:val="0"/>
        <w:autoSpaceDN w:val="0"/>
        <w:adjustRightInd w:val="0"/>
        <w:ind w:left="360"/>
        <w:jc w:val="both"/>
        <w:rPr>
          <w:b/>
        </w:rPr>
      </w:pPr>
    </w:p>
    <w:p w:rsidR="006F2D3C" w:rsidRPr="006F2D3C" w:rsidRDefault="006F2D3C" w:rsidP="006F2D3C">
      <w:pPr>
        <w:pStyle w:val="Akapitzlist"/>
        <w:numPr>
          <w:ilvl w:val="0"/>
          <w:numId w:val="1"/>
        </w:numPr>
        <w:jc w:val="both"/>
        <w:rPr>
          <w:b/>
        </w:rPr>
      </w:pPr>
      <w:r w:rsidRPr="006F2D3C">
        <w:rPr>
          <w:b/>
        </w:rPr>
        <w:t>Czy partnerem w projekcie mogą być szkoły (na podstawie upoważnienia organu prowadzącego) czy też  musi być to organ prowadzący?</w:t>
      </w:r>
    </w:p>
    <w:p w:rsidR="006F2D3C" w:rsidRDefault="006F2D3C" w:rsidP="006F2D3C">
      <w:pPr>
        <w:autoSpaceDE w:val="0"/>
        <w:autoSpaceDN w:val="0"/>
        <w:adjustRightInd w:val="0"/>
        <w:jc w:val="both"/>
        <w:rPr>
          <w:b/>
        </w:rPr>
      </w:pPr>
    </w:p>
    <w:p w:rsidR="006F2D3C" w:rsidRPr="006F2D3C" w:rsidRDefault="006F2D3C" w:rsidP="006F2D3C">
      <w:pPr>
        <w:jc w:val="both"/>
      </w:pPr>
      <w:r w:rsidRPr="006F2D3C">
        <w:t xml:space="preserve">W celu spełnienia kryterium dostępu w projekcie co najmniej partnerem musi być organ prowadzący (lub Wnioskodawcą musi być organ prowadzący). </w:t>
      </w:r>
    </w:p>
    <w:p w:rsidR="006F2D3C" w:rsidRPr="006F2D3C" w:rsidRDefault="006F2D3C" w:rsidP="006F2D3C">
      <w:pPr>
        <w:jc w:val="both"/>
      </w:pPr>
      <w:r w:rsidRPr="006F2D3C">
        <w:t>Partnerami mogą być podmioty posiadające osobowość prawną.</w:t>
      </w:r>
    </w:p>
    <w:p w:rsidR="006F2D3C" w:rsidRDefault="006F2D3C" w:rsidP="006F2D3C">
      <w:pPr>
        <w:jc w:val="both"/>
      </w:pPr>
      <w:r w:rsidRPr="006F2D3C">
        <w:t xml:space="preserve">Partnerami nie mogą być podmioty powiązane czyli np. szkoła będąca jednostka organizacyjną </w:t>
      </w:r>
      <w:proofErr w:type="spellStart"/>
      <w:r w:rsidRPr="006F2D3C">
        <w:t>jst</w:t>
      </w:r>
      <w:proofErr w:type="spellEnd"/>
      <w:r w:rsidRPr="006F2D3C">
        <w:t xml:space="preserve"> nie może być partnerem </w:t>
      </w:r>
      <w:proofErr w:type="spellStart"/>
      <w:r w:rsidRPr="006F2D3C">
        <w:t>jst</w:t>
      </w:r>
      <w:proofErr w:type="spellEnd"/>
      <w:r w:rsidRPr="006F2D3C">
        <w:t>.</w:t>
      </w:r>
    </w:p>
    <w:p w:rsidR="006F2D3C" w:rsidRDefault="006F2D3C" w:rsidP="006F2D3C">
      <w:pPr>
        <w:jc w:val="both"/>
      </w:pPr>
    </w:p>
    <w:p w:rsidR="006F2D3C" w:rsidRPr="006F2D3C" w:rsidRDefault="006F2D3C" w:rsidP="006F2D3C">
      <w:pPr>
        <w:pStyle w:val="Akapitzlist"/>
        <w:numPr>
          <w:ilvl w:val="0"/>
          <w:numId w:val="1"/>
        </w:numPr>
        <w:autoSpaceDE w:val="0"/>
        <w:autoSpaceDN w:val="0"/>
        <w:adjustRightInd w:val="0"/>
        <w:jc w:val="both"/>
        <w:rPr>
          <w:b/>
        </w:rPr>
      </w:pPr>
      <w:r w:rsidRPr="006F2D3C">
        <w:rPr>
          <w:b/>
        </w:rPr>
        <w:t>W obecnym konkursie nie ma zapisu o konieczności zadeklarowania, że liczba godzin dodatkowych realizowanych obecnie nie zostanie zmniejszona  w wyniku realizacji projektu.  Czy rzeczywiście ta zasada nie obowiązuje?</w:t>
      </w:r>
    </w:p>
    <w:p w:rsidR="006F2D3C" w:rsidRPr="006F2D3C" w:rsidRDefault="006F2D3C" w:rsidP="006F2D3C">
      <w:pPr>
        <w:autoSpaceDE w:val="0"/>
        <w:autoSpaceDN w:val="0"/>
        <w:adjustRightInd w:val="0"/>
        <w:jc w:val="both"/>
        <w:rPr>
          <w:b/>
        </w:rPr>
      </w:pPr>
    </w:p>
    <w:p w:rsidR="000B4FF0" w:rsidRPr="000B4FF0" w:rsidRDefault="000B4FF0" w:rsidP="000B4FF0">
      <w:pPr>
        <w:jc w:val="both"/>
        <w:rPr>
          <w:rFonts w:cs="Arial"/>
        </w:rPr>
      </w:pPr>
      <w:r>
        <w:t>W aktualnych konkursach</w:t>
      </w:r>
      <w:r w:rsidRPr="000B4FF0">
        <w:t xml:space="preserve"> należy zadeklarować we wniosku o dofinansowanie</w:t>
      </w:r>
      <w:r>
        <w:t>,</w:t>
      </w:r>
      <w:r w:rsidRPr="000B4FF0">
        <w:t xml:space="preserve"> że zaplanowane działania stanowią uzupełnienie </w:t>
      </w:r>
      <w:r w:rsidRPr="000B4FF0">
        <w:rPr>
          <w:rFonts w:cs="Arial"/>
        </w:rPr>
        <w:t xml:space="preserve"> działań prowadzonych przez szkoły lub placówki systemu oświaty.</w:t>
      </w:r>
    </w:p>
    <w:p w:rsidR="000B4FF0" w:rsidRPr="000B4FF0" w:rsidRDefault="000B4FF0" w:rsidP="000B4FF0">
      <w:pPr>
        <w:jc w:val="both"/>
      </w:pPr>
      <w:r w:rsidRPr="000B4FF0">
        <w:rPr>
          <w:rFonts w:cs="Arial"/>
        </w:rPr>
        <w:t>W przypadku kontroli będzie weryfikowane czy nie doszło do zmniejszenia skali działań (zmniejszenia nakładów środków na ich realizację) w okresie 12 miesięcy poprzedzających złożenie wniosku o dofinansowanie projektu (średniomiesięcznie).</w:t>
      </w:r>
    </w:p>
    <w:p w:rsidR="006F2D3C" w:rsidRPr="006F2D3C" w:rsidRDefault="006F2D3C" w:rsidP="006F2D3C">
      <w:pPr>
        <w:jc w:val="both"/>
        <w:rPr>
          <w:rFonts w:eastAsia="Times New Roman" w:cs="Calibri"/>
          <w:b/>
          <w:lang w:eastAsia="en-US"/>
        </w:rPr>
      </w:pPr>
    </w:p>
    <w:p w:rsidR="00D74EB7" w:rsidRDefault="00D74EB7" w:rsidP="00D74EB7">
      <w:pPr>
        <w:autoSpaceDE w:val="0"/>
        <w:autoSpaceDN w:val="0"/>
        <w:adjustRightInd w:val="0"/>
        <w:jc w:val="both"/>
      </w:pPr>
    </w:p>
    <w:p w:rsidR="000B4FF0" w:rsidRPr="000B4FF0" w:rsidRDefault="000B4FF0" w:rsidP="000B4FF0">
      <w:pPr>
        <w:pStyle w:val="Akapitzlist"/>
        <w:numPr>
          <w:ilvl w:val="0"/>
          <w:numId w:val="1"/>
        </w:numPr>
        <w:rPr>
          <w:b/>
        </w:rPr>
      </w:pPr>
      <w:r w:rsidRPr="000B4FF0">
        <w:rPr>
          <w:b/>
        </w:rPr>
        <w:t>Czy w ramach programu można realizować zajęcia sportowe?</w:t>
      </w:r>
    </w:p>
    <w:p w:rsidR="000B5BA9" w:rsidRPr="000B5BA9" w:rsidRDefault="000B5BA9" w:rsidP="000B5BA9">
      <w:pPr>
        <w:jc w:val="both"/>
        <w:rPr>
          <w:rFonts w:eastAsia="Times New Roman" w:cs="Calibri"/>
          <w:b/>
          <w:lang w:eastAsia="en-US"/>
        </w:rPr>
      </w:pPr>
    </w:p>
    <w:p w:rsidR="000B4FF0" w:rsidRPr="000B4FF0" w:rsidRDefault="000B4FF0" w:rsidP="000B4FF0">
      <w:pPr>
        <w:jc w:val="both"/>
      </w:pPr>
      <w:r w:rsidRPr="000B4FF0">
        <w:t>Żaden z typów projektów, a w ramach nich</w:t>
      </w:r>
      <w:r>
        <w:t>,</w:t>
      </w:r>
      <w:r w:rsidRPr="000B4FF0">
        <w:t xml:space="preserve"> żadna z form wsparcia nie wskazuje na możliwość realizowania stricte „zajęć sportowych”. Natomiast jeżeli z diagnozy</w:t>
      </w:r>
      <w:r>
        <w:t xml:space="preserve"> potrzeb edukacyjnych</w:t>
      </w:r>
      <w:r w:rsidRPr="000B4FF0">
        <w:t xml:space="preserve"> wynika zapotrzebowanie na rozwijanie właściwych postaw np. z zakresu pracy zespołowej</w:t>
      </w:r>
      <w:r>
        <w:t xml:space="preserve"> (typ projektu 10.2.A)</w:t>
      </w:r>
      <w:r w:rsidRPr="000B4FF0">
        <w:t>, to zajęcia wspierające rozwój takich postaw są możliwe. Należy to jednak uzasadnić w</w:t>
      </w:r>
      <w:r>
        <w:t>e wniosku o dofinansowanie.</w:t>
      </w:r>
    </w:p>
    <w:p w:rsidR="000B5BA9" w:rsidRPr="00A93860" w:rsidRDefault="000B5BA9" w:rsidP="000B5BA9">
      <w:pPr>
        <w:autoSpaceDE w:val="0"/>
        <w:autoSpaceDN w:val="0"/>
        <w:adjustRightInd w:val="0"/>
        <w:jc w:val="both"/>
      </w:pPr>
    </w:p>
    <w:p w:rsidR="000B4FF0" w:rsidRPr="000B4FF0" w:rsidRDefault="000B4FF0" w:rsidP="000B4FF0">
      <w:pPr>
        <w:pStyle w:val="Akapitzlist"/>
        <w:numPr>
          <w:ilvl w:val="0"/>
          <w:numId w:val="1"/>
        </w:numPr>
        <w:contextualSpacing w:val="0"/>
        <w:rPr>
          <w:b/>
        </w:rPr>
      </w:pPr>
      <w:r w:rsidRPr="000B4FF0">
        <w:rPr>
          <w:b/>
        </w:rPr>
        <w:t>Czy możliwe jest objęcie projektem wszystkich uczniów w szkole (którzy będą uczęszczać na wybrane zajęcia szkolne?)</w:t>
      </w:r>
    </w:p>
    <w:p w:rsidR="00A93860" w:rsidRPr="000B4FF0" w:rsidRDefault="00A93860" w:rsidP="000B4FF0">
      <w:pPr>
        <w:pStyle w:val="Akapitzlist"/>
        <w:tabs>
          <w:tab w:val="left" w:pos="4515"/>
        </w:tabs>
        <w:jc w:val="both"/>
        <w:rPr>
          <w:b/>
        </w:rPr>
      </w:pPr>
    </w:p>
    <w:p w:rsidR="000B4FF0" w:rsidRPr="000B4FF0" w:rsidRDefault="000B4FF0" w:rsidP="000B4FF0">
      <w:pPr>
        <w:jc w:val="both"/>
      </w:pPr>
      <w:r w:rsidRPr="000B4FF0">
        <w:t>IOK nie określiła żadnych limitów co do wielkości grupy docelowej.</w:t>
      </w:r>
    </w:p>
    <w:p w:rsidR="000B4FF0" w:rsidRPr="000B4FF0" w:rsidRDefault="000B4FF0" w:rsidP="000B4FF0">
      <w:pPr>
        <w:jc w:val="both"/>
      </w:pPr>
      <w:r w:rsidRPr="000B4FF0">
        <w:t xml:space="preserve">Jeśli taka potrzeba wynika z diagnozy potrzeb edukacyjnych, a zaplanowane działania będą stanowić jedynie uzupełnienie dotychczasowej działalności szkoły, to potencjalnie jest taka możliwość. </w:t>
      </w:r>
    </w:p>
    <w:p w:rsidR="00A93860" w:rsidRPr="00A93860" w:rsidRDefault="00A93860" w:rsidP="00A93860">
      <w:pPr>
        <w:jc w:val="both"/>
        <w:rPr>
          <w:rFonts w:eastAsia="Times New Roman" w:cs="Calibri"/>
          <w:b/>
          <w:lang w:eastAsia="en-US"/>
        </w:rPr>
      </w:pPr>
    </w:p>
    <w:p w:rsidR="000B4FF0" w:rsidRPr="000B4FF0" w:rsidRDefault="000B4FF0" w:rsidP="000B4FF0">
      <w:pPr>
        <w:pStyle w:val="Akapitzlist"/>
        <w:numPr>
          <w:ilvl w:val="0"/>
          <w:numId w:val="1"/>
        </w:numPr>
        <w:contextualSpacing w:val="0"/>
        <w:rPr>
          <w:b/>
        </w:rPr>
      </w:pPr>
      <w:r w:rsidRPr="000B4FF0">
        <w:rPr>
          <w:b/>
        </w:rPr>
        <w:t>Czy możliwa jest realizacja projektu, w którym zaplanowane zostaną tylko zajęcia bez wyposażenia?</w:t>
      </w:r>
    </w:p>
    <w:p w:rsidR="008E1C66" w:rsidRPr="008E1C66" w:rsidRDefault="008E1C66" w:rsidP="000B4FF0">
      <w:pPr>
        <w:jc w:val="both"/>
      </w:pPr>
    </w:p>
    <w:p w:rsidR="000B4FF0" w:rsidRDefault="000B4FF0" w:rsidP="000B4FF0">
      <w:pPr>
        <w:jc w:val="both"/>
        <w:rPr>
          <w:sz w:val="23"/>
          <w:szCs w:val="23"/>
        </w:rPr>
      </w:pPr>
      <w:r w:rsidRPr="000B4FF0">
        <w:t xml:space="preserve">Tak, z tymże w przypadku formy wsparcia </w:t>
      </w:r>
      <w:r w:rsidRPr="000B4FF0">
        <w:rPr>
          <w:bCs/>
          <w:sz w:val="23"/>
          <w:szCs w:val="23"/>
        </w:rPr>
        <w:t>b) kształtowanie i rozwijanie kompetencji uczniów w zakresie przedmiotów przyrodniczych lub matematyki w ramach w typie projektu 10.2.B</w:t>
      </w:r>
      <w:r w:rsidRPr="000B4FF0">
        <w:t xml:space="preserve"> - zajęcia  dla uczniów prowadzone w oparciu o metodę eksperymentu, należy zadeklarować we wniosku o dofinansowanie, że wyposażenie pracowni przedmiotowych w celu umożliwienia realizacji zajęć w oparciu o metodę eksperymentu zostanie zrealizowane poza projektem lub połączyć w projekcie zajęcia dla uczniów prowadzone w oparciu o metodę eksperymentu z </w:t>
      </w:r>
      <w:r w:rsidRPr="000B4FF0">
        <w:rPr>
          <w:sz w:val="23"/>
          <w:szCs w:val="23"/>
        </w:rPr>
        <w:t xml:space="preserve">doskonaleniem umiejętności, </w:t>
      </w:r>
      <w:r w:rsidRPr="000B4FF0">
        <w:rPr>
          <w:sz w:val="23"/>
          <w:szCs w:val="23"/>
        </w:rPr>
        <w:lastRenderedPageBreak/>
        <w:t>kompetencji lub kwalifikacji nauczycieli, w tym nauczycieli przedmiotów przyrodniczych lub matematyki, niezbędnych do prowadzenia procesu nauczania opartego na metodzie eksperymentu tj. formą wsparcia opisaną w punkcie g) w typie projektu 10.2.G.</w:t>
      </w:r>
    </w:p>
    <w:p w:rsidR="000B4FF0" w:rsidRDefault="000B4FF0" w:rsidP="000B4FF0">
      <w:pPr>
        <w:jc w:val="both"/>
        <w:rPr>
          <w:sz w:val="23"/>
          <w:szCs w:val="23"/>
        </w:rPr>
      </w:pPr>
    </w:p>
    <w:p w:rsidR="000B4FF0" w:rsidRPr="000B4FF0" w:rsidRDefault="000B4FF0" w:rsidP="000B4FF0">
      <w:pPr>
        <w:pStyle w:val="Akapitzlist"/>
        <w:numPr>
          <w:ilvl w:val="0"/>
          <w:numId w:val="1"/>
        </w:numPr>
        <w:contextualSpacing w:val="0"/>
        <w:rPr>
          <w:b/>
        </w:rPr>
      </w:pPr>
      <w:r w:rsidRPr="000B4FF0">
        <w:rPr>
          <w:b/>
        </w:rPr>
        <w:t>Według jakich zasad należy wybrać partnera projektu w sytuacji, gdy wnioskodawcą jest stowarzyszenie, jako organ prowadzący zespół szkół (podstawową i gimnazjum)?</w:t>
      </w:r>
    </w:p>
    <w:p w:rsidR="000B4FF0" w:rsidRPr="000B4FF0" w:rsidRDefault="000B4FF0" w:rsidP="000B4FF0">
      <w:pPr>
        <w:jc w:val="both"/>
        <w:rPr>
          <w:sz w:val="23"/>
          <w:szCs w:val="23"/>
        </w:rPr>
      </w:pPr>
    </w:p>
    <w:p w:rsidR="00193C47" w:rsidRDefault="000B4FF0" w:rsidP="000B4FF0">
      <w:pPr>
        <w:jc w:val="both"/>
      </w:pPr>
      <w:r w:rsidRPr="000B4FF0">
        <w:t xml:space="preserve">Partnerem w projekcie dla konkursu w ramach Działania 10.2 może być każdy podmiot niepodlegający wykluczeniu z otrzymania dofinansowania na podstawie art. 207 ust. 4 ustawy z dnia 27 sierpnia </w:t>
      </w:r>
      <w:r w:rsidR="00193C47">
        <w:t>2009 r. o finansach publicznych, posiada osobowość prawną i nie jest podmiotem powiązanym.</w:t>
      </w:r>
      <w:r w:rsidRPr="000B4FF0">
        <w:t xml:space="preserve"> </w:t>
      </w:r>
    </w:p>
    <w:p w:rsidR="00193C47" w:rsidRDefault="00193C47" w:rsidP="000B4FF0">
      <w:pPr>
        <w:jc w:val="both"/>
      </w:pPr>
      <w:r>
        <w:t>Jeżeli Wnioskodawca nie jest podmiotem publicznym to wybiera partnera bez procedury konkurencyjnej.</w:t>
      </w:r>
    </w:p>
    <w:p w:rsidR="000B4FF0" w:rsidRPr="000B4FF0" w:rsidRDefault="00193C47" w:rsidP="000B4FF0">
      <w:pPr>
        <w:jc w:val="both"/>
      </w:pPr>
      <w:r>
        <w:t>Jeżeli Wnioskodawca jest podmiotem publicznym</w:t>
      </w:r>
      <w:r w:rsidR="000B4FF0" w:rsidRPr="000B4FF0">
        <w:t xml:space="preserve"> </w:t>
      </w:r>
      <w:r>
        <w:t>dokonuje wybo</w:t>
      </w:r>
      <w:r w:rsidR="000B4FF0" w:rsidRPr="000B4FF0">
        <w:t>r</w:t>
      </w:r>
      <w:r>
        <w:t>u</w:t>
      </w:r>
      <w:r w:rsidR="000B4FF0" w:rsidRPr="000B4FF0">
        <w:t xml:space="preserve"> partnera </w:t>
      </w:r>
      <w:r>
        <w:t xml:space="preserve"> również </w:t>
      </w:r>
      <w:r w:rsidR="000B4FF0" w:rsidRPr="000B4FF0">
        <w:t xml:space="preserve">zaliczanego do sektora finansów publicznych </w:t>
      </w:r>
      <w:r>
        <w:t>bez</w:t>
      </w:r>
      <w:r w:rsidR="000B4FF0" w:rsidRPr="000B4FF0">
        <w:t xml:space="preserve"> procedury konkurencyjnej. W ramach sektora finansów publicznych partnerstwa zawie</w:t>
      </w:r>
      <w:r>
        <w:t>rane są na podstawie porozumień o partnerstwie.</w:t>
      </w:r>
    </w:p>
    <w:p w:rsidR="000B4FF0" w:rsidRPr="000B4FF0" w:rsidRDefault="00193C47" w:rsidP="000B4FF0">
      <w:pPr>
        <w:jc w:val="both"/>
      </w:pPr>
      <w:r>
        <w:t>Jeżeli Wnioskodawca jest jednostką</w:t>
      </w:r>
      <w:r w:rsidR="000B4FF0" w:rsidRPr="000B4FF0">
        <w:t xml:space="preserve"> sektora finansów publicznych w rozumieniu przepisów o </w:t>
      </w:r>
      <w:r>
        <w:t>finansach publicznych lub innym podmiotem</w:t>
      </w:r>
      <w:r w:rsidR="000B4FF0" w:rsidRPr="000B4FF0">
        <w:t xml:space="preserve"> wymieniony</w:t>
      </w:r>
      <w:r>
        <w:t>m</w:t>
      </w:r>
      <w:r w:rsidR="000B4FF0" w:rsidRPr="000B4FF0">
        <w:t xml:space="preserve"> w art. 3 ust. 1 ustawy z dnia 29 stycznia 2004 r. Praw</w:t>
      </w:r>
      <w:r>
        <w:t>o zamówień publicznych, dokonuje</w:t>
      </w:r>
      <w:r w:rsidR="000B4FF0" w:rsidRPr="000B4FF0">
        <w:t xml:space="preserve"> wyboru partnerów pochodzących spoza sektora finansów publicznych z zachowaniem zasady przejrzystości i równego traktowania podmiotów, a w szczególności są zobowiązani do zachowania wymogów określonych w pkt 1-3 art. 33 ust. 2 ustawy wdrożeniowej:</w:t>
      </w:r>
    </w:p>
    <w:p w:rsidR="000B4FF0" w:rsidRPr="000B4FF0" w:rsidRDefault="000B4FF0" w:rsidP="000B4FF0">
      <w:pPr>
        <w:jc w:val="both"/>
      </w:pPr>
      <w:r w:rsidRPr="000B4FF0">
        <w:t>1. ogłoszenia otwartego naboru partnerów na swojej stronie internetowej wraz ze wskazaniem co najmniej 21-dniowego terminu na zgłaszanie się partnerów;</w:t>
      </w:r>
    </w:p>
    <w:p w:rsidR="000B4FF0" w:rsidRPr="000B4FF0" w:rsidRDefault="000B4FF0" w:rsidP="000B4FF0">
      <w:pPr>
        <w:jc w:val="both"/>
      </w:pPr>
      <w:r w:rsidRPr="000B4FF0">
        <w:t>2. uwzględnienia przy wyborze partnerów: zgodności działania potencjalnego partnera z celami partnerstwa, deklarowanego wkładu potencjalnego partnera w realizację celu partnerstwa, doświadczenia w realizacji projektów o podobnym charakterze;</w:t>
      </w:r>
    </w:p>
    <w:p w:rsidR="000B4FF0" w:rsidRPr="000B4FF0" w:rsidRDefault="000B4FF0" w:rsidP="000B4FF0">
      <w:pPr>
        <w:jc w:val="both"/>
      </w:pPr>
      <w:r w:rsidRPr="000B4FF0">
        <w:t>3. podania do publicznej wiadomości na swojej stronie internetowej informacji o podmiotach wybranych do pełnienia funkcji partnera.</w:t>
      </w:r>
    </w:p>
    <w:p w:rsidR="000B4FF0" w:rsidRPr="000B4FF0" w:rsidRDefault="000B4FF0" w:rsidP="000B4FF0">
      <w:pPr>
        <w:jc w:val="both"/>
      </w:pPr>
      <w:r w:rsidRPr="000B4FF0">
        <w:t>Ponadto wybór partnerów spoza sektora finansów publiczny musi być dokonany przed złożeniem wniosku o dofinansowanie projektu partnerskiego.</w:t>
      </w:r>
      <w:r w:rsidR="00193C47">
        <w:t xml:space="preserve"> Weryfikacja prawidłowości dokonania wyboru partnera może nastąpić przed podpisaniem wniosku o dofinansowanie projektu.</w:t>
      </w:r>
    </w:p>
    <w:p w:rsidR="008E1C66" w:rsidRPr="008E1C66" w:rsidRDefault="008E1C66" w:rsidP="008E1C66">
      <w:pPr>
        <w:jc w:val="both"/>
        <w:rPr>
          <w:rFonts w:eastAsia="Times New Roman" w:cs="Calibri"/>
          <w:b/>
          <w:lang w:eastAsia="en-US"/>
        </w:rPr>
      </w:pPr>
    </w:p>
    <w:p w:rsidR="00AA6B99" w:rsidRPr="00AA6B99" w:rsidRDefault="00AA6B99" w:rsidP="00AA6B99">
      <w:pPr>
        <w:pStyle w:val="Akapitzlist"/>
        <w:numPr>
          <w:ilvl w:val="0"/>
          <w:numId w:val="1"/>
        </w:numPr>
        <w:jc w:val="both"/>
        <w:rPr>
          <w:b/>
        </w:rPr>
      </w:pPr>
      <w:r w:rsidRPr="00AA6B99">
        <w:rPr>
          <w:b/>
        </w:rPr>
        <w:t>Proszę o wyjaśnienie Kryterium premiującego nr 7 Kryterium doświadczenia dla Działania 10.2 – z wyłączeniem konkursów objętych mechanizmem ZIT:  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 Czy kryterium jest oceniane wyłącznie w odniesieniu do Wnioskodawcy czy również będzie punktowane w przypadku doświadczenia partnera?</w:t>
      </w:r>
    </w:p>
    <w:p w:rsidR="00AA6B99" w:rsidRDefault="00AA6B99" w:rsidP="00AA6B99">
      <w:pPr>
        <w:jc w:val="both"/>
      </w:pPr>
    </w:p>
    <w:p w:rsidR="00CB4571" w:rsidRPr="00CB4571" w:rsidRDefault="00AA6B99" w:rsidP="00AA6B99">
      <w:pPr>
        <w:jc w:val="both"/>
      </w:pPr>
      <w:r>
        <w:t>Kryterium dotyczy tylko i wyłącznie Wnioskodawcy oraz będzie oceniane pod kątem doświadczenia Wnioskodawcy.</w:t>
      </w:r>
    </w:p>
    <w:p w:rsidR="00CB4571" w:rsidRPr="00CB4571" w:rsidRDefault="00CB4571" w:rsidP="00CB4571">
      <w:pPr>
        <w:pStyle w:val="Default0"/>
        <w:jc w:val="both"/>
        <w:rPr>
          <w:b/>
          <w:color w:val="auto"/>
          <w:sz w:val="22"/>
          <w:szCs w:val="22"/>
        </w:rPr>
      </w:pPr>
    </w:p>
    <w:p w:rsidR="00AA6B99" w:rsidRPr="00AA6B99" w:rsidRDefault="00AA6B99" w:rsidP="00AA6B99">
      <w:pPr>
        <w:pStyle w:val="Akapitzlist"/>
        <w:numPr>
          <w:ilvl w:val="0"/>
          <w:numId w:val="1"/>
        </w:numPr>
        <w:jc w:val="both"/>
        <w:rPr>
          <w:b/>
        </w:rPr>
      </w:pPr>
      <w:r>
        <w:rPr>
          <w:b/>
        </w:rPr>
        <w:t>Z</w:t>
      </w:r>
      <w:r w:rsidRPr="00AA6B99">
        <w:rPr>
          <w:b/>
        </w:rPr>
        <w:t>wracam się do Państwa z zapytaniem dot. kryterium premiującego "Czy projekt jest realizowany na obszarach wiejskich ?" - czy jeśli w ramach projektu zakłada się udział kilku szkół gminy wiejsko-miejskiej i do wsparcia zostanie wybrana szkoła z miasta a pozostałe będą z obszarów wiejskich to kryterium to zostanie uznane za spełnione? </w:t>
      </w:r>
    </w:p>
    <w:p w:rsidR="00AA6B99" w:rsidRDefault="00AA6B99" w:rsidP="00AA6B99">
      <w:pPr>
        <w:autoSpaceDE w:val="0"/>
        <w:autoSpaceDN w:val="0"/>
        <w:adjustRightInd w:val="0"/>
        <w:rPr>
          <w:rFonts w:cs="Calibri"/>
          <w:color w:val="000000"/>
          <w:lang w:eastAsia="en-US"/>
        </w:rPr>
      </w:pPr>
    </w:p>
    <w:p w:rsidR="00AA6B99" w:rsidRDefault="00AA6B99" w:rsidP="00AA6B99">
      <w:pPr>
        <w:autoSpaceDE w:val="0"/>
        <w:autoSpaceDN w:val="0"/>
        <w:adjustRightInd w:val="0"/>
        <w:jc w:val="both"/>
        <w:rPr>
          <w:rFonts w:cs="Calibri"/>
          <w:color w:val="000000"/>
          <w:lang w:eastAsia="en-US"/>
        </w:rPr>
      </w:pPr>
      <w:r>
        <w:rPr>
          <w:rFonts w:cs="Calibri"/>
          <w:color w:val="000000"/>
          <w:lang w:eastAsia="en-US"/>
        </w:rPr>
        <w:t>W Regulaminie konkursu w Rozdziale 1 Słownik skrótów i pojęć zostały wskazane obszary wiejskie.</w:t>
      </w:r>
    </w:p>
    <w:p w:rsidR="00CB4571" w:rsidRDefault="00AA6B99" w:rsidP="00AA6B99">
      <w:pPr>
        <w:autoSpaceDE w:val="0"/>
        <w:autoSpaceDN w:val="0"/>
        <w:adjustRightInd w:val="0"/>
        <w:jc w:val="both"/>
        <w:rPr>
          <w:rFonts w:cstheme="minorBidi"/>
          <w:lang w:eastAsia="en-US"/>
        </w:rPr>
      </w:pPr>
      <w:r w:rsidRPr="00AA6B99">
        <w:rPr>
          <w:rFonts w:cs="Calibri"/>
          <w:color w:val="000000"/>
          <w:lang w:eastAsia="en-US"/>
        </w:rPr>
        <w:lastRenderedPageBreak/>
        <w:t xml:space="preserve">W województwie dolnośląskim jako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Jemielno, Niechlów, Wąsocz, Chojnów (gmina wiejska), Krotoszyce, Kunice, Legnickie Pole, Miłkowice, Prochowice, Ruja, Lubin (gmina wiejska), Rudna, Ścinawa, Chocianów, Gaworzyce, </w:t>
      </w:r>
      <w:r w:rsidRPr="00AA6B99">
        <w:rPr>
          <w:rFonts w:cstheme="minorBidi"/>
          <w:lang w:eastAsia="en-US"/>
        </w:rPr>
        <w:t>Grębocice, Przemków, Radwanice, Dzierżoniów (gmina wiejska), Łagiewniki, Niemcza, Bystrzyca Kłodzka, Kłodzko (gmin wiejska), Lądek-Zdrój, Lewin Kłodzki, Międzylesie, Nowa Ruda (gmina wiejska), Radków, Stronie Śląskie, Szczytna, Dobromierz, Jaworzyna Śląska, Marcinkowice, Strzegom, Świdnica (gmina wiejska), Żarów, Czarny Bór, Mieroszów, Stare Bogaczowice, Walim, Bardo,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p w:rsidR="00AA6B99" w:rsidRPr="00323C8C" w:rsidRDefault="00AA6B99" w:rsidP="00AA6B99">
      <w:pPr>
        <w:autoSpaceDE w:val="0"/>
        <w:autoSpaceDN w:val="0"/>
        <w:adjustRightInd w:val="0"/>
        <w:jc w:val="both"/>
        <w:rPr>
          <w:rFonts w:ascii="Arial" w:hAnsi="Arial" w:cs="Arial"/>
          <w:color w:val="000000"/>
          <w:sz w:val="20"/>
          <w:szCs w:val="20"/>
          <w:u w:val="single"/>
          <w:lang w:eastAsia="en-US"/>
        </w:rPr>
      </w:pPr>
      <w:r w:rsidRPr="00323C8C">
        <w:rPr>
          <w:rFonts w:cstheme="minorBidi"/>
          <w:u w:val="single"/>
          <w:lang w:eastAsia="en-US"/>
        </w:rPr>
        <w:t>Jeżeli projekt będzie realizowany na obszarze którejś z wyżej wymienionych gmin, to projekt będzie uznany za spełniający kryterium premiujące nr 6.</w:t>
      </w:r>
    </w:p>
    <w:p w:rsidR="002D27EE" w:rsidRDefault="002D27EE" w:rsidP="002D27EE">
      <w:pPr>
        <w:autoSpaceDE w:val="0"/>
        <w:autoSpaceDN w:val="0"/>
        <w:jc w:val="both"/>
        <w:rPr>
          <w:color w:val="000000"/>
        </w:rPr>
      </w:pPr>
    </w:p>
    <w:p w:rsidR="002D27EE" w:rsidRPr="00323C8C" w:rsidRDefault="00323C8C" w:rsidP="00323C8C">
      <w:pPr>
        <w:pStyle w:val="Zwykytekst"/>
        <w:numPr>
          <w:ilvl w:val="0"/>
          <w:numId w:val="1"/>
        </w:numPr>
        <w:rPr>
          <w:b/>
        </w:rPr>
      </w:pPr>
      <w:r w:rsidRPr="00323C8C">
        <w:rPr>
          <w:b/>
        </w:rPr>
        <w:t>Czy język polski jest kompetencją kluczową?</w:t>
      </w:r>
    </w:p>
    <w:p w:rsidR="00323C8C" w:rsidRDefault="00323C8C" w:rsidP="00323C8C">
      <w:pPr>
        <w:pStyle w:val="Zwykytekst"/>
      </w:pPr>
    </w:p>
    <w:p w:rsidR="00323C8C" w:rsidRDefault="00323C8C" w:rsidP="00323C8C">
      <w:pPr>
        <w:pStyle w:val="Zwykytekst"/>
      </w:pPr>
      <w:r>
        <w:t>Nie, język polski nie jest kompetencją  kluczową. Katalog kompetencji kluczowych jest wskazany w Regulaminie konkursu w Rozdziale 1 Słownik pojęć i skrótów.</w:t>
      </w:r>
    </w:p>
    <w:p w:rsidR="00323C8C" w:rsidRDefault="00323C8C" w:rsidP="00323C8C">
      <w:pPr>
        <w:pStyle w:val="Zwykytekst"/>
      </w:pPr>
    </w:p>
    <w:p w:rsidR="0026728F" w:rsidRPr="00323C8C" w:rsidRDefault="00323C8C" w:rsidP="00323C8C">
      <w:pPr>
        <w:pStyle w:val="Akapitzlist"/>
        <w:numPr>
          <w:ilvl w:val="0"/>
          <w:numId w:val="1"/>
        </w:numPr>
        <w:rPr>
          <w:b/>
        </w:rPr>
      </w:pPr>
      <w:r w:rsidRPr="00323C8C">
        <w:rPr>
          <w:b/>
        </w:rPr>
        <w:t>Na jakie cele może zostać przeznaczona pomoc stypendialna w ramach programów pomocy stypendialnej</w:t>
      </w:r>
      <w:r>
        <w:rPr>
          <w:b/>
        </w:rPr>
        <w:t xml:space="preserve"> (typ projektu 10.2.C) </w:t>
      </w:r>
      <w:r w:rsidRPr="00323C8C">
        <w:rPr>
          <w:b/>
        </w:rPr>
        <w:t>?</w:t>
      </w:r>
    </w:p>
    <w:p w:rsidR="00D11034" w:rsidRDefault="00D11034" w:rsidP="0026728F">
      <w:pPr>
        <w:pStyle w:val="Akapitzlist"/>
      </w:pPr>
    </w:p>
    <w:p w:rsidR="00323C8C" w:rsidRPr="00323C8C" w:rsidRDefault="00323C8C" w:rsidP="00323C8C">
      <w:pPr>
        <w:pStyle w:val="Default0"/>
        <w:jc w:val="both"/>
        <w:rPr>
          <w:rFonts w:eastAsiaTheme="minorHAnsi"/>
          <w:sz w:val="22"/>
          <w:szCs w:val="22"/>
        </w:rPr>
      </w:pPr>
      <w:r w:rsidRPr="00323C8C">
        <w:rPr>
          <w:bCs/>
          <w:sz w:val="22"/>
          <w:szCs w:val="22"/>
        </w:rPr>
        <w:t xml:space="preserve">Pomoc stypendialna może zostać przeznaczona na cele edukacyjne. Organ prowadzący lub szkoła udzielająca stypendium musi opracować Regulamin programu stypendialnego, w ramach którego może określić szczegółowe zasady przeznaczenia stypendium, uwzględniając jego cel edukacyjny. </w:t>
      </w:r>
    </w:p>
    <w:p w:rsidR="00323C8C" w:rsidRPr="00323C8C" w:rsidRDefault="00323C8C" w:rsidP="00323C8C">
      <w:pPr>
        <w:autoSpaceDE w:val="0"/>
        <w:autoSpaceDN w:val="0"/>
        <w:adjustRightInd w:val="0"/>
        <w:jc w:val="both"/>
        <w:rPr>
          <w:rFonts w:cs="Calibri"/>
          <w:color w:val="000000"/>
          <w:lang w:eastAsia="en-US"/>
        </w:rPr>
      </w:pPr>
      <w:r>
        <w:rPr>
          <w:rFonts w:cs="Calibri"/>
          <w:color w:val="000000"/>
          <w:lang w:eastAsia="en-US"/>
        </w:rPr>
        <w:t xml:space="preserve">Programy pomocy stypendialnej mogą być skierowane </w:t>
      </w:r>
      <w:r w:rsidRPr="00323C8C">
        <w:rPr>
          <w:rFonts w:cs="Calibri"/>
          <w:color w:val="000000"/>
          <w:u w:val="single"/>
          <w:lang w:eastAsia="en-US"/>
        </w:rPr>
        <w:t>dla uczniów szczególnie uzdolnionych w zakresie przedmiotów przyrodniczych, informatycznych, języków obcych nowożytnych, matematyki lub przedsiębiorczości,</w:t>
      </w:r>
      <w:r w:rsidRPr="00323C8C">
        <w:rPr>
          <w:rFonts w:cs="Calibri"/>
          <w:color w:val="000000"/>
          <w:lang w:eastAsia="en-US"/>
        </w:rPr>
        <w:t xml:space="preserve"> ze szczególnym uwzględnieniem uczniów o specjalnych potrzebach edukacyjnych (m.in. uczniowie z niepełnosprawnościami, uczniowie zagrożeni przedwczesnym kończeniem nauki). </w:t>
      </w:r>
    </w:p>
    <w:p w:rsidR="00D11034" w:rsidRPr="00323C8C" w:rsidRDefault="00D11034" w:rsidP="00323C8C">
      <w:pPr>
        <w:jc w:val="both"/>
        <w:rPr>
          <w:bCs/>
        </w:rPr>
      </w:pPr>
    </w:p>
    <w:p w:rsidR="00D11034" w:rsidRDefault="00D11034"/>
    <w:sectPr w:rsidR="00D11034" w:rsidSect="00A72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0850"/>
    <w:multiLevelType w:val="hybridMultilevel"/>
    <w:tmpl w:val="9A0E8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4C15F60"/>
    <w:multiLevelType w:val="hybridMultilevel"/>
    <w:tmpl w:val="139A5092"/>
    <w:lvl w:ilvl="0" w:tplc="58BA3C2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365ACA"/>
    <w:multiLevelType w:val="multilevel"/>
    <w:tmpl w:val="72801D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0426A07"/>
    <w:multiLevelType w:val="hybridMultilevel"/>
    <w:tmpl w:val="485A291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76060527"/>
    <w:multiLevelType w:val="multilevel"/>
    <w:tmpl w:val="9646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0C1C05"/>
    <w:multiLevelType w:val="hybridMultilevel"/>
    <w:tmpl w:val="139A5092"/>
    <w:lvl w:ilvl="0" w:tplc="58BA3C2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56"/>
    <w:rsid w:val="000B4FF0"/>
    <w:rsid w:val="000B5BA9"/>
    <w:rsid w:val="00193C47"/>
    <w:rsid w:val="00216456"/>
    <w:rsid w:val="0026728F"/>
    <w:rsid w:val="002D27EE"/>
    <w:rsid w:val="00323C8C"/>
    <w:rsid w:val="00436D48"/>
    <w:rsid w:val="006F2D3C"/>
    <w:rsid w:val="007F30ED"/>
    <w:rsid w:val="008E1C66"/>
    <w:rsid w:val="00A72D94"/>
    <w:rsid w:val="00A93860"/>
    <w:rsid w:val="00AA6B99"/>
    <w:rsid w:val="00AC6C64"/>
    <w:rsid w:val="00C27DFE"/>
    <w:rsid w:val="00CB4571"/>
    <w:rsid w:val="00D11034"/>
    <w:rsid w:val="00D55436"/>
    <w:rsid w:val="00D74EB7"/>
    <w:rsid w:val="00E42A78"/>
    <w:rsid w:val="00EE60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034"/>
    <w:pPr>
      <w:spacing w:after="0" w:line="240" w:lineRule="auto"/>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1034"/>
    <w:pPr>
      <w:ind w:left="720"/>
      <w:contextualSpacing/>
    </w:pPr>
  </w:style>
  <w:style w:type="character" w:styleId="Hipercze">
    <w:name w:val="Hyperlink"/>
    <w:basedOn w:val="Domylnaczcionkaakapitu"/>
    <w:uiPriority w:val="99"/>
    <w:semiHidden/>
    <w:unhideWhenUsed/>
    <w:rsid w:val="0026728F"/>
    <w:rPr>
      <w:color w:val="0000FF"/>
      <w:u w:val="single"/>
    </w:rPr>
  </w:style>
  <w:style w:type="paragraph" w:styleId="Zwykytekst">
    <w:name w:val="Plain Text"/>
    <w:basedOn w:val="Normalny"/>
    <w:link w:val="ZwykytekstZnak"/>
    <w:uiPriority w:val="99"/>
    <w:semiHidden/>
    <w:unhideWhenUsed/>
    <w:rsid w:val="0026728F"/>
    <w:rPr>
      <w:lang w:eastAsia="en-US"/>
    </w:rPr>
  </w:style>
  <w:style w:type="character" w:customStyle="1" w:styleId="ZwykytekstZnak">
    <w:name w:val="Zwykły tekst Znak"/>
    <w:basedOn w:val="Domylnaczcionkaakapitu"/>
    <w:link w:val="Zwykytekst"/>
    <w:uiPriority w:val="99"/>
    <w:semiHidden/>
    <w:rsid w:val="0026728F"/>
    <w:rPr>
      <w:rFonts w:ascii="Calibri" w:hAnsi="Calibri" w:cs="Times New Roman"/>
    </w:rPr>
  </w:style>
  <w:style w:type="paragraph" w:customStyle="1" w:styleId="default">
    <w:name w:val="default"/>
    <w:basedOn w:val="Normalny"/>
    <w:uiPriority w:val="99"/>
    <w:rsid w:val="002D27EE"/>
    <w:rPr>
      <w:color w:val="000000"/>
      <w:sz w:val="24"/>
      <w:szCs w:val="24"/>
    </w:rPr>
  </w:style>
  <w:style w:type="character" w:customStyle="1" w:styleId="AkapitzlistZnak">
    <w:name w:val="Akapit z listą Znak"/>
    <w:aliases w:val="Numerowanie Znak,List Paragraph Znak,Akapit z listą BS Znak,Punkt 1.1 Znak"/>
    <w:link w:val="Akapitzlist"/>
    <w:uiPriority w:val="34"/>
    <w:qFormat/>
    <w:rsid w:val="00C27DFE"/>
    <w:rPr>
      <w:rFonts w:ascii="Calibri" w:hAnsi="Calibri" w:cs="Times New Roman"/>
      <w:lang w:eastAsia="pl-PL"/>
    </w:rPr>
  </w:style>
  <w:style w:type="paragraph" w:customStyle="1" w:styleId="Default0">
    <w:name w:val="Default"/>
    <w:rsid w:val="00CB4571"/>
    <w:pPr>
      <w:autoSpaceDE w:val="0"/>
      <w:autoSpaceDN w:val="0"/>
      <w:adjustRightInd w:val="0"/>
      <w:spacing w:after="0" w:line="240" w:lineRule="auto"/>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034"/>
    <w:pPr>
      <w:spacing w:after="0" w:line="240" w:lineRule="auto"/>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1034"/>
    <w:pPr>
      <w:ind w:left="720"/>
      <w:contextualSpacing/>
    </w:pPr>
  </w:style>
  <w:style w:type="character" w:styleId="Hipercze">
    <w:name w:val="Hyperlink"/>
    <w:basedOn w:val="Domylnaczcionkaakapitu"/>
    <w:uiPriority w:val="99"/>
    <w:semiHidden/>
    <w:unhideWhenUsed/>
    <w:rsid w:val="0026728F"/>
    <w:rPr>
      <w:color w:val="0000FF"/>
      <w:u w:val="single"/>
    </w:rPr>
  </w:style>
  <w:style w:type="paragraph" w:styleId="Zwykytekst">
    <w:name w:val="Plain Text"/>
    <w:basedOn w:val="Normalny"/>
    <w:link w:val="ZwykytekstZnak"/>
    <w:uiPriority w:val="99"/>
    <w:semiHidden/>
    <w:unhideWhenUsed/>
    <w:rsid w:val="0026728F"/>
    <w:rPr>
      <w:lang w:eastAsia="en-US"/>
    </w:rPr>
  </w:style>
  <w:style w:type="character" w:customStyle="1" w:styleId="ZwykytekstZnak">
    <w:name w:val="Zwykły tekst Znak"/>
    <w:basedOn w:val="Domylnaczcionkaakapitu"/>
    <w:link w:val="Zwykytekst"/>
    <w:uiPriority w:val="99"/>
    <w:semiHidden/>
    <w:rsid w:val="0026728F"/>
    <w:rPr>
      <w:rFonts w:ascii="Calibri" w:hAnsi="Calibri" w:cs="Times New Roman"/>
    </w:rPr>
  </w:style>
  <w:style w:type="paragraph" w:customStyle="1" w:styleId="default">
    <w:name w:val="default"/>
    <w:basedOn w:val="Normalny"/>
    <w:uiPriority w:val="99"/>
    <w:rsid w:val="002D27EE"/>
    <w:rPr>
      <w:color w:val="000000"/>
      <w:sz w:val="24"/>
      <w:szCs w:val="24"/>
    </w:rPr>
  </w:style>
  <w:style w:type="character" w:customStyle="1" w:styleId="AkapitzlistZnak">
    <w:name w:val="Akapit z listą Znak"/>
    <w:aliases w:val="Numerowanie Znak,List Paragraph Znak,Akapit z listą BS Znak,Punkt 1.1 Znak"/>
    <w:link w:val="Akapitzlist"/>
    <w:uiPriority w:val="34"/>
    <w:qFormat/>
    <w:rsid w:val="00C27DFE"/>
    <w:rPr>
      <w:rFonts w:ascii="Calibri" w:hAnsi="Calibri" w:cs="Times New Roman"/>
      <w:lang w:eastAsia="pl-PL"/>
    </w:rPr>
  </w:style>
  <w:style w:type="paragraph" w:customStyle="1" w:styleId="Default0">
    <w:name w:val="Default"/>
    <w:rsid w:val="00CB4571"/>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2531">
      <w:bodyDiv w:val="1"/>
      <w:marLeft w:val="0"/>
      <w:marRight w:val="0"/>
      <w:marTop w:val="0"/>
      <w:marBottom w:val="0"/>
      <w:divBdr>
        <w:top w:val="none" w:sz="0" w:space="0" w:color="auto"/>
        <w:left w:val="none" w:sz="0" w:space="0" w:color="auto"/>
        <w:bottom w:val="none" w:sz="0" w:space="0" w:color="auto"/>
        <w:right w:val="none" w:sz="0" w:space="0" w:color="auto"/>
      </w:divBdr>
    </w:div>
    <w:div w:id="337931841">
      <w:bodyDiv w:val="1"/>
      <w:marLeft w:val="0"/>
      <w:marRight w:val="0"/>
      <w:marTop w:val="0"/>
      <w:marBottom w:val="0"/>
      <w:divBdr>
        <w:top w:val="none" w:sz="0" w:space="0" w:color="auto"/>
        <w:left w:val="none" w:sz="0" w:space="0" w:color="auto"/>
        <w:bottom w:val="none" w:sz="0" w:space="0" w:color="auto"/>
        <w:right w:val="none" w:sz="0" w:space="0" w:color="auto"/>
      </w:divBdr>
    </w:div>
    <w:div w:id="385373737">
      <w:bodyDiv w:val="1"/>
      <w:marLeft w:val="0"/>
      <w:marRight w:val="0"/>
      <w:marTop w:val="0"/>
      <w:marBottom w:val="0"/>
      <w:divBdr>
        <w:top w:val="none" w:sz="0" w:space="0" w:color="auto"/>
        <w:left w:val="none" w:sz="0" w:space="0" w:color="auto"/>
        <w:bottom w:val="none" w:sz="0" w:space="0" w:color="auto"/>
        <w:right w:val="none" w:sz="0" w:space="0" w:color="auto"/>
      </w:divBdr>
    </w:div>
    <w:div w:id="442500527">
      <w:bodyDiv w:val="1"/>
      <w:marLeft w:val="0"/>
      <w:marRight w:val="0"/>
      <w:marTop w:val="0"/>
      <w:marBottom w:val="0"/>
      <w:divBdr>
        <w:top w:val="none" w:sz="0" w:space="0" w:color="auto"/>
        <w:left w:val="none" w:sz="0" w:space="0" w:color="auto"/>
        <w:bottom w:val="none" w:sz="0" w:space="0" w:color="auto"/>
        <w:right w:val="none" w:sz="0" w:space="0" w:color="auto"/>
      </w:divBdr>
    </w:div>
    <w:div w:id="476923248">
      <w:bodyDiv w:val="1"/>
      <w:marLeft w:val="0"/>
      <w:marRight w:val="0"/>
      <w:marTop w:val="0"/>
      <w:marBottom w:val="0"/>
      <w:divBdr>
        <w:top w:val="none" w:sz="0" w:space="0" w:color="auto"/>
        <w:left w:val="none" w:sz="0" w:space="0" w:color="auto"/>
        <w:bottom w:val="none" w:sz="0" w:space="0" w:color="auto"/>
        <w:right w:val="none" w:sz="0" w:space="0" w:color="auto"/>
      </w:divBdr>
    </w:div>
    <w:div w:id="479463458">
      <w:bodyDiv w:val="1"/>
      <w:marLeft w:val="0"/>
      <w:marRight w:val="0"/>
      <w:marTop w:val="0"/>
      <w:marBottom w:val="0"/>
      <w:divBdr>
        <w:top w:val="none" w:sz="0" w:space="0" w:color="auto"/>
        <w:left w:val="none" w:sz="0" w:space="0" w:color="auto"/>
        <w:bottom w:val="none" w:sz="0" w:space="0" w:color="auto"/>
        <w:right w:val="none" w:sz="0" w:space="0" w:color="auto"/>
      </w:divBdr>
    </w:div>
    <w:div w:id="823739731">
      <w:bodyDiv w:val="1"/>
      <w:marLeft w:val="0"/>
      <w:marRight w:val="0"/>
      <w:marTop w:val="0"/>
      <w:marBottom w:val="0"/>
      <w:divBdr>
        <w:top w:val="none" w:sz="0" w:space="0" w:color="auto"/>
        <w:left w:val="none" w:sz="0" w:space="0" w:color="auto"/>
        <w:bottom w:val="none" w:sz="0" w:space="0" w:color="auto"/>
        <w:right w:val="none" w:sz="0" w:space="0" w:color="auto"/>
      </w:divBdr>
    </w:div>
    <w:div w:id="1094017084">
      <w:bodyDiv w:val="1"/>
      <w:marLeft w:val="0"/>
      <w:marRight w:val="0"/>
      <w:marTop w:val="0"/>
      <w:marBottom w:val="0"/>
      <w:divBdr>
        <w:top w:val="none" w:sz="0" w:space="0" w:color="auto"/>
        <w:left w:val="none" w:sz="0" w:space="0" w:color="auto"/>
        <w:bottom w:val="none" w:sz="0" w:space="0" w:color="auto"/>
        <w:right w:val="none" w:sz="0" w:space="0" w:color="auto"/>
      </w:divBdr>
    </w:div>
    <w:div w:id="1182426812">
      <w:bodyDiv w:val="1"/>
      <w:marLeft w:val="0"/>
      <w:marRight w:val="0"/>
      <w:marTop w:val="0"/>
      <w:marBottom w:val="0"/>
      <w:divBdr>
        <w:top w:val="none" w:sz="0" w:space="0" w:color="auto"/>
        <w:left w:val="none" w:sz="0" w:space="0" w:color="auto"/>
        <w:bottom w:val="none" w:sz="0" w:space="0" w:color="auto"/>
        <w:right w:val="none" w:sz="0" w:space="0" w:color="auto"/>
      </w:divBdr>
    </w:div>
    <w:div w:id="1497460310">
      <w:bodyDiv w:val="1"/>
      <w:marLeft w:val="0"/>
      <w:marRight w:val="0"/>
      <w:marTop w:val="0"/>
      <w:marBottom w:val="0"/>
      <w:divBdr>
        <w:top w:val="none" w:sz="0" w:space="0" w:color="auto"/>
        <w:left w:val="none" w:sz="0" w:space="0" w:color="auto"/>
        <w:bottom w:val="none" w:sz="0" w:space="0" w:color="auto"/>
        <w:right w:val="none" w:sz="0" w:space="0" w:color="auto"/>
      </w:divBdr>
    </w:div>
    <w:div w:id="1527014046">
      <w:bodyDiv w:val="1"/>
      <w:marLeft w:val="0"/>
      <w:marRight w:val="0"/>
      <w:marTop w:val="0"/>
      <w:marBottom w:val="0"/>
      <w:divBdr>
        <w:top w:val="none" w:sz="0" w:space="0" w:color="auto"/>
        <w:left w:val="none" w:sz="0" w:space="0" w:color="auto"/>
        <w:bottom w:val="none" w:sz="0" w:space="0" w:color="auto"/>
        <w:right w:val="none" w:sz="0" w:space="0" w:color="auto"/>
      </w:divBdr>
    </w:div>
    <w:div w:id="1693651515">
      <w:bodyDiv w:val="1"/>
      <w:marLeft w:val="0"/>
      <w:marRight w:val="0"/>
      <w:marTop w:val="0"/>
      <w:marBottom w:val="0"/>
      <w:divBdr>
        <w:top w:val="none" w:sz="0" w:space="0" w:color="auto"/>
        <w:left w:val="none" w:sz="0" w:space="0" w:color="auto"/>
        <w:bottom w:val="none" w:sz="0" w:space="0" w:color="auto"/>
        <w:right w:val="none" w:sz="0" w:space="0" w:color="auto"/>
      </w:divBdr>
    </w:div>
    <w:div w:id="1910460395">
      <w:bodyDiv w:val="1"/>
      <w:marLeft w:val="0"/>
      <w:marRight w:val="0"/>
      <w:marTop w:val="0"/>
      <w:marBottom w:val="0"/>
      <w:divBdr>
        <w:top w:val="none" w:sz="0" w:space="0" w:color="auto"/>
        <w:left w:val="none" w:sz="0" w:space="0" w:color="auto"/>
        <w:bottom w:val="none" w:sz="0" w:space="0" w:color="auto"/>
        <w:right w:val="none" w:sz="0" w:space="0" w:color="auto"/>
      </w:divBdr>
    </w:div>
    <w:div w:id="2035303071">
      <w:bodyDiv w:val="1"/>
      <w:marLeft w:val="0"/>
      <w:marRight w:val="0"/>
      <w:marTop w:val="0"/>
      <w:marBottom w:val="0"/>
      <w:divBdr>
        <w:top w:val="none" w:sz="0" w:space="0" w:color="auto"/>
        <w:left w:val="none" w:sz="0" w:space="0" w:color="auto"/>
        <w:bottom w:val="none" w:sz="0" w:space="0" w:color="auto"/>
        <w:right w:val="none" w:sz="0" w:space="0" w:color="auto"/>
      </w:divBdr>
    </w:div>
    <w:div w:id="2093626243">
      <w:bodyDiv w:val="1"/>
      <w:marLeft w:val="0"/>
      <w:marRight w:val="0"/>
      <w:marTop w:val="0"/>
      <w:marBottom w:val="0"/>
      <w:divBdr>
        <w:top w:val="none" w:sz="0" w:space="0" w:color="auto"/>
        <w:left w:val="none" w:sz="0" w:space="0" w:color="auto"/>
        <w:bottom w:val="none" w:sz="0" w:space="0" w:color="auto"/>
        <w:right w:val="none" w:sz="0" w:space="0" w:color="auto"/>
      </w:divBdr>
    </w:div>
    <w:div w:id="214546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fs.men.gov.pl/dokumenty/wytyczne-w-zakresie-realizacji-przedsiewziec-z-udzialem-srodkow-europejskiego-funduszu-spolecznego-w-obszarze-edukacji-na-lata-2014-2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5922</Words>
  <Characters>35536</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Winnicka</dc:creator>
  <cp:lastModifiedBy>Monika Winnicka</cp:lastModifiedBy>
  <cp:revision>2</cp:revision>
  <dcterms:created xsi:type="dcterms:W3CDTF">2017-02-14T12:21:00Z</dcterms:created>
  <dcterms:modified xsi:type="dcterms:W3CDTF">2017-02-14T12:21:00Z</dcterms:modified>
</cp:coreProperties>
</file>