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64" w:rsidRPr="00811864" w:rsidRDefault="00811864" w:rsidP="00A43DC8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811864">
        <w:rPr>
          <w:rFonts w:eastAsia="Times New Roman" w:cs="Times New Roman"/>
          <w:b/>
          <w:bCs/>
          <w:u w:val="single"/>
          <w:lang w:eastAsia="pl-PL"/>
        </w:rPr>
        <w:t>PYTANIA i ODPOWIEDZI DO NABOR</w:t>
      </w:r>
      <w:r w:rsidR="00D313FA">
        <w:rPr>
          <w:rFonts w:eastAsia="Times New Roman" w:cs="Times New Roman"/>
          <w:b/>
          <w:bCs/>
          <w:u w:val="single"/>
          <w:lang w:eastAsia="pl-PL"/>
        </w:rPr>
        <w:t>ÓW</w:t>
      </w:r>
      <w:r w:rsidRPr="00811864">
        <w:rPr>
          <w:rFonts w:eastAsia="Times New Roman" w:cs="Times New Roman"/>
          <w:b/>
          <w:bCs/>
          <w:u w:val="single"/>
          <w:lang w:eastAsia="pl-PL"/>
        </w:rPr>
        <w:t xml:space="preserve"> W RAMACH DZIAŁANIA 4.4 – TYP E i F</w:t>
      </w:r>
    </w:p>
    <w:p w:rsidR="00811864" w:rsidRDefault="00811864" w:rsidP="00A43DC8">
      <w:pPr>
        <w:pStyle w:val="Akapitzlist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lang w:eastAsia="pl-PL"/>
        </w:rPr>
      </w:pPr>
    </w:p>
    <w:p w:rsidR="00C35EA3" w:rsidRPr="00C35EA3" w:rsidRDefault="00C35EA3" w:rsidP="00A43DC8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C35EA3">
        <w:rPr>
          <w:rFonts w:eastAsia="Times New Roman" w:cs="Times New Roman"/>
          <w:b/>
          <w:bCs/>
          <w:u w:val="single"/>
          <w:lang w:eastAsia="pl-PL"/>
        </w:rPr>
        <w:t xml:space="preserve">Czy załącznik </w:t>
      </w:r>
      <w:r w:rsidRPr="00C35EA3">
        <w:rPr>
          <w:rFonts w:ascii="Calibri" w:eastAsia="Calibri" w:hAnsi="Calibri"/>
          <w:b/>
          <w:u w:val="single"/>
        </w:rPr>
        <w:t>Opinia służb odpowiedzialnych za ochronę przyrody</w:t>
      </w:r>
      <w:r w:rsidRPr="00C35EA3">
        <w:rPr>
          <w:rFonts w:ascii="Calibri" w:eastAsia="Calibri" w:hAnsi="Calibri"/>
          <w:b/>
          <w:u w:val="single"/>
        </w:rPr>
        <w:t xml:space="preserve"> jest obligatoryjnym załącznikiem w naborze?</w:t>
      </w:r>
    </w:p>
    <w:p w:rsidR="00C35EA3" w:rsidRDefault="00C35EA3" w:rsidP="00C35EA3">
      <w:pPr>
        <w:pStyle w:val="Akapitzlist"/>
        <w:spacing w:before="100" w:beforeAutospacing="1" w:after="100" w:afterAutospacing="1"/>
        <w:ind w:left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</w:p>
    <w:p w:rsidR="00C35EA3" w:rsidRPr="00C35EA3" w:rsidRDefault="00C35EA3" w:rsidP="00C35EA3">
      <w:pPr>
        <w:pStyle w:val="Akapitzlist"/>
        <w:spacing w:before="100" w:beforeAutospacing="1" w:after="100" w:afterAutospacing="1"/>
        <w:ind w:left="0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C35EA3">
        <w:rPr>
          <w:rFonts w:eastAsia="Times New Roman" w:cs="Times New Roman"/>
          <w:b/>
          <w:bCs/>
          <w:lang w:eastAsia="pl-PL"/>
        </w:rPr>
        <w:t>Tak.</w:t>
      </w:r>
    </w:p>
    <w:p w:rsidR="00C35EA3" w:rsidRDefault="00C35EA3" w:rsidP="00C35EA3">
      <w:pPr>
        <w:pStyle w:val="Akapitzlist"/>
        <w:spacing w:before="100" w:beforeAutospacing="1" w:after="100" w:afterAutospacing="1"/>
        <w:ind w:left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</w:p>
    <w:p w:rsidR="00C35EA3" w:rsidRPr="00BD5934" w:rsidRDefault="00C35EA3" w:rsidP="00C35EA3">
      <w:pPr>
        <w:spacing w:after="0"/>
        <w:jc w:val="both"/>
        <w:rPr>
          <w:rFonts w:eastAsia="Times New Roman" w:cs="Arial"/>
          <w:b/>
          <w:u w:val="single"/>
          <w:lang w:eastAsia="pl-PL"/>
        </w:rPr>
      </w:pPr>
      <w:r w:rsidRPr="00BD5934">
        <w:rPr>
          <w:rFonts w:eastAsia="Times New Roman" w:cs="Arial"/>
          <w:lang w:eastAsia="pl-PL"/>
        </w:rPr>
        <w:t xml:space="preserve">Na str. 61 Instrukcji wypełniania wniosku czytamy: „Poniżej przedstawiony został katalog załączników, które </w:t>
      </w:r>
      <w:r w:rsidRPr="00BD5934">
        <w:rPr>
          <w:rFonts w:eastAsia="Times New Roman" w:cs="Arial"/>
          <w:u w:val="single"/>
          <w:lang w:eastAsia="pl-PL"/>
        </w:rPr>
        <w:t>mogą być</w:t>
      </w:r>
      <w:r w:rsidRPr="00BD5934">
        <w:rPr>
          <w:rFonts w:eastAsia="Times New Roman" w:cs="Arial"/>
          <w:lang w:eastAsia="pl-PL"/>
        </w:rPr>
        <w:t xml:space="preserve"> wymagane na potrzeby aplikacji o środki finansowe w ramach RPO WD 2014 2020. </w:t>
      </w:r>
      <w:r w:rsidRPr="00BD5934">
        <w:rPr>
          <w:rFonts w:eastAsia="Times New Roman" w:cs="Arial"/>
          <w:u w:val="single"/>
          <w:lang w:eastAsia="pl-PL"/>
        </w:rPr>
        <w:t xml:space="preserve">Wnioskodawca zobligowany jest do załączenia do wniosku o dofinansowanie załączników, które go dotyczą biorąc pod uwagę specyfikę projektu oraz </w:t>
      </w:r>
      <w:r w:rsidRPr="00BD5934">
        <w:rPr>
          <w:rFonts w:eastAsia="Times New Roman" w:cs="Arial"/>
          <w:b/>
          <w:u w:val="single"/>
          <w:lang w:eastAsia="pl-PL"/>
        </w:rPr>
        <w:t xml:space="preserve">wymogi ogłoszenia </w:t>
      </w:r>
      <w:r w:rsidRPr="00BD5934">
        <w:rPr>
          <w:rFonts w:eastAsia="Times New Roman" w:cs="Arial"/>
          <w:b/>
          <w:u w:val="single"/>
          <w:lang w:eastAsia="pl-PL"/>
        </w:rPr>
        <w:br/>
        <w:t xml:space="preserve">o naborze wniosków.” </w:t>
      </w:r>
    </w:p>
    <w:p w:rsidR="00C35EA3" w:rsidRDefault="00C35EA3" w:rsidP="00C35EA3">
      <w:pPr>
        <w:spacing w:after="0"/>
        <w:jc w:val="both"/>
      </w:pPr>
      <w:r>
        <w:t xml:space="preserve">„Opinia…” jest załącznikiem specyficznym dla przedmiotowego naboru (podobnie jak Oświadczenie wnioskodawcy do naboru 4.4 </w:t>
      </w:r>
      <w:proofErr w:type="spellStart"/>
      <w:r>
        <w:t>EiF</w:t>
      </w:r>
      <w:proofErr w:type="spellEnd"/>
      <w:r>
        <w:t xml:space="preserve"> – OSI), zamieszczonym pod ogłoszeniem o naborze, co oznacza, iż jest wiążąca dla </w:t>
      </w:r>
      <w:r>
        <w:t xml:space="preserve">wszystkich </w:t>
      </w:r>
      <w:r>
        <w:t>wnioskodawców.</w:t>
      </w:r>
    </w:p>
    <w:p w:rsidR="00C35EA3" w:rsidRPr="00C35EA3" w:rsidRDefault="00C35EA3" w:rsidP="00C35EA3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Co w przypadku, gdy RDOŚ nie zdąży wydać opinii do momentu zakończenia naboru?</w:t>
      </w:r>
    </w:p>
    <w:p w:rsidR="00C35EA3" w:rsidRPr="006802C6" w:rsidRDefault="00C35EA3" w:rsidP="00C35EA3">
      <w:pPr>
        <w:pStyle w:val="Standard"/>
        <w:spacing w:after="160"/>
        <w:jc w:val="both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 xml:space="preserve"> </w:t>
      </w:r>
      <w:r w:rsidRPr="006802C6">
        <w:rPr>
          <w:rFonts w:cs="Arial"/>
        </w:rPr>
        <w:t xml:space="preserve">przypadku, gdy </w:t>
      </w:r>
      <w:r>
        <w:rPr>
          <w:rFonts w:cs="Arial"/>
        </w:rPr>
        <w:t>w</w:t>
      </w:r>
      <w:r w:rsidRPr="006802C6">
        <w:rPr>
          <w:rFonts w:cs="Arial"/>
        </w:rPr>
        <w:t xml:space="preserve">nioskodawca dochował wszelkich starań w związku z koniecznością pozyskania ww. </w:t>
      </w:r>
      <w:r>
        <w:rPr>
          <w:rFonts w:cs="Arial"/>
        </w:rPr>
        <w:t>Opinii</w:t>
      </w:r>
      <w:r w:rsidRPr="006802C6">
        <w:rPr>
          <w:rFonts w:cs="Arial"/>
        </w:rPr>
        <w:t xml:space="preserve">, jednakże ze względu na opóźnienie przez niego niezawinione nie jest w stanie dołączyć ww. </w:t>
      </w:r>
      <w:r>
        <w:rPr>
          <w:rFonts w:cs="Arial"/>
        </w:rPr>
        <w:t>Opinii</w:t>
      </w:r>
      <w:r w:rsidRPr="006802C6">
        <w:rPr>
          <w:rFonts w:cs="Arial"/>
        </w:rPr>
        <w:t xml:space="preserve"> do wniosku o dofinansowanie, powinien jako załącznik  przedłożyć kserokopię wniosku złożonego do RDOŚ o wydanie ww. </w:t>
      </w:r>
      <w:r>
        <w:rPr>
          <w:rFonts w:cs="Arial"/>
        </w:rPr>
        <w:t>Opinii</w:t>
      </w:r>
      <w:r w:rsidRPr="006802C6">
        <w:rPr>
          <w:rFonts w:cs="Arial"/>
        </w:rPr>
        <w:t>, z datą wpływu do RDOŚ poprzedzającą złożenie pierwszej wersji wniosku o dofinansowanie (lub inne dokumenty potwierdzające złożenie wniosku ww. terminie, np. zwrotne potwierdzenie odbioru, urzędowe poświadczenie przedłożenia dokumentu w systemie e-</w:t>
      </w:r>
      <w:proofErr w:type="spellStart"/>
      <w:r w:rsidRPr="006802C6">
        <w:rPr>
          <w:rFonts w:cs="Arial"/>
        </w:rPr>
        <w:t>puap</w:t>
      </w:r>
      <w:proofErr w:type="spellEnd"/>
      <w:r w:rsidRPr="006802C6">
        <w:rPr>
          <w:rFonts w:cs="Arial"/>
        </w:rPr>
        <w:t>).</w:t>
      </w:r>
    </w:p>
    <w:p w:rsidR="00C35EA3" w:rsidRPr="006802C6" w:rsidRDefault="00C35EA3" w:rsidP="00C35EA3">
      <w:pPr>
        <w:pStyle w:val="Standard"/>
        <w:spacing w:after="160"/>
        <w:jc w:val="both"/>
        <w:rPr>
          <w:rFonts w:cs="Arial"/>
        </w:rPr>
      </w:pPr>
      <w:r w:rsidRPr="006802C6">
        <w:rPr>
          <w:rFonts w:cs="Arial"/>
        </w:rPr>
        <w:t xml:space="preserve">Przedmiotowa </w:t>
      </w:r>
      <w:r>
        <w:rPr>
          <w:rFonts w:cs="Arial"/>
        </w:rPr>
        <w:t>Opinia</w:t>
      </w:r>
      <w:r w:rsidRPr="006802C6">
        <w:rPr>
          <w:rFonts w:cs="Arial"/>
        </w:rPr>
        <w:t>, w zależności od terminu jej pozyskania, musi być dołączona podczas składania uzupełnionego/ poprawionego wniosku o dofinansowanie na etapie oceny formalnej.</w:t>
      </w:r>
    </w:p>
    <w:p w:rsidR="00C35EA3" w:rsidRDefault="00C35EA3" w:rsidP="00C35EA3">
      <w:pPr>
        <w:jc w:val="both"/>
        <w:rPr>
          <w:rFonts w:cs="Arial"/>
        </w:rPr>
      </w:pPr>
      <w:r>
        <w:t>W</w:t>
      </w:r>
      <w:r w:rsidRPr="006802C6">
        <w:rPr>
          <w:rFonts w:cs="Arial"/>
        </w:rPr>
        <w:t xml:space="preserve"> przypadku braku </w:t>
      </w:r>
      <w:r>
        <w:rPr>
          <w:rFonts w:cs="Arial"/>
        </w:rPr>
        <w:t xml:space="preserve">Opinii </w:t>
      </w:r>
      <w:r w:rsidRPr="006802C6">
        <w:rPr>
          <w:rFonts w:cs="Arial"/>
        </w:rPr>
        <w:t xml:space="preserve">wydawanej przez RDOŚ w terminie wskazanym przez IZ RPO WD na dokonanie poprawy wniosku o dofinansowanie na etapie oceny formalnej, wnioskodawca powinien zwrócić się do IZ RPO WD z prośbą o wydłużenie terminu na złożenie dokumentacji aplikacyjnej po poprawie, przedstawiając stosowną argumentację. </w:t>
      </w:r>
    </w:p>
    <w:p w:rsidR="00C35EA3" w:rsidRDefault="00C35EA3" w:rsidP="00C35EA3">
      <w:pPr>
        <w:jc w:val="both"/>
      </w:pPr>
      <w:r w:rsidRPr="006802C6">
        <w:rPr>
          <w:rFonts w:cs="Arial"/>
        </w:rPr>
        <w:t>IZ RPO WD indywidualnie rozpatruje wnioski o wydłużenie terminu na poprawę dokumentacji aplikacyjnej biorąc pod uwagę przedstawione przez Wnioskodawcę argumenty.</w:t>
      </w:r>
      <w:r w:rsidRPr="006802C6">
        <w:t xml:space="preserve"> </w:t>
      </w:r>
    </w:p>
    <w:p w:rsidR="00C35EA3" w:rsidRDefault="00C35EA3" w:rsidP="00C35EA3">
      <w:pPr>
        <w:pStyle w:val="Akapitzlist"/>
        <w:spacing w:before="100" w:beforeAutospacing="1" w:after="100" w:afterAutospacing="1"/>
        <w:ind w:left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</w:p>
    <w:p w:rsidR="00A26B01" w:rsidRPr="00A43DC8" w:rsidRDefault="00811864" w:rsidP="00A43DC8">
      <w:pPr>
        <w:pStyle w:val="Akapitzlist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u w:val="single"/>
          <w:lang w:eastAsia="pl-PL"/>
        </w:rPr>
      </w:pPr>
      <w:r w:rsidRPr="00A43DC8">
        <w:rPr>
          <w:rFonts w:eastAsia="Times New Roman" w:cs="Times New Roman"/>
          <w:b/>
          <w:bCs/>
          <w:u w:val="single"/>
          <w:lang w:eastAsia="pl-PL"/>
        </w:rPr>
        <w:t>Jak rozumieć pojęcie „</w:t>
      </w:r>
      <w:r w:rsidR="00A26B01" w:rsidRPr="00A43DC8">
        <w:rPr>
          <w:rFonts w:eastAsia="Times New Roman" w:cs="Times New Roman"/>
          <w:b/>
          <w:bCs/>
          <w:u w:val="single"/>
          <w:lang w:eastAsia="pl-PL"/>
        </w:rPr>
        <w:t>Obszar przyrodniczo cenny</w:t>
      </w:r>
      <w:r w:rsidRPr="00A43DC8">
        <w:rPr>
          <w:rFonts w:eastAsia="Times New Roman" w:cs="Times New Roman"/>
          <w:b/>
          <w:bCs/>
          <w:u w:val="single"/>
          <w:lang w:eastAsia="pl-PL"/>
        </w:rPr>
        <w:t>” – wymienione w kryterium merytorycznym specyficznym - obligatoryjnym w naborze?</w:t>
      </w:r>
    </w:p>
    <w:p w:rsidR="00811864" w:rsidRPr="00811864" w:rsidRDefault="00811864" w:rsidP="00A43DC8">
      <w:pPr>
        <w:jc w:val="both"/>
        <w:rPr>
          <w:rFonts w:eastAsia="Times New Roman" w:cs="Times New Roman"/>
          <w:bCs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>Na potrzeby naboru opracowano następującą definicję:</w:t>
      </w:r>
    </w:p>
    <w:p w:rsidR="001F1B10" w:rsidRPr="00811864" w:rsidRDefault="00811864" w:rsidP="00A43DC8">
      <w:pPr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Times New Roman"/>
          <w:bCs/>
          <w:lang w:eastAsia="pl-PL"/>
        </w:rPr>
        <w:t xml:space="preserve"> </w:t>
      </w:r>
      <w:r w:rsidRPr="00811864">
        <w:rPr>
          <w:rFonts w:eastAsia="Times New Roman" w:cs="Times New Roman"/>
          <w:b/>
          <w:bCs/>
          <w:lang w:eastAsia="pl-PL"/>
        </w:rPr>
        <w:t>„Obszary przyrodniczo cenne”</w:t>
      </w:r>
      <w:r w:rsidRPr="00811864">
        <w:rPr>
          <w:rFonts w:eastAsia="Times New Roman" w:cs="Times New Roman"/>
          <w:bCs/>
          <w:lang w:eastAsia="pl-PL"/>
        </w:rPr>
        <w:t xml:space="preserve"> - </w:t>
      </w:r>
      <w:r w:rsidR="001F1B10" w:rsidRPr="00811864">
        <w:rPr>
          <w:rFonts w:eastAsia="Times New Roman" w:cs="Times New Roman"/>
          <w:lang w:eastAsia="pl-PL"/>
        </w:rPr>
        <w:t>T</w:t>
      </w:r>
      <w:r w:rsidR="00A26B01" w:rsidRPr="00811864">
        <w:rPr>
          <w:rFonts w:eastAsia="Times New Roman" w:cs="Times New Roman"/>
          <w:lang w:eastAsia="pl-PL"/>
        </w:rPr>
        <w:t>eren</w:t>
      </w:r>
      <w:r w:rsidR="001F1B10" w:rsidRPr="00811864">
        <w:rPr>
          <w:rFonts w:eastAsia="Times New Roman" w:cs="Times New Roman"/>
          <w:lang w:eastAsia="pl-PL"/>
        </w:rPr>
        <w:t>y</w:t>
      </w:r>
      <w:r w:rsidR="00A26B01" w:rsidRPr="00811864">
        <w:rPr>
          <w:rFonts w:eastAsia="Times New Roman" w:cs="Times New Roman"/>
          <w:lang w:eastAsia="pl-PL"/>
        </w:rPr>
        <w:t>, na który</w:t>
      </w:r>
      <w:r w:rsidR="001F1B10" w:rsidRPr="00811864">
        <w:rPr>
          <w:rFonts w:eastAsia="Times New Roman" w:cs="Times New Roman"/>
          <w:lang w:eastAsia="pl-PL"/>
        </w:rPr>
        <w:t>ch</w:t>
      </w:r>
      <w:r w:rsidR="00A26B01" w:rsidRPr="00811864">
        <w:rPr>
          <w:rFonts w:eastAsia="Times New Roman" w:cs="Times New Roman"/>
          <w:lang w:eastAsia="pl-PL"/>
        </w:rPr>
        <w:t xml:space="preserve"> występuje organizm, gatunek lub zespół organizmów czy też nieożywiony twór, całe siedlisko, ekosystem oraz krajobraz, wyróżnione ze względu na ich rzadkość, typowość, użyteczność, symboliczność, walor estetyczny itd.</w:t>
      </w:r>
      <w:r w:rsidR="001F1B10" w:rsidRPr="00811864">
        <w:rPr>
          <w:rFonts w:eastAsia="Times New Roman" w:cs="Times New Roman"/>
          <w:lang w:eastAsia="pl-PL"/>
        </w:rPr>
        <w:t>,</w:t>
      </w:r>
      <w:r w:rsidR="00A26B01" w:rsidRPr="00811864">
        <w:rPr>
          <w:rFonts w:eastAsia="Times New Roman" w:cs="Times New Roman"/>
          <w:lang w:eastAsia="pl-PL"/>
        </w:rPr>
        <w:t xml:space="preserve"> </w:t>
      </w:r>
      <w:r w:rsidR="001F1B10" w:rsidRPr="00811864">
        <w:rPr>
          <w:rFonts w:eastAsia="Times New Roman" w:cs="Arial"/>
          <w:lang w:eastAsia="pl-PL"/>
        </w:rPr>
        <w:t>pełniące głównie funkcje przyrodnicze, które kluczowe są dla zachowania równowagi ekologicznej.</w:t>
      </w:r>
    </w:p>
    <w:p w:rsidR="001F1B10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Naturalność pochodzenia nie jest cechą konieczną mogą to być układy, które dzięki działalności człowieka odtwarzają lub ilustrują naturalne struktury. </w:t>
      </w:r>
    </w:p>
    <w:p w:rsidR="00A26B01" w:rsidRPr="00811864" w:rsidRDefault="00A26B01" w:rsidP="00A43DC8">
      <w:pPr>
        <w:jc w:val="both"/>
        <w:rPr>
          <w:rFonts w:eastAsia="Times New Roman" w:cs="Times New Roman"/>
          <w:lang w:eastAsia="pl-PL"/>
        </w:rPr>
      </w:pPr>
      <w:r w:rsidRPr="00811864">
        <w:rPr>
          <w:rFonts w:eastAsia="Times New Roman" w:cs="Times New Roman"/>
          <w:lang w:eastAsia="pl-PL"/>
        </w:rPr>
        <w:t xml:space="preserve">Kryteriami wydzielania regionów przyrodniczo cennych mogą być </w:t>
      </w:r>
      <w:r w:rsidR="001F1B10" w:rsidRPr="00811864">
        <w:rPr>
          <w:rFonts w:eastAsia="Times New Roman" w:cs="Times New Roman"/>
          <w:lang w:eastAsia="pl-PL"/>
        </w:rPr>
        <w:t xml:space="preserve">m.in. </w:t>
      </w:r>
      <w:r w:rsidRPr="00811864">
        <w:rPr>
          <w:rFonts w:eastAsia="Times New Roman" w:cs="Times New Roman"/>
          <w:lang w:eastAsia="pl-PL"/>
        </w:rPr>
        <w:t xml:space="preserve">bogactwa mineralne, surowce energetyczne, stosunki wodne, gorące źródła, borowiny, piękno krajobrazu, klimat, powoływanie parków narodowych i krajobrazowych. </w:t>
      </w:r>
    </w:p>
    <w:p w:rsidR="001F1B10" w:rsidRPr="00811864" w:rsidRDefault="001F1B10" w:rsidP="00A43DC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811864">
        <w:rPr>
          <w:rFonts w:eastAsia="Times New Roman" w:cs="Arial"/>
          <w:lang w:eastAsia="pl-PL"/>
        </w:rPr>
        <w:t>Wszystkie tereny chronione są z pewnością wartościowe, natomiast nie wszystkie tereny cenne przyrodniczo są objęte różnymi formami ochrony.</w:t>
      </w:r>
    </w:p>
    <w:p w:rsidR="00811864" w:rsidRDefault="00811864" w:rsidP="00A43DC8">
      <w:pPr>
        <w:tabs>
          <w:tab w:val="left" w:pos="940"/>
        </w:tabs>
      </w:pPr>
    </w:p>
    <w:p w:rsidR="00676EE2" w:rsidRPr="00A43DC8" w:rsidRDefault="00676EE2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u w:val="single"/>
        </w:rPr>
      </w:pPr>
      <w:r w:rsidRPr="00A43DC8">
        <w:rPr>
          <w:rFonts w:ascii="Calibri" w:hAnsi="Calibri"/>
          <w:b/>
          <w:color w:val="000000"/>
          <w:u w:val="single"/>
        </w:rPr>
        <w:t>Czy w ramach naboru możliwe będzie wykonanie parkingu wykorzystywanego na cele turystyczne?</w:t>
      </w:r>
    </w:p>
    <w:p w:rsidR="00676EE2" w:rsidRDefault="00676EE2" w:rsidP="00A43DC8">
      <w:pPr>
        <w:pStyle w:val="Akapitzlist"/>
      </w:pPr>
    </w:p>
    <w:p w:rsidR="00676EE2" w:rsidRPr="00A43DC8" w:rsidRDefault="00676EE2" w:rsidP="00A43DC8">
      <w:pPr>
        <w:jc w:val="both"/>
        <w:rPr>
          <w:rFonts w:ascii="Calibri" w:hAnsi="Calibri"/>
        </w:rPr>
      </w:pPr>
      <w:r w:rsidRPr="00A43DC8">
        <w:rPr>
          <w:rFonts w:ascii="Calibri" w:hAnsi="Calibri"/>
          <w:color w:val="000000"/>
        </w:rPr>
        <w:t xml:space="preserve">W ramach projektów w ramach działania 4.4.E </w:t>
      </w:r>
      <w:r w:rsidRPr="00A43DC8">
        <w:rPr>
          <w:rFonts w:ascii="Calibri" w:hAnsi="Calibri"/>
          <w:bCs/>
          <w:color w:val="000000"/>
        </w:rPr>
        <w:t>możliwa jest budowa parkingu dla turystów</w:t>
      </w:r>
      <w:r w:rsidRPr="00A43DC8">
        <w:rPr>
          <w:rFonts w:ascii="Calibri" w:hAnsi="Calibri"/>
          <w:color w:val="000000"/>
        </w:rPr>
        <w:t xml:space="preserve"> - wydatki na ten cel, nie mogą stanowić większości budżetu projektowego</w:t>
      </w:r>
      <w:r w:rsidR="007B148A" w:rsidRPr="00A43DC8">
        <w:rPr>
          <w:rFonts w:ascii="Calibri" w:hAnsi="Calibri"/>
          <w:color w:val="000000"/>
        </w:rPr>
        <w:t xml:space="preserve"> (i</w:t>
      </w:r>
      <w:r w:rsidRPr="00A43DC8">
        <w:rPr>
          <w:rFonts w:ascii="Calibri" w:hAnsi="Calibri"/>
        </w:rPr>
        <w:t>nterwencja projektu musi być powiązana ze wskaźnikami obowiązującymi w naborze</w:t>
      </w:r>
      <w:r w:rsidR="007B148A" w:rsidRPr="00A43DC8">
        <w:rPr>
          <w:rFonts w:ascii="Calibri" w:hAnsi="Calibri"/>
        </w:rPr>
        <w:t>)</w:t>
      </w:r>
      <w:r w:rsidRPr="00A43DC8">
        <w:rPr>
          <w:rFonts w:ascii="Calibri" w:hAnsi="Calibri"/>
        </w:rPr>
        <w:t>.</w:t>
      </w:r>
    </w:p>
    <w:p w:rsidR="00676EE2" w:rsidRDefault="00676EE2" w:rsidP="00A43DC8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Należy pamiętać, iż działanie 4.4.E dotyczy </w:t>
      </w:r>
      <w:r>
        <w:rPr>
          <w:rFonts w:ascii="Calibri" w:hAnsi="Calibri"/>
        </w:rPr>
        <w:t xml:space="preserve">przedsięwzięć z zakresu wykorzystania i udostępnienia lokalnych zasobów przyrodniczych m.in. na cele turystyczne (np. tereny wypoczynkowe, ścieżki rowerowe, ścieżki konne) </w:t>
      </w:r>
      <w:r>
        <w:rPr>
          <w:rFonts w:ascii="Calibri" w:hAnsi="Calibri"/>
          <w:b/>
          <w:bCs/>
        </w:rPr>
        <w:t>służące zmniejszaniu presji na obszary cenne przyrodniczo</w:t>
      </w:r>
      <w:r>
        <w:rPr>
          <w:rFonts w:ascii="Calibri" w:hAnsi="Calibri"/>
        </w:rPr>
        <w:t>.</w:t>
      </w:r>
    </w:p>
    <w:p w:rsidR="007B148A" w:rsidRDefault="007B148A" w:rsidP="00A43DC8">
      <w:pPr>
        <w:jc w:val="both"/>
        <w:rPr>
          <w:rFonts w:ascii="Calibri" w:hAnsi="Calibri"/>
        </w:rPr>
      </w:pPr>
    </w:p>
    <w:p w:rsidR="007B148A" w:rsidRPr="00A43DC8" w:rsidRDefault="007B148A" w:rsidP="00A43DC8">
      <w:pPr>
        <w:pStyle w:val="Akapitzlist"/>
        <w:numPr>
          <w:ilvl w:val="0"/>
          <w:numId w:val="1"/>
        </w:numPr>
        <w:ind w:left="0" w:firstLine="0"/>
        <w:jc w:val="both"/>
        <w:rPr>
          <w:rFonts w:cs="ArialNarrow"/>
          <w:b/>
          <w:u w:val="single"/>
        </w:rPr>
      </w:pPr>
      <w:r w:rsidRPr="00A43DC8">
        <w:rPr>
          <w:rFonts w:cs="ArialNarrow"/>
          <w:b/>
          <w:u w:val="single"/>
        </w:rPr>
        <w:t>Czy do wskaźnika „Długość utworzonych szlaków turystycznych</w:t>
      </w:r>
      <w:r w:rsidR="00C13F63" w:rsidRPr="00A43DC8">
        <w:rPr>
          <w:rFonts w:cs="ArialNarrow"/>
          <w:b/>
          <w:u w:val="single"/>
        </w:rPr>
        <w:t>”</w:t>
      </w:r>
      <w:r w:rsidRPr="00A43DC8">
        <w:rPr>
          <w:rFonts w:cs="ArialNarrow"/>
          <w:b/>
          <w:u w:val="single"/>
        </w:rPr>
        <w:t xml:space="preserve"> można </w:t>
      </w:r>
      <w:r w:rsidR="00C13F63" w:rsidRPr="00A43DC8">
        <w:rPr>
          <w:rFonts w:cs="ArialNarrow"/>
          <w:b/>
          <w:u w:val="single"/>
        </w:rPr>
        <w:t xml:space="preserve">zaliczyć </w:t>
      </w:r>
      <w:r w:rsidRPr="00A43DC8">
        <w:rPr>
          <w:rFonts w:cs="ArialNarrow"/>
          <w:b/>
          <w:u w:val="single"/>
        </w:rPr>
        <w:t>szlaki</w:t>
      </w:r>
      <w:r w:rsidR="00C13F63" w:rsidRPr="00A43DC8">
        <w:rPr>
          <w:rFonts w:cs="ArialNarrow"/>
          <w:b/>
          <w:u w:val="single"/>
        </w:rPr>
        <w:t xml:space="preserve"> rowerowe o różnym poziomie trudności (np. single </w:t>
      </w:r>
      <w:proofErr w:type="spellStart"/>
      <w:r w:rsidR="00C13F63" w:rsidRPr="00A43DC8">
        <w:rPr>
          <w:rFonts w:cs="ArialNarrow"/>
          <w:b/>
          <w:u w:val="single"/>
        </w:rPr>
        <w:t>track’i</w:t>
      </w:r>
      <w:proofErr w:type="spellEnd"/>
      <w:r w:rsidR="00C13F63" w:rsidRPr="00A43DC8">
        <w:rPr>
          <w:rFonts w:cs="ArialNarrow"/>
          <w:b/>
          <w:u w:val="single"/>
        </w:rPr>
        <w:t>)?</w:t>
      </w:r>
    </w:p>
    <w:p w:rsidR="00C13F63" w:rsidRDefault="00C13F63" w:rsidP="00A43DC8">
      <w:pPr>
        <w:jc w:val="both"/>
      </w:pPr>
      <w:r>
        <w:t xml:space="preserve">Tak, jeśli spełniają one definicję wskaźnika i dotyczą przedsięwzięcia zgodnego z typem projektu </w:t>
      </w:r>
      <w:r>
        <w:br/>
        <w:t>w naborze.</w:t>
      </w:r>
    </w:p>
    <w:p w:rsidR="007B148A" w:rsidRPr="00604576" w:rsidRDefault="00C13F63" w:rsidP="00A43DC8">
      <w:pPr>
        <w:jc w:val="both"/>
      </w:pPr>
      <w:r>
        <w:t xml:space="preserve">Definicja wskaźnika: </w:t>
      </w:r>
      <w:r w:rsidR="007B148A" w:rsidRPr="00604576">
        <w:t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o każdej porze roku i w każdych warunkach pogodowych, o ile szczegółowe wymagania nie stanowią inaczej (okresowe zamykanie w przypadku niekorzystnych warunków pogodowych lub ze względów przyrodniczych na terenach chronionych).</w:t>
      </w:r>
    </w:p>
    <w:p w:rsidR="007B148A" w:rsidRPr="00604576" w:rsidRDefault="007B148A" w:rsidP="00A43DC8">
      <w:r w:rsidRPr="00604576">
        <w:t>Rozróżnia się następujące rodzaje szlaków turystycznych: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piesze górskie i nizinne oraz ścieżki spacerowe, przyrodnicze i dydaktyczne,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narciarskie,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rowerowe,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kajakowe,</w:t>
      </w:r>
    </w:p>
    <w:p w:rsidR="007B148A" w:rsidRPr="00604576" w:rsidRDefault="007B148A" w:rsidP="00A43DC8">
      <w:pPr>
        <w:numPr>
          <w:ilvl w:val="0"/>
          <w:numId w:val="7"/>
        </w:numPr>
        <w:spacing w:after="0"/>
        <w:contextualSpacing/>
      </w:pPr>
      <w:r w:rsidRPr="00604576">
        <w:t>jeździeckie.</w:t>
      </w:r>
    </w:p>
    <w:p w:rsidR="00C13F63" w:rsidRDefault="00C13F63" w:rsidP="00A43DC8">
      <w:pPr>
        <w:pStyle w:val="Akapitzlist"/>
        <w:ind w:left="0"/>
        <w:jc w:val="both"/>
      </w:pPr>
    </w:p>
    <w:p w:rsidR="00DB0ECA" w:rsidRDefault="00C13F63" w:rsidP="00A43DC8">
      <w:pPr>
        <w:pStyle w:val="Akapitzlist"/>
        <w:ind w:left="0"/>
        <w:jc w:val="both"/>
      </w:pPr>
      <w:r>
        <w:t>Definicja nie określa stopnia trudności szlaku – wskazuje jedynie, że każdy ze szlaków powinien posiadać odpowiednie (</w:t>
      </w:r>
      <w:r w:rsidRPr="00604576">
        <w:t>jednolit</w:t>
      </w:r>
      <w:r>
        <w:t>e znak</w:t>
      </w:r>
      <w:r w:rsidRPr="00604576">
        <w:t>i (symbol</w:t>
      </w:r>
      <w:r>
        <w:t>e</w:t>
      </w:r>
      <w:r w:rsidRPr="00604576">
        <w:t>) i urządzenia informacyjne, które zapewniają bezpieczne i spokojne przebycie</w:t>
      </w:r>
      <w:r>
        <w:t xml:space="preserve"> trasy</w:t>
      </w:r>
      <w:r w:rsidRPr="00604576">
        <w:t xml:space="preserve"> turyście o dowolnym poziomie umiejętności i doświadczenia, </w:t>
      </w:r>
      <w:r>
        <w:br/>
      </w:r>
      <w:r w:rsidRPr="00604576">
        <w:t>o każdej porze roku i w każdych warunkach pogodowych</w:t>
      </w:r>
      <w:r>
        <w:t>).</w:t>
      </w:r>
    </w:p>
    <w:p w:rsidR="00DB0ECA" w:rsidRDefault="00DB0ECA" w:rsidP="00A43DC8">
      <w:pPr>
        <w:pStyle w:val="Akapitzlist"/>
        <w:ind w:left="0"/>
        <w:jc w:val="both"/>
      </w:pPr>
    </w:p>
    <w:p w:rsidR="005C2B6C" w:rsidRPr="00A43DC8" w:rsidRDefault="005C2B6C" w:rsidP="00A43DC8">
      <w:pPr>
        <w:pStyle w:val="Standard"/>
        <w:numPr>
          <w:ilvl w:val="0"/>
          <w:numId w:val="1"/>
        </w:numPr>
        <w:spacing w:after="0"/>
        <w:ind w:left="0" w:firstLine="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A43DC8">
        <w:rPr>
          <w:rFonts w:asciiTheme="minorHAnsi" w:hAnsiTheme="minorHAnsi" w:cs="Arial"/>
          <w:b/>
          <w:u w:val="single"/>
        </w:rPr>
        <w:t xml:space="preserve">Czy obiekty takie jak „tereny wypoczynkowe, ścieżki rowerowe, ścieżki konne” można uznać za infrastrukturę objętą </w:t>
      </w:r>
      <w:r w:rsidRPr="00A43DC8">
        <w:rPr>
          <w:rFonts w:asciiTheme="minorHAnsi" w:eastAsia="Times New Roman" w:hAnsiTheme="minorHAnsi" w:cs="Arial"/>
          <w:b/>
          <w:u w:val="single"/>
        </w:rPr>
        <w:t xml:space="preserve">Rozporządzeniem Ministra Infrastruktury i Rozwoju z dnia 20 października 2015 r. w sprawie udzielania pomocy inwestycyjnej na infrastrukturę sportową </w:t>
      </w:r>
      <w:r w:rsidRPr="00A43DC8">
        <w:rPr>
          <w:rFonts w:asciiTheme="minorHAnsi" w:eastAsia="Times New Roman" w:hAnsiTheme="minorHAnsi" w:cs="Arial"/>
          <w:b/>
          <w:u w:val="single"/>
        </w:rPr>
        <w:br/>
        <w:t xml:space="preserve">i wielofunkcyjną infrastrukturę rekreacyjną w ramach regionalnych programów operacyjnych na lata 2014–2020 </w:t>
      </w:r>
      <w:r w:rsidRPr="00A43DC8">
        <w:rPr>
          <w:rFonts w:asciiTheme="minorHAnsi" w:hAnsiTheme="minorHAnsi" w:cs="Arial"/>
          <w:b/>
          <w:u w:val="single"/>
        </w:rPr>
        <w:t>, skoro wskazuje się ich cel turystyczny?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Jeżeli tego rodzaju infrastruktura będzie spełniać warunki wielofunkcyjnej infrastruktury rekreacyjnej (będzie służyć więcej niż 1 celowi rekreacji) to finansowanie jej na podstawie art. 55 GBER będzie dopuszczalne. Sam cel turystyczny nie musi wykluczać danej infrastruktury z możliwości jej sfinansowania na podstawie art. 55 GBER. </w:t>
      </w:r>
    </w:p>
    <w:p w:rsidR="005C2B6C" w:rsidRPr="005C2B6C" w:rsidRDefault="005C2B6C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A43DC8" w:rsidRDefault="00DB0ECA" w:rsidP="00A43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cs="Arial"/>
          <w:b/>
          <w:color w:val="000000"/>
          <w:u w:val="single"/>
        </w:rPr>
      </w:pPr>
      <w:r w:rsidRPr="00A43DC8">
        <w:rPr>
          <w:rFonts w:cs="Arial"/>
          <w:b/>
          <w:color w:val="000000"/>
          <w:u w:val="single"/>
        </w:rPr>
        <w:t>Czy w przypadku finansowania ośrodków edukacji ekologicznej, z uwagi na ich wiodącą funkcję edukacyjną, możemy mówić o wielofunkcyjnej infrastrukturze rekreacyjnej?</w:t>
      </w:r>
    </w:p>
    <w:p w:rsidR="00DB0ECA" w:rsidRPr="005C2B6C" w:rsidRDefault="00DB0ECA" w:rsidP="00A43DC8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B0ECA" w:rsidRPr="005C2B6C" w:rsidRDefault="00DB0ECA" w:rsidP="00A43DC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C2B6C">
        <w:rPr>
          <w:rFonts w:cs="Arial"/>
          <w:color w:val="000000"/>
        </w:rPr>
        <w:t xml:space="preserve">W interpretacjach KE nie mówi się o tym, że funkcja edukacyjna wyklucza spełnienie warunków dla wielofunkcyjnej infrastruktury rekreacyjnej. Wręcz przeciwnie, KE uznaje funkcję edukacyjną za jeden z celów rekreacji, stąd o ile warunki dla </w:t>
      </w:r>
      <w:r w:rsidRPr="005C2B6C">
        <w:rPr>
          <w:rStyle w:val="hps"/>
          <w:rFonts w:cs="Arial"/>
          <w:color w:val="222222"/>
        </w:rPr>
        <w:t>wielofunkcyjnej</w:t>
      </w:r>
      <w:r w:rsidRPr="005C2B6C">
        <w:rPr>
          <w:rFonts w:cs="Arial"/>
          <w:color w:val="222222"/>
        </w:rPr>
        <w:t xml:space="preserve"> </w:t>
      </w:r>
      <w:r w:rsidRPr="005C2B6C">
        <w:rPr>
          <w:rStyle w:val="hps"/>
          <w:rFonts w:cs="Arial"/>
          <w:color w:val="222222"/>
        </w:rPr>
        <w:t xml:space="preserve">infrastruktury rekreacyjnej </w:t>
      </w:r>
      <w:r w:rsidRPr="005C2B6C">
        <w:rPr>
          <w:rFonts w:cs="Arial"/>
          <w:color w:val="000000"/>
        </w:rPr>
        <w:t>są spełnione (infrastruktura służy więcej niż 1 celowi rekreacji</w:t>
      </w:r>
      <w:r w:rsidRPr="005C2B6C">
        <w:rPr>
          <w:rStyle w:val="Odwoanieprzypisudolnego"/>
          <w:rFonts w:cs="Arial"/>
          <w:color w:val="000000"/>
        </w:rPr>
        <w:footnoteReference w:id="1"/>
      </w:r>
      <w:r w:rsidRPr="005C2B6C">
        <w:rPr>
          <w:rFonts w:cs="Arial"/>
          <w:color w:val="000000"/>
        </w:rPr>
        <w:t xml:space="preserve">) podstawą dofinansowania może być art. 55 GBER. </w:t>
      </w:r>
    </w:p>
    <w:p w:rsidR="00A43DC8" w:rsidRDefault="00A43DC8" w:rsidP="00A43DC8">
      <w:pPr>
        <w:pStyle w:val="Akapitzlist"/>
        <w:ind w:left="0"/>
      </w:pP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 xml:space="preserve">Czy ścieżki rowerowe muszą być budowane zgodnie z </w:t>
      </w:r>
      <w:r w:rsidRPr="00A43DC8">
        <w:rPr>
          <w:b/>
          <w:u w:val="single"/>
          <w:lang w:eastAsia="pl-PL"/>
        </w:rPr>
        <w:t>kryteriami Dolnośląskiej Polityki Rowerowej 2014-2020?</w:t>
      </w:r>
    </w:p>
    <w:p w:rsidR="00A43DC8" w:rsidRDefault="00A43DC8" w:rsidP="00A43DC8">
      <w:pPr>
        <w:jc w:val="both"/>
      </w:pPr>
      <w:r>
        <w:t xml:space="preserve">Zatwierdzone Kryteria wyboru projektów w ramach naborów  nie uwzględniają konieczności odniesienia się  w projekcie do  zapisów wytycznych  Dolnośląskiej Polityki Rowerowej 2014-2020, w tym w szczególności do  dokumentu „STANDARDY  PROJEKTOWE I WYKONAWCZE DLA INFRASTRUKTURY ROWEROWEJ WOJEWÓDZTWA DOLNOŚLĄSKIEGO”. </w:t>
      </w:r>
    </w:p>
    <w:p w:rsidR="00A43DC8" w:rsidRPr="00A43DC8" w:rsidRDefault="00A43DC8" w:rsidP="00A43DC8">
      <w:pPr>
        <w:jc w:val="both"/>
      </w:pPr>
      <w:r w:rsidRPr="00A43DC8">
        <w:t>Dokument ten może być stosowany jako podręcznik dobrych praktyk</w:t>
      </w:r>
      <w:r w:rsidRPr="00A43DC8">
        <w:rPr>
          <w:bCs/>
        </w:rPr>
        <w:t>, którego zapisy zaleca się stosować</w:t>
      </w:r>
      <w:r w:rsidRPr="00A43DC8">
        <w:t>.</w:t>
      </w:r>
    </w:p>
    <w:p w:rsidR="00A43DC8" w:rsidRPr="00A43DC8" w:rsidRDefault="00A43DC8" w:rsidP="00A43DC8">
      <w:pPr>
        <w:pStyle w:val="Akapitzlist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A43DC8">
        <w:rPr>
          <w:b/>
          <w:u w:val="single"/>
        </w:rPr>
        <w:t xml:space="preserve">W jakim przypadku należy w projekcie zastosować wskaźnik dotyczący dróg dla rowerów, </w:t>
      </w:r>
      <w:r>
        <w:rPr>
          <w:b/>
          <w:u w:val="single"/>
        </w:rPr>
        <w:br/>
      </w:r>
      <w:r w:rsidRPr="00A43DC8">
        <w:rPr>
          <w:b/>
          <w:u w:val="single"/>
        </w:rPr>
        <w:t>a w jakim dla szlaków turystycznych?</w:t>
      </w:r>
    </w:p>
    <w:p w:rsidR="00A43DC8" w:rsidRDefault="00A43DC8" w:rsidP="001C7B91">
      <w:pPr>
        <w:jc w:val="both"/>
      </w:pPr>
      <w:r>
        <w:t>Przede wszystkim należy zwrócić szczególną uwagę na definicje poszczególnych wskaźników</w:t>
      </w:r>
      <w:r w:rsidR="001C7B91">
        <w:t xml:space="preserve"> umieszczone w dokumentacji konkursowej</w:t>
      </w:r>
      <w:r>
        <w:t xml:space="preserve"> (</w:t>
      </w:r>
      <w:r w:rsidRPr="001C7B91">
        <w:rPr>
          <w:u w:val="single"/>
        </w:rPr>
        <w:t>łącznie z metodą ich pomiaru</w:t>
      </w:r>
      <w:r>
        <w:t>).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1C7B91">
        <w:rPr>
          <w:rFonts w:cs="ArialNarrow"/>
          <w:b/>
        </w:rPr>
        <w:t>Długość wybudowanych/przebudowanych dróg dla rowerów/Długość wyznaczonych ścieżek rowerowych</w:t>
      </w:r>
      <w:r>
        <w:rPr>
          <w:rFonts w:cs="ArialNarrow"/>
        </w:rPr>
        <w:t xml:space="preserve"> – wszystkie te wskaźniki odnoszą się do </w:t>
      </w:r>
      <w:r w:rsidRPr="00604576">
        <w:rPr>
          <w:rFonts w:cs="Arial Narrow"/>
        </w:rPr>
        <w:t>odcinka drogi przeznaczonej do ruchu rowerów, tj. oddzielonej od innych dróg lub jezdni tej samej drogi konstrukcyjnie lub za pomocą urządzeń bezpieczeństwa ruchu drogowego oraz oznaczonej odpowiednimi znakami drogowymi.</w:t>
      </w:r>
    </w:p>
    <w:p w:rsidR="001C7B91" w:rsidRPr="00604576" w:rsidRDefault="001C7B91" w:rsidP="001C7B91">
      <w:pPr>
        <w:spacing w:line="240" w:lineRule="auto"/>
        <w:jc w:val="both"/>
        <w:rPr>
          <w:rFonts w:cs="Arial Narrow"/>
        </w:rPr>
      </w:pPr>
      <w:r w:rsidRPr="00604576">
        <w:rPr>
          <w:rFonts w:cs="Arial Narrow"/>
        </w:rPr>
        <w:t xml:space="preserve">Należy brać pod uwagę tylko odcinki spełniające wymogi Rozporządzenia Ministra Transportu </w:t>
      </w:r>
      <w:r>
        <w:rPr>
          <w:rFonts w:cs="Arial Narrow"/>
        </w:rPr>
        <w:br/>
      </w:r>
      <w:r w:rsidRPr="00604576">
        <w:rPr>
          <w:rFonts w:cs="Arial Narrow"/>
        </w:rPr>
        <w:t>i Gospodarki Morskiej z dnia 2 marca 1999 r. w sprawie warunków technicznych, jakim powinny odpowiadać drogi publiczne i ich usytuowanie i jednocześnie oznakowane zgodnie z przepisami ustawy Prawo o ruchu drogowym.</w:t>
      </w:r>
    </w:p>
    <w:p w:rsidR="001C7B91" w:rsidRPr="00604576" w:rsidRDefault="001C7B91" w:rsidP="001C7B91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Narrow"/>
        </w:rPr>
      </w:pPr>
      <w:r>
        <w:rPr>
          <w:rFonts w:cs="ArialNarrow"/>
        </w:rPr>
        <w:t xml:space="preserve"> </w:t>
      </w:r>
      <w:r w:rsidRPr="00604576">
        <w:rPr>
          <w:rFonts w:cs="ArialNarrow"/>
        </w:rPr>
        <w:t xml:space="preserve"> </w:t>
      </w:r>
    </w:p>
    <w:p w:rsidR="001C7B91" w:rsidRDefault="001C7B91" w:rsidP="001C7B91">
      <w:pPr>
        <w:spacing w:line="240" w:lineRule="auto"/>
        <w:jc w:val="both"/>
        <w:rPr>
          <w:rFonts w:cs="ArialNarrow"/>
        </w:rPr>
      </w:pPr>
      <w:r w:rsidRPr="001C7B91">
        <w:rPr>
          <w:rFonts w:cs="ArialNarrow"/>
          <w:b/>
        </w:rPr>
        <w:t xml:space="preserve">Długość utworzonych/ odnowionych szlaków turystycznych </w:t>
      </w:r>
      <w:r>
        <w:rPr>
          <w:rFonts w:cs="ArialNarrow"/>
        </w:rPr>
        <w:t>– te wskaźniki natomiast odnoszą się do ścieżek nie spełniających wymogów ww. Rozporządzenia.</w:t>
      </w:r>
    </w:p>
    <w:p w:rsidR="001C7B91" w:rsidRPr="00604576" w:rsidRDefault="001C7B91" w:rsidP="001C7B91">
      <w:pPr>
        <w:spacing w:line="240" w:lineRule="auto"/>
        <w:jc w:val="both"/>
      </w:pPr>
      <w:r w:rsidRPr="00604576">
        <w:t xml:space="preserve">Szlakiem turystycznym jest wytyczona w terenie trasa służąca do odbywania wycieczek, oznakowana jednolitymi znakami (symbolami) i wyposażona w urządzenia informacyjne, które zapewniają bezpieczne i spokojne jej przebycie turyście o dowolnym poziomie umiejętności i doświadczenia, </w:t>
      </w:r>
      <w:r>
        <w:br/>
      </w:r>
      <w:r w:rsidRPr="00604576">
        <w:t>o każdej porze roku i w każdych warunkach pogodowych, o ile szczegółowe wymagania nie stanowią inaczej (okresowe zamykanie w przypadku niekorzystnych warunków pogodowych lub ze względów przyrodniczych na terenach chronionych).</w:t>
      </w:r>
    </w:p>
    <w:p w:rsidR="001C7B91" w:rsidRPr="00604576" w:rsidRDefault="001C7B91" w:rsidP="001C7B91">
      <w:pPr>
        <w:spacing w:line="240" w:lineRule="auto"/>
      </w:pPr>
      <w:r w:rsidRPr="00604576">
        <w:t>Rozróżnia się następujące rodzaje szlaków turystycznych: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piesze górskie i nizinne oraz ścieżki spacerowe, przyrodnicze i dydaktyczne,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narciarskie,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rowerowe,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kajakowe,</w:t>
      </w:r>
    </w:p>
    <w:p w:rsidR="001C7B91" w:rsidRPr="00604576" w:rsidRDefault="001C7B91" w:rsidP="001C7B91">
      <w:pPr>
        <w:numPr>
          <w:ilvl w:val="0"/>
          <w:numId w:val="7"/>
        </w:numPr>
        <w:spacing w:after="0" w:line="240" w:lineRule="auto"/>
        <w:contextualSpacing/>
      </w:pPr>
      <w:r w:rsidRPr="00604576">
        <w:t>jeździeckie.</w:t>
      </w:r>
    </w:p>
    <w:p w:rsidR="001C7B91" w:rsidRPr="00604576" w:rsidRDefault="001C7B91" w:rsidP="001C7B91">
      <w:pPr>
        <w:spacing w:line="240" w:lineRule="auto"/>
        <w:rPr>
          <w:rFonts w:cs="Helv"/>
        </w:rPr>
      </w:pPr>
      <w:r w:rsidRPr="00604576">
        <w:t xml:space="preserve">Definicja na podstawie: „Instrukcja znakowania szlaków turystycznych PTTK. </w:t>
      </w:r>
      <w:r w:rsidRPr="00604576">
        <w:rPr>
          <w:rFonts w:cs="Helv"/>
        </w:rPr>
        <w:t xml:space="preserve"> </w:t>
      </w:r>
    </w:p>
    <w:p w:rsidR="001C7B91" w:rsidRPr="00604576" w:rsidRDefault="001C7B91" w:rsidP="001C7B91">
      <w:pPr>
        <w:spacing w:line="240" w:lineRule="auto"/>
        <w:contextualSpacing/>
        <w:jc w:val="both"/>
        <w:rPr>
          <w:rFonts w:cs="ArialNarrow"/>
        </w:rPr>
      </w:pPr>
    </w:p>
    <w:p w:rsidR="00A43DC8" w:rsidRPr="00A43DC8" w:rsidRDefault="00A43DC8" w:rsidP="00A43DC8"/>
    <w:p w:rsidR="00A43DC8" w:rsidRPr="00A43DC8" w:rsidRDefault="00A43DC8" w:rsidP="00A43DC8"/>
    <w:p w:rsidR="00A43DC8" w:rsidRDefault="00A43DC8" w:rsidP="00A43DC8"/>
    <w:p w:rsidR="00A43DC8" w:rsidRPr="00A43DC8" w:rsidRDefault="00A43DC8" w:rsidP="00A43DC8">
      <w:pPr>
        <w:ind w:firstLine="709"/>
      </w:pPr>
    </w:p>
    <w:sectPr w:rsidR="00A43DC8" w:rsidRPr="00A43DC8" w:rsidSect="00A43D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76" w:rsidRDefault="00F92576" w:rsidP="00DB0ECA">
      <w:pPr>
        <w:spacing w:after="0" w:line="240" w:lineRule="auto"/>
      </w:pPr>
      <w:r>
        <w:separator/>
      </w:r>
    </w:p>
  </w:endnote>
  <w:endnote w:type="continuationSeparator" w:id="0">
    <w:p w:rsidR="00F92576" w:rsidRDefault="00F92576" w:rsidP="00DB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76" w:rsidRDefault="00F92576" w:rsidP="00DB0ECA">
      <w:pPr>
        <w:spacing w:after="0" w:line="240" w:lineRule="auto"/>
      </w:pPr>
      <w:r>
        <w:separator/>
      </w:r>
    </w:p>
  </w:footnote>
  <w:footnote w:type="continuationSeparator" w:id="0">
    <w:p w:rsidR="00F92576" w:rsidRDefault="00F92576" w:rsidP="00DB0ECA">
      <w:pPr>
        <w:spacing w:after="0" w:line="240" w:lineRule="auto"/>
      </w:pPr>
      <w:r>
        <w:continuationSeparator/>
      </w:r>
    </w:p>
  </w:footnote>
  <w:footnote w:id="1">
    <w:p w:rsidR="00DB0ECA" w:rsidRPr="00EC3886" w:rsidRDefault="00DB0ECA" w:rsidP="00DB0ECA">
      <w:pPr>
        <w:pStyle w:val="Tekstprzypisudolnego"/>
        <w:jc w:val="both"/>
        <w:rPr>
          <w:rFonts w:cs="Arial"/>
          <w:sz w:val="16"/>
          <w:szCs w:val="16"/>
        </w:rPr>
      </w:pPr>
      <w:r w:rsidRPr="00EC3886">
        <w:rPr>
          <w:rStyle w:val="Odwoanieprzypisudolnego"/>
          <w:rFonts w:cs="Arial"/>
          <w:sz w:val="16"/>
          <w:szCs w:val="16"/>
        </w:rPr>
        <w:footnoteRef/>
      </w:r>
      <w:r w:rsidRPr="00EC3886">
        <w:rPr>
          <w:rFonts w:cs="Arial"/>
          <w:sz w:val="16"/>
          <w:szCs w:val="16"/>
        </w:rPr>
        <w:t xml:space="preserve"> Rekreacja - forma aktywności umysłowej lub fizycznej podejmowana poza obowiązkami </w:t>
      </w:r>
      <w:hyperlink r:id="rId1" w:tooltip="Praca (działalność człowieka)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zawodowymi</w:t>
        </w:r>
      </w:hyperlink>
      <w:r w:rsidRPr="00EC3886">
        <w:rPr>
          <w:rFonts w:cs="Arial"/>
          <w:sz w:val="16"/>
          <w:szCs w:val="16"/>
        </w:rPr>
        <w:t xml:space="preserve">, społecznymi, domowymi i </w:t>
      </w:r>
      <w:hyperlink r:id="rId2" w:tooltip="Nau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nauką</w:t>
        </w:r>
      </w:hyperlink>
      <w:r w:rsidRPr="00EC3886">
        <w:rPr>
          <w:rFonts w:cs="Arial"/>
          <w:sz w:val="16"/>
          <w:szCs w:val="16"/>
        </w:rPr>
        <w:t xml:space="preserve">, stosowana w celu odpoczynku i </w:t>
      </w:r>
      <w:hyperlink r:id="rId3" w:tooltip="Rozrywka" w:history="1">
        <w:r w:rsidRPr="00EC3886">
          <w:rPr>
            <w:rStyle w:val="Hipercze"/>
            <w:rFonts w:cs="Arial"/>
            <w:color w:val="auto"/>
            <w:sz w:val="16"/>
            <w:szCs w:val="16"/>
            <w:u w:val="none"/>
          </w:rPr>
          <w:t>rozrywki</w:t>
        </w:r>
      </w:hyperlink>
      <w:r w:rsidRPr="00EC3886">
        <w:rPr>
          <w:rFonts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EC5"/>
    <w:multiLevelType w:val="hybridMultilevel"/>
    <w:tmpl w:val="0FE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9E9"/>
    <w:multiLevelType w:val="hybridMultilevel"/>
    <w:tmpl w:val="719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735"/>
    <w:multiLevelType w:val="hybridMultilevel"/>
    <w:tmpl w:val="8E70FA2A"/>
    <w:lvl w:ilvl="0" w:tplc="E04EA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EAA"/>
    <w:multiLevelType w:val="hybridMultilevel"/>
    <w:tmpl w:val="42D2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6EF"/>
    <w:multiLevelType w:val="hybridMultilevel"/>
    <w:tmpl w:val="163A172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F9352FB"/>
    <w:multiLevelType w:val="hybridMultilevel"/>
    <w:tmpl w:val="4F2CE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5341"/>
    <w:multiLevelType w:val="hybridMultilevel"/>
    <w:tmpl w:val="9ED8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3D4"/>
    <w:multiLevelType w:val="hybridMultilevel"/>
    <w:tmpl w:val="1D7682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D877F2"/>
    <w:multiLevelType w:val="hybridMultilevel"/>
    <w:tmpl w:val="B80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F1444"/>
    <w:multiLevelType w:val="hybridMultilevel"/>
    <w:tmpl w:val="5F66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C7959"/>
    <w:multiLevelType w:val="hybridMultilevel"/>
    <w:tmpl w:val="1DDC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5"/>
    <w:rsid w:val="001C7B91"/>
    <w:rsid w:val="001F1B10"/>
    <w:rsid w:val="002B30EC"/>
    <w:rsid w:val="002D6397"/>
    <w:rsid w:val="004B1D22"/>
    <w:rsid w:val="005C2B6C"/>
    <w:rsid w:val="005E2526"/>
    <w:rsid w:val="00634527"/>
    <w:rsid w:val="00636BA5"/>
    <w:rsid w:val="00676EE2"/>
    <w:rsid w:val="00772166"/>
    <w:rsid w:val="007B148A"/>
    <w:rsid w:val="00811864"/>
    <w:rsid w:val="008A60B1"/>
    <w:rsid w:val="008D2620"/>
    <w:rsid w:val="00940496"/>
    <w:rsid w:val="00983E85"/>
    <w:rsid w:val="00A06BE1"/>
    <w:rsid w:val="00A26B01"/>
    <w:rsid w:val="00A43357"/>
    <w:rsid w:val="00A43DC8"/>
    <w:rsid w:val="00C13F63"/>
    <w:rsid w:val="00C35EA3"/>
    <w:rsid w:val="00CF04BA"/>
    <w:rsid w:val="00CF65C3"/>
    <w:rsid w:val="00D313FA"/>
    <w:rsid w:val="00DB0ECA"/>
    <w:rsid w:val="00EB35A6"/>
    <w:rsid w:val="00EC3886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6B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6B01"/>
    <w:pPr>
      <w:ind w:left="720"/>
      <w:contextualSpacing/>
    </w:pPr>
  </w:style>
  <w:style w:type="character" w:customStyle="1" w:styleId="hps">
    <w:name w:val="hps"/>
    <w:basedOn w:val="Domylnaczcionkaakapitu"/>
    <w:rsid w:val="00DB0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0ECA"/>
    <w:rPr>
      <w:color w:val="0000FF"/>
      <w:u w:val="single"/>
    </w:rPr>
  </w:style>
  <w:style w:type="paragraph" w:customStyle="1" w:styleId="Standard">
    <w:name w:val="Standard"/>
    <w:rsid w:val="005C2B6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6B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26B01"/>
    <w:pPr>
      <w:ind w:left="720"/>
      <w:contextualSpacing/>
    </w:pPr>
  </w:style>
  <w:style w:type="character" w:customStyle="1" w:styleId="hps">
    <w:name w:val="hps"/>
    <w:basedOn w:val="Domylnaczcionkaakapitu"/>
    <w:rsid w:val="00DB0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0ECA"/>
    <w:rPr>
      <w:color w:val="0000FF"/>
      <w:u w:val="single"/>
    </w:rPr>
  </w:style>
  <w:style w:type="paragraph" w:customStyle="1" w:styleId="Standard">
    <w:name w:val="Standard"/>
    <w:rsid w:val="005C2B6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Rozrywka" TargetMode="External"/><Relationship Id="rId2" Type="http://schemas.openxmlformats.org/officeDocument/2006/relationships/hyperlink" Target="https://pl.wikipedia.org/wiki/Nauka" TargetMode="External"/><Relationship Id="rId1" Type="http://schemas.openxmlformats.org/officeDocument/2006/relationships/hyperlink" Target="https://pl.wikipedia.org/wiki/Praca_(dzia%C5%82alno%C5%9B%C4%87_cz%C5%82owiek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dcterms:created xsi:type="dcterms:W3CDTF">2016-12-22T09:35:00Z</dcterms:created>
  <dcterms:modified xsi:type="dcterms:W3CDTF">2016-12-22T09:35:00Z</dcterms:modified>
</cp:coreProperties>
</file>