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3841CA" w:rsidRDefault="00BB7F60" w:rsidP="0072798D">
      <w:pPr>
        <w:autoSpaceDE w:val="0"/>
        <w:autoSpaceDN w:val="0"/>
        <w:adjustRightInd w:val="0"/>
        <w:spacing w:line="240" w:lineRule="auto"/>
        <w:jc w:val="both"/>
        <w:rPr>
          <w:rFonts w:asciiTheme="minorHAnsi" w:hAnsiTheme="minorHAnsi"/>
          <w:szCs w:val="22"/>
        </w:rPr>
      </w:pPr>
      <w:bookmarkStart w:id="0" w:name="_Toc426632922"/>
      <w:bookmarkStart w:id="1" w:name="_Toc430826826"/>
      <w:bookmarkStart w:id="2" w:name="_Toc432758974"/>
      <w:r w:rsidRPr="003841CA">
        <w:rPr>
          <w:rFonts w:asciiTheme="minorHAnsi" w:hAnsiTheme="minorHAnsi" w:cs="Calibri"/>
          <w:color w:val="000000"/>
          <w:szCs w:val="22"/>
        </w:rPr>
        <w:t xml:space="preserve">Załącznik nr </w:t>
      </w:r>
      <w:r w:rsidR="003841CA" w:rsidRPr="003841CA">
        <w:rPr>
          <w:rFonts w:asciiTheme="minorHAnsi" w:hAnsiTheme="minorHAnsi" w:cs="Calibri"/>
          <w:color w:val="000000"/>
          <w:szCs w:val="22"/>
        </w:rPr>
        <w:t>2</w:t>
      </w:r>
      <w:r w:rsidRPr="003841CA">
        <w:rPr>
          <w:rFonts w:asciiTheme="minorHAnsi" w:hAnsiTheme="minorHAnsi" w:cs="Calibri"/>
          <w:color w:val="000000"/>
          <w:szCs w:val="22"/>
        </w:rPr>
        <w:t xml:space="preserve"> </w:t>
      </w:r>
      <w:r w:rsidR="0075174F" w:rsidRPr="003841CA">
        <w:rPr>
          <w:rFonts w:asciiTheme="minorHAnsi" w:hAnsiTheme="minorHAnsi" w:cs="Calibri"/>
          <w:color w:val="000000"/>
          <w:szCs w:val="22"/>
        </w:rPr>
        <w:t xml:space="preserve">do Regulaminu konkursu nr naboru </w:t>
      </w:r>
      <w:r w:rsidR="005A2061" w:rsidRPr="005A2061">
        <w:rPr>
          <w:rFonts w:asciiTheme="minorHAnsi" w:hAnsiTheme="minorHAnsi" w:cs="Calibri"/>
          <w:color w:val="000000"/>
          <w:szCs w:val="22"/>
        </w:rPr>
        <w:t>RPDS.05.02.02-IZ.00-02-213/16</w:t>
      </w:r>
      <w:r w:rsidR="00E55074" w:rsidRPr="003841CA">
        <w:rPr>
          <w:rFonts w:asciiTheme="minorHAnsi" w:hAnsiTheme="minorHAnsi" w:cs="Calibri"/>
          <w:color w:val="000000"/>
          <w:szCs w:val="22"/>
        </w:rPr>
        <w:t xml:space="preserve">- </w:t>
      </w:r>
      <w:r w:rsidR="0072798D" w:rsidRPr="003841CA">
        <w:rPr>
          <w:rFonts w:asciiTheme="minorHAnsi" w:hAnsiTheme="minorHAnsi" w:cs="Calibri"/>
          <w:color w:val="000000"/>
          <w:szCs w:val="22"/>
        </w:rPr>
        <w:t xml:space="preserve">zestawienie wskaźników na poziomie projektu dla </w:t>
      </w:r>
      <w:r w:rsidR="0049565A">
        <w:rPr>
          <w:rFonts w:asciiTheme="minorHAnsi" w:hAnsiTheme="minorHAnsi" w:cs="Calibri"/>
          <w:color w:val="000000"/>
          <w:szCs w:val="22"/>
        </w:rPr>
        <w:t xml:space="preserve">Działania </w:t>
      </w:r>
      <w:bookmarkStart w:id="3" w:name="_GoBack"/>
      <w:bookmarkEnd w:id="3"/>
      <w:r w:rsidR="005A2061" w:rsidRPr="005A2061">
        <w:rPr>
          <w:rFonts w:asciiTheme="minorHAnsi" w:hAnsiTheme="minorHAnsi" w:cs="Calibri"/>
          <w:color w:val="000000"/>
          <w:szCs w:val="22"/>
        </w:rPr>
        <w:t>5.2. System transportu kolejowego</w:t>
      </w:r>
    </w:p>
    <w:bookmarkEnd w:id="0"/>
    <w:bookmarkEnd w:id="1"/>
    <w:bookmarkEnd w:id="2"/>
    <w:p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497586" w:rsidRPr="00217AF8" w:rsidRDefault="00497586" w:rsidP="00497586">
      <w:pPr>
        <w:spacing w:before="120" w:after="120" w:line="240" w:lineRule="auto"/>
        <w:jc w:val="both"/>
        <w:rPr>
          <w:rFonts w:asciiTheme="minorHAnsi" w:hAnsiTheme="minorHAnsi"/>
          <w:b/>
          <w:szCs w:val="22"/>
        </w:rPr>
      </w:pPr>
    </w:p>
    <w:p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97586" w:rsidRPr="00217AF8" w:rsidRDefault="00497586" w:rsidP="00497586">
      <w:pPr>
        <w:pStyle w:val="Akapitzlist"/>
        <w:spacing w:before="120" w:after="120" w:line="240" w:lineRule="auto"/>
        <w:ind w:left="720"/>
        <w:jc w:val="both"/>
        <w:rPr>
          <w:rFonts w:asciiTheme="minorHAnsi" w:hAnsiTheme="minorHAnsi"/>
          <w:b/>
          <w:szCs w:val="22"/>
        </w:rPr>
      </w:pPr>
    </w:p>
    <w:p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97586" w:rsidRPr="00217AF8" w:rsidRDefault="00497586" w:rsidP="00497586">
      <w:pPr>
        <w:pStyle w:val="Default"/>
        <w:jc w:val="both"/>
        <w:rPr>
          <w:rFonts w:asciiTheme="minorHAnsi" w:eastAsiaTheme="minorHAnsi" w:hAnsiTheme="minorHAnsi" w:cs="Calibri"/>
          <w:sz w:val="22"/>
          <w:szCs w:val="22"/>
          <w:lang w:eastAsia="en-US"/>
        </w:rPr>
      </w:pPr>
    </w:p>
    <w:p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w:t>
      </w:r>
      <w:proofErr w:type="spellStart"/>
      <w:r w:rsidR="00D9587E">
        <w:rPr>
          <w:rFonts w:asciiTheme="minorHAnsi" w:hAnsiTheme="minorHAnsi"/>
          <w:b/>
          <w:sz w:val="22"/>
          <w:szCs w:val="22"/>
        </w:rPr>
        <w:t>SzOOP</w:t>
      </w:r>
      <w:proofErr w:type="spellEnd"/>
      <w:r w:rsidR="00D9587E">
        <w:rPr>
          <w:rFonts w:asciiTheme="minorHAnsi" w:hAnsiTheme="minorHAnsi"/>
          <w:b/>
          <w:sz w:val="22"/>
          <w:szCs w:val="22"/>
        </w:rPr>
        <w:t xml:space="preserve"> RPO WD 2014-2020, </w:t>
      </w:r>
      <w:r w:rsidRPr="00217AF8">
        <w:rPr>
          <w:rFonts w:asciiTheme="minorHAnsi" w:hAnsiTheme="minorHAnsi"/>
          <w:b/>
          <w:sz w:val="22"/>
          <w:szCs w:val="22"/>
        </w:rPr>
        <w:t xml:space="preserve">który odzwierciedla zakres projektu, jego wykazanie dla Wnioskodawcy jest obligatoryjne. </w:t>
      </w:r>
    </w:p>
    <w:p w:rsidR="00497586" w:rsidRPr="00217AF8" w:rsidRDefault="00497586" w:rsidP="0049758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497586" w:rsidRPr="00217AF8" w:rsidRDefault="00497586" w:rsidP="00497586">
      <w:pPr>
        <w:pStyle w:val="Default"/>
        <w:jc w:val="both"/>
        <w:rPr>
          <w:rFonts w:asciiTheme="minorHAnsi" w:hAnsiTheme="minorHAnsi"/>
          <w:sz w:val="22"/>
          <w:szCs w:val="22"/>
          <w:highlight w:val="yellow"/>
        </w:rPr>
      </w:pPr>
    </w:p>
    <w:p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sidR="005A2061">
        <w:rPr>
          <w:rFonts w:asciiTheme="minorHAnsi" w:hAnsiTheme="minorHAnsi"/>
          <w:szCs w:val="22"/>
        </w:rPr>
        <w:t>5.2</w:t>
      </w:r>
      <w:r w:rsidR="00842A28" w:rsidRPr="00911273">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tbl>
      <w:tblPr>
        <w:tblW w:w="524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08"/>
        <w:gridCol w:w="1098"/>
        <w:gridCol w:w="4820"/>
        <w:gridCol w:w="1523"/>
      </w:tblGrid>
      <w:tr w:rsidR="00AA4C46" w:rsidRPr="005A2061" w:rsidTr="00EF0701">
        <w:trPr>
          <w:cantSplit/>
          <w:trHeight w:val="20"/>
          <w:jc w:val="center"/>
        </w:trPr>
        <w:tc>
          <w:tcPr>
            <w:tcW w:w="1184" w:type="pct"/>
            <w:shd w:val="clear" w:color="auto" w:fill="auto"/>
          </w:tcPr>
          <w:p w:rsidR="00065DCD" w:rsidRPr="005A2061" w:rsidRDefault="00065DCD" w:rsidP="0035001C">
            <w:pPr>
              <w:spacing w:before="0" w:line="240" w:lineRule="auto"/>
              <w:jc w:val="center"/>
              <w:rPr>
                <w:rFonts w:asciiTheme="minorHAnsi" w:hAnsiTheme="minorHAnsi"/>
                <w:b/>
                <w:sz w:val="20"/>
              </w:rPr>
            </w:pPr>
            <w:r w:rsidRPr="005A2061">
              <w:rPr>
                <w:rFonts w:asciiTheme="minorHAnsi" w:hAnsiTheme="minorHAnsi"/>
                <w:b/>
                <w:sz w:val="20"/>
              </w:rPr>
              <w:t>Nazwa wskaźnika produktu</w:t>
            </w:r>
          </w:p>
        </w:tc>
        <w:tc>
          <w:tcPr>
            <w:tcW w:w="563" w:type="pct"/>
          </w:tcPr>
          <w:p w:rsidR="00065DCD" w:rsidRPr="005A2061" w:rsidRDefault="00065DCD" w:rsidP="0035001C">
            <w:pPr>
              <w:suppressAutoHyphens/>
              <w:spacing w:before="0" w:line="240" w:lineRule="auto"/>
              <w:jc w:val="center"/>
              <w:rPr>
                <w:rFonts w:asciiTheme="minorHAnsi" w:hAnsiTheme="minorHAnsi"/>
                <w:b/>
                <w:bCs/>
                <w:sz w:val="20"/>
              </w:rPr>
            </w:pPr>
            <w:r w:rsidRPr="005A2061">
              <w:rPr>
                <w:rFonts w:asciiTheme="minorHAnsi" w:hAnsiTheme="minorHAnsi"/>
                <w:b/>
                <w:bCs/>
                <w:sz w:val="20"/>
              </w:rPr>
              <w:t>Jednostka miary</w:t>
            </w:r>
          </w:p>
        </w:tc>
        <w:tc>
          <w:tcPr>
            <w:tcW w:w="2472" w:type="pct"/>
            <w:shd w:val="clear" w:color="auto" w:fill="auto"/>
          </w:tcPr>
          <w:p w:rsidR="00065DCD" w:rsidRPr="005A2061" w:rsidRDefault="00065DCD" w:rsidP="0035001C">
            <w:pPr>
              <w:suppressAutoHyphens/>
              <w:spacing w:before="0" w:line="240" w:lineRule="auto"/>
              <w:jc w:val="center"/>
              <w:rPr>
                <w:rFonts w:asciiTheme="minorHAnsi" w:hAnsiTheme="minorHAnsi"/>
                <w:b/>
                <w:sz w:val="20"/>
              </w:rPr>
            </w:pPr>
            <w:r w:rsidRPr="005A2061">
              <w:rPr>
                <w:rFonts w:asciiTheme="minorHAnsi" w:hAnsiTheme="minorHAnsi"/>
                <w:b/>
                <w:bCs/>
                <w:sz w:val="20"/>
              </w:rPr>
              <w:t>Definicja wskaźnika</w:t>
            </w:r>
          </w:p>
        </w:tc>
        <w:tc>
          <w:tcPr>
            <w:tcW w:w="781" w:type="pct"/>
          </w:tcPr>
          <w:p w:rsidR="00065DCD" w:rsidRPr="005A2061" w:rsidRDefault="00065DCD" w:rsidP="0035001C">
            <w:pPr>
              <w:suppressAutoHyphens/>
              <w:spacing w:before="0" w:line="240" w:lineRule="auto"/>
              <w:jc w:val="center"/>
              <w:rPr>
                <w:rFonts w:asciiTheme="minorHAnsi" w:hAnsiTheme="minorHAnsi"/>
                <w:b/>
                <w:bCs/>
                <w:sz w:val="20"/>
              </w:rPr>
            </w:pPr>
            <w:r w:rsidRPr="005A2061">
              <w:rPr>
                <w:rFonts w:asciiTheme="minorHAnsi" w:hAnsiTheme="minorHAnsi"/>
                <w:b/>
                <w:bCs/>
                <w:sz w:val="20"/>
              </w:rPr>
              <w:t>Rodzaj dokumentu, w którym określono wskaźnik</w:t>
            </w:r>
          </w:p>
        </w:tc>
      </w:tr>
      <w:tr w:rsidR="00F50A55" w:rsidRPr="005A2061" w:rsidTr="004C2579">
        <w:trPr>
          <w:cantSplit/>
          <w:trHeight w:val="20"/>
          <w:jc w:val="center"/>
        </w:trPr>
        <w:tc>
          <w:tcPr>
            <w:tcW w:w="1184" w:type="pct"/>
            <w:shd w:val="clear" w:color="auto" w:fill="auto"/>
            <w:vAlign w:val="center"/>
          </w:tcPr>
          <w:p w:rsidR="00F50A55" w:rsidRPr="005A2061" w:rsidRDefault="00F50A55" w:rsidP="001421F8">
            <w:pPr>
              <w:spacing w:before="0" w:line="240" w:lineRule="auto"/>
              <w:rPr>
                <w:rFonts w:asciiTheme="minorHAnsi" w:eastAsiaTheme="minorHAnsi" w:hAnsiTheme="minorHAnsi"/>
                <w:sz w:val="20"/>
                <w:lang w:eastAsia="en-US"/>
              </w:rPr>
            </w:pPr>
            <w:r w:rsidRPr="005A2061">
              <w:rPr>
                <w:rFonts w:asciiTheme="minorHAnsi" w:hAnsiTheme="minorHAnsi" w:cs="ArialNarrow"/>
                <w:sz w:val="20"/>
              </w:rPr>
              <w:t>Całkowita długość przebudowanych lub zmodernizowanych linii kolejowych (CI 12)</w:t>
            </w:r>
          </w:p>
        </w:tc>
        <w:tc>
          <w:tcPr>
            <w:tcW w:w="563" w:type="pct"/>
            <w:vAlign w:val="center"/>
          </w:tcPr>
          <w:p w:rsidR="00F50A55" w:rsidRPr="005A2061" w:rsidRDefault="00F50A55" w:rsidP="001421F8">
            <w:pPr>
              <w:spacing w:before="0" w:line="240" w:lineRule="auto"/>
              <w:rPr>
                <w:rFonts w:asciiTheme="minorHAnsi" w:eastAsiaTheme="minorHAnsi" w:hAnsiTheme="minorHAnsi"/>
                <w:sz w:val="20"/>
                <w:lang w:eastAsia="en-US"/>
              </w:rPr>
            </w:pPr>
            <w:r w:rsidRPr="005A2061">
              <w:rPr>
                <w:rFonts w:asciiTheme="minorHAnsi" w:hAnsiTheme="minorHAnsi" w:cs="ArialNarrow"/>
                <w:sz w:val="20"/>
              </w:rPr>
              <w:t>km</w:t>
            </w:r>
          </w:p>
        </w:tc>
        <w:tc>
          <w:tcPr>
            <w:tcW w:w="2472" w:type="pct"/>
            <w:shd w:val="clear" w:color="auto" w:fill="auto"/>
          </w:tcPr>
          <w:p w:rsidR="00F50A55" w:rsidRPr="005A2061" w:rsidRDefault="00F50A55" w:rsidP="00711F38">
            <w:pPr>
              <w:spacing w:before="0" w:line="240" w:lineRule="auto"/>
              <w:jc w:val="both"/>
              <w:rPr>
                <w:rFonts w:asciiTheme="minorHAnsi" w:hAnsiTheme="minorHAnsi"/>
                <w:sz w:val="20"/>
                <w:lang w:val="en-US"/>
              </w:rPr>
            </w:pPr>
          </w:p>
          <w:p w:rsidR="00F50A55" w:rsidRPr="005A2061" w:rsidRDefault="00F50A55" w:rsidP="00711F38">
            <w:pPr>
              <w:spacing w:before="0" w:line="240" w:lineRule="auto"/>
              <w:jc w:val="both"/>
              <w:rPr>
                <w:rFonts w:asciiTheme="minorHAnsi" w:hAnsiTheme="minorHAnsi"/>
                <w:i/>
                <w:sz w:val="20"/>
                <w:lang w:val="en-US"/>
              </w:rPr>
            </w:pPr>
            <w:r w:rsidRPr="005A2061">
              <w:rPr>
                <w:rFonts w:asciiTheme="minorHAnsi" w:hAnsiTheme="minorHAnsi"/>
                <w:i/>
                <w:sz w:val="20"/>
                <w:lang w:val="en-US"/>
              </w:rPr>
              <w:t xml:space="preserve">Length of railroads of which quality of capacity have been improved. This can include electrification, developing single track railroad into double track, increasing the possible speed on the track, or any combination of these, but excludes installation of </w:t>
            </w:r>
            <w:proofErr w:type="spellStart"/>
            <w:r w:rsidRPr="005A2061">
              <w:rPr>
                <w:rFonts w:asciiTheme="minorHAnsi" w:hAnsiTheme="minorHAnsi"/>
                <w:i/>
                <w:sz w:val="20"/>
                <w:lang w:val="en-US"/>
              </w:rPr>
              <w:t>signalling</w:t>
            </w:r>
            <w:proofErr w:type="spellEnd"/>
            <w:r w:rsidRPr="005A2061">
              <w:rPr>
                <w:rFonts w:asciiTheme="minorHAnsi" w:hAnsiTheme="minorHAnsi"/>
                <w:i/>
                <w:sz w:val="20"/>
                <w:lang w:val="en-US"/>
              </w:rPr>
              <w:t xml:space="preserve"> systems (incl. ensuring ERTMS (European Rail Traffic Management System) compatibility).</w:t>
            </w:r>
          </w:p>
          <w:p w:rsidR="00F50A55" w:rsidRPr="005A2061" w:rsidRDefault="00F50A55" w:rsidP="00711F38">
            <w:pPr>
              <w:spacing w:before="0" w:line="240" w:lineRule="auto"/>
              <w:jc w:val="both"/>
              <w:rPr>
                <w:rFonts w:asciiTheme="minorHAnsi" w:hAnsiTheme="minorHAnsi"/>
                <w:i/>
                <w:sz w:val="20"/>
                <w:lang w:val="en-US"/>
              </w:rPr>
            </w:pPr>
            <w:r w:rsidRPr="005A2061">
              <w:rPr>
                <w:rFonts w:asciiTheme="minorHAnsi" w:hAnsiTheme="minorHAnsi"/>
                <w:i/>
                <w:sz w:val="20"/>
                <w:lang w:val="en-US"/>
              </w:rPr>
              <w:t xml:space="preserve">The approach chosen here is to exclude </w:t>
            </w:r>
            <w:proofErr w:type="spellStart"/>
            <w:r w:rsidRPr="005A2061">
              <w:rPr>
                <w:rFonts w:asciiTheme="minorHAnsi" w:hAnsiTheme="minorHAnsi"/>
                <w:i/>
                <w:sz w:val="20"/>
                <w:lang w:val="en-US"/>
              </w:rPr>
              <w:t>signalling</w:t>
            </w:r>
            <w:proofErr w:type="spellEnd"/>
            <w:r w:rsidRPr="005A2061">
              <w:rPr>
                <w:rFonts w:asciiTheme="minorHAnsi" w:hAnsiTheme="minorHAnsi"/>
                <w:i/>
                <w:sz w:val="20"/>
                <w:lang w:val="en-US"/>
              </w:rPr>
              <w:t xml:space="preserve"> systems as they distort the values. </w:t>
            </w:r>
            <w:proofErr w:type="spellStart"/>
            <w:r w:rsidRPr="005A2061">
              <w:rPr>
                <w:rFonts w:asciiTheme="minorHAnsi" w:hAnsiTheme="minorHAnsi"/>
                <w:i/>
                <w:sz w:val="20"/>
                <w:lang w:val="en-US"/>
              </w:rPr>
              <w:t>Signalling</w:t>
            </w:r>
            <w:proofErr w:type="spellEnd"/>
            <w:r w:rsidRPr="005A2061">
              <w:rPr>
                <w:rFonts w:asciiTheme="minorHAnsi" w:hAnsiTheme="minorHAnsi"/>
                <w:i/>
                <w:sz w:val="20"/>
                <w:lang w:val="en-US"/>
              </w:rPr>
              <w:t xml:space="preserve"> systems should be treated in a separate (</w:t>
            </w:r>
            <w:proofErr w:type="spellStart"/>
            <w:r w:rsidRPr="005A2061">
              <w:rPr>
                <w:rFonts w:asciiTheme="minorHAnsi" w:hAnsiTheme="minorHAnsi"/>
                <w:i/>
                <w:sz w:val="20"/>
                <w:lang w:val="en-US"/>
              </w:rPr>
              <w:t>programme</w:t>
            </w:r>
            <w:proofErr w:type="spellEnd"/>
            <w:r w:rsidRPr="005A2061">
              <w:rPr>
                <w:rFonts w:asciiTheme="minorHAnsi" w:hAnsiTheme="minorHAnsi"/>
                <w:i/>
                <w:sz w:val="20"/>
                <w:lang w:val="en-US"/>
              </w:rPr>
              <w:t>-specific) indicator.</w:t>
            </w:r>
          </w:p>
          <w:p w:rsidR="00F50A55" w:rsidRPr="005A2061" w:rsidRDefault="00F50A55" w:rsidP="00711F38">
            <w:pPr>
              <w:spacing w:before="0" w:line="240" w:lineRule="auto"/>
              <w:jc w:val="both"/>
              <w:rPr>
                <w:rFonts w:asciiTheme="minorHAnsi" w:hAnsiTheme="minorHAnsi"/>
                <w:i/>
                <w:sz w:val="20"/>
                <w:lang w:val="en-US"/>
              </w:rPr>
            </w:pPr>
          </w:p>
          <w:p w:rsidR="00F50A55" w:rsidRPr="005A2061" w:rsidRDefault="00F50A55" w:rsidP="00711F38">
            <w:pPr>
              <w:spacing w:before="0" w:line="240" w:lineRule="auto"/>
              <w:jc w:val="both"/>
              <w:rPr>
                <w:rFonts w:asciiTheme="minorHAnsi" w:hAnsiTheme="minorHAnsi"/>
                <w:i/>
                <w:sz w:val="20"/>
              </w:rPr>
            </w:pPr>
            <w:r w:rsidRPr="005A2061">
              <w:rPr>
                <w:rFonts w:asciiTheme="minorHAnsi" w:hAnsiTheme="minorHAnsi"/>
                <w:i/>
                <w:sz w:val="20"/>
              </w:rPr>
              <w:t>Tłumaczenie robocze:</w:t>
            </w:r>
          </w:p>
          <w:p w:rsidR="00F50A55" w:rsidRDefault="00F50A55" w:rsidP="00711F38">
            <w:pPr>
              <w:spacing w:before="0" w:line="240" w:lineRule="auto"/>
              <w:jc w:val="both"/>
              <w:rPr>
                <w:rFonts w:asciiTheme="minorHAnsi" w:hAnsiTheme="minorHAnsi"/>
                <w:sz w:val="20"/>
              </w:rPr>
            </w:pPr>
            <w:r w:rsidRPr="005A2061">
              <w:rPr>
                <w:rFonts w:asciiTheme="minorHAnsi" w:hAnsiTheme="minorHAnsi"/>
                <w:sz w:val="20"/>
              </w:rPr>
              <w:t xml:space="preserve">Długość linii kolejowych, których jakość lub </w:t>
            </w:r>
            <w:r>
              <w:rPr>
                <w:rFonts w:asciiTheme="minorHAnsi" w:hAnsiTheme="minorHAnsi"/>
                <w:sz w:val="20"/>
              </w:rPr>
              <w:t>parametry</w:t>
            </w:r>
            <w:r w:rsidRPr="005A2061">
              <w:rPr>
                <w:rFonts w:asciiTheme="minorHAnsi" w:hAnsiTheme="minorHAnsi"/>
                <w:sz w:val="20"/>
              </w:rPr>
              <w:t xml:space="preserve"> zostały ulepszone. Może to obejmować elektryfikację, rozwój  </w:t>
            </w:r>
            <w:r>
              <w:rPr>
                <w:rFonts w:asciiTheme="minorHAnsi" w:hAnsiTheme="minorHAnsi"/>
                <w:sz w:val="20"/>
              </w:rPr>
              <w:t xml:space="preserve">pojedynczych </w:t>
            </w:r>
            <w:r w:rsidRPr="005A2061">
              <w:rPr>
                <w:rFonts w:asciiTheme="minorHAnsi" w:hAnsiTheme="minorHAnsi"/>
                <w:sz w:val="20"/>
              </w:rPr>
              <w:t xml:space="preserve">torów kolejowych do podwójnego toru, zwiększenie możliwej prędkości na torze, lub dowolnej </w:t>
            </w:r>
            <w:r>
              <w:rPr>
                <w:rFonts w:asciiTheme="minorHAnsi" w:hAnsiTheme="minorHAnsi"/>
                <w:sz w:val="20"/>
              </w:rPr>
              <w:t xml:space="preserve">ich </w:t>
            </w:r>
            <w:r w:rsidRPr="005A2061">
              <w:rPr>
                <w:rFonts w:asciiTheme="minorHAnsi" w:hAnsiTheme="minorHAnsi"/>
                <w:sz w:val="20"/>
              </w:rPr>
              <w:t>kombinacji ,  nie obejmuje instalacji sygnalizacji systemów (w</w:t>
            </w:r>
            <w:r>
              <w:rPr>
                <w:rFonts w:asciiTheme="minorHAnsi" w:hAnsiTheme="minorHAnsi"/>
                <w:sz w:val="20"/>
              </w:rPr>
              <w:t xml:space="preserve"> tym</w:t>
            </w:r>
            <w:r w:rsidRPr="005A2061">
              <w:rPr>
                <w:rFonts w:asciiTheme="minorHAnsi" w:hAnsiTheme="minorHAnsi"/>
                <w:sz w:val="20"/>
              </w:rPr>
              <w:t xml:space="preserve"> zapewniające </w:t>
            </w:r>
            <w:r>
              <w:rPr>
                <w:rFonts w:asciiTheme="minorHAnsi" w:hAnsiTheme="minorHAnsi"/>
                <w:sz w:val="20"/>
              </w:rPr>
              <w:t xml:space="preserve">kompatybilność </w:t>
            </w:r>
            <w:r w:rsidRPr="005A2061">
              <w:rPr>
                <w:rFonts w:asciiTheme="minorHAnsi" w:hAnsiTheme="minorHAnsi"/>
                <w:sz w:val="20"/>
              </w:rPr>
              <w:t>ERTMS (europejski system zarządzania ruchem kolejowym)).</w:t>
            </w:r>
          </w:p>
          <w:p w:rsidR="00F50A55" w:rsidRPr="00FC520B" w:rsidRDefault="00F50A55" w:rsidP="00F50A55">
            <w:pPr>
              <w:spacing w:line="240" w:lineRule="auto"/>
              <w:jc w:val="both"/>
              <w:rPr>
                <w:rFonts w:asciiTheme="minorHAnsi" w:eastAsiaTheme="minorHAnsi" w:hAnsiTheme="minorHAnsi"/>
                <w:i/>
                <w:sz w:val="20"/>
              </w:rPr>
            </w:pPr>
            <w:r w:rsidRPr="00FC520B">
              <w:rPr>
                <w:rFonts w:asciiTheme="minorHAnsi" w:eastAsiaTheme="minorHAnsi" w:hAnsiTheme="minorHAnsi"/>
                <w:i/>
                <w:sz w:val="20"/>
              </w:rPr>
              <w:t>Łączna długoś</w:t>
            </w:r>
            <w:r>
              <w:rPr>
                <w:rFonts w:asciiTheme="minorHAnsi" w:eastAsiaTheme="minorHAnsi" w:hAnsiTheme="minorHAnsi"/>
                <w:i/>
                <w:sz w:val="20"/>
              </w:rPr>
              <w:t xml:space="preserve">ć wszystkich przebudowanych lub </w:t>
            </w:r>
            <w:r w:rsidRPr="00FC520B">
              <w:rPr>
                <w:rFonts w:asciiTheme="minorHAnsi" w:eastAsiaTheme="minorHAnsi" w:hAnsiTheme="minorHAnsi"/>
                <w:i/>
                <w:sz w:val="20"/>
              </w:rPr>
              <w:t xml:space="preserve">zmodernizowanych odcinków linii kolejowych. </w:t>
            </w:r>
          </w:p>
          <w:p w:rsidR="00F50A55" w:rsidRPr="005A2061" w:rsidRDefault="00F50A55" w:rsidP="00711F38">
            <w:pPr>
              <w:spacing w:before="0" w:line="240" w:lineRule="auto"/>
              <w:jc w:val="both"/>
              <w:rPr>
                <w:rFonts w:asciiTheme="minorHAnsi" w:hAnsiTheme="minorHAnsi"/>
                <w:sz w:val="20"/>
              </w:rPr>
            </w:pPr>
            <w:r w:rsidRPr="00FC520B">
              <w:rPr>
                <w:rFonts w:asciiTheme="minorHAnsi" w:eastAsiaTheme="minorHAnsi" w:hAnsiTheme="minorHAnsi"/>
                <w:i/>
                <w:sz w:val="20"/>
              </w:rPr>
              <w:t>Wartość wskaźnika jest sumą długości wszystkich przebudowanych lub zmodernizowanych odcinków linii kolejowych, bez względu na parametry ani przynależność</w:t>
            </w:r>
            <w:r>
              <w:rPr>
                <w:rFonts w:asciiTheme="minorHAnsi" w:eastAsiaTheme="minorHAnsi" w:hAnsiTheme="minorHAnsi"/>
                <w:i/>
                <w:sz w:val="20"/>
              </w:rPr>
              <w:t xml:space="preserve"> do sieci TEN-T.</w:t>
            </w:r>
          </w:p>
          <w:p w:rsidR="00F50A55" w:rsidRPr="005A2061" w:rsidRDefault="00F50A55" w:rsidP="00711F38">
            <w:pPr>
              <w:spacing w:before="0" w:line="240" w:lineRule="auto"/>
              <w:jc w:val="both"/>
              <w:rPr>
                <w:rFonts w:asciiTheme="minorHAnsi" w:eastAsiaTheme="minorHAnsi" w:hAnsiTheme="minorHAnsi"/>
                <w:sz w:val="20"/>
                <w:lang w:eastAsia="en-US"/>
              </w:rPr>
            </w:pPr>
          </w:p>
        </w:tc>
        <w:tc>
          <w:tcPr>
            <w:tcW w:w="781" w:type="pct"/>
          </w:tcPr>
          <w:p w:rsidR="00F50A55" w:rsidRPr="005A2061" w:rsidRDefault="00F50A55" w:rsidP="001421F8">
            <w:pPr>
              <w:spacing w:before="0" w:line="240" w:lineRule="auto"/>
              <w:jc w:val="both"/>
              <w:rPr>
                <w:rFonts w:asciiTheme="minorHAnsi" w:eastAsiaTheme="minorHAnsi" w:hAnsiTheme="minorHAnsi"/>
                <w:sz w:val="20"/>
                <w:lang w:eastAsia="en-US"/>
              </w:rPr>
            </w:pPr>
            <w:r w:rsidRPr="005A2061">
              <w:rPr>
                <w:rFonts w:asciiTheme="minorHAnsi" w:hAnsiTheme="minorHAnsi"/>
                <w:sz w:val="20"/>
              </w:rPr>
              <w:t>RPO WD 2014-2020</w:t>
            </w:r>
          </w:p>
        </w:tc>
      </w:tr>
      <w:tr w:rsidR="005A2061" w:rsidRPr="005A2061" w:rsidTr="0041338B">
        <w:trPr>
          <w:cantSplit/>
          <w:trHeight w:val="20"/>
          <w:jc w:val="center"/>
        </w:trPr>
        <w:tc>
          <w:tcPr>
            <w:tcW w:w="1184" w:type="pct"/>
            <w:shd w:val="clear" w:color="auto" w:fill="auto"/>
            <w:vAlign w:val="center"/>
          </w:tcPr>
          <w:p w:rsidR="005A2061" w:rsidRPr="005A2061" w:rsidRDefault="005A2061" w:rsidP="001421F8">
            <w:pPr>
              <w:spacing w:before="0" w:line="240" w:lineRule="auto"/>
              <w:rPr>
                <w:rFonts w:asciiTheme="minorHAnsi" w:eastAsiaTheme="minorHAnsi" w:hAnsiTheme="minorHAnsi"/>
                <w:sz w:val="20"/>
                <w:lang w:eastAsia="en-US"/>
              </w:rPr>
            </w:pPr>
            <w:r w:rsidRPr="005A2061">
              <w:rPr>
                <w:rFonts w:asciiTheme="minorHAnsi" w:hAnsiTheme="minorHAnsi"/>
                <w:sz w:val="20"/>
              </w:rPr>
              <w:t>Liczba przebudowanych / odnowionych dworców kolejowych</w:t>
            </w:r>
          </w:p>
        </w:tc>
        <w:tc>
          <w:tcPr>
            <w:tcW w:w="563" w:type="pct"/>
            <w:vAlign w:val="center"/>
          </w:tcPr>
          <w:p w:rsidR="005A2061" w:rsidRPr="005A2061" w:rsidRDefault="005A2061" w:rsidP="001421F8">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szt.</w:t>
            </w:r>
          </w:p>
        </w:tc>
        <w:tc>
          <w:tcPr>
            <w:tcW w:w="2472" w:type="pct"/>
            <w:shd w:val="clear" w:color="auto" w:fill="auto"/>
          </w:tcPr>
          <w:p w:rsidR="005A2061" w:rsidRPr="005A2061" w:rsidRDefault="005A2061" w:rsidP="001421F8">
            <w:pPr>
              <w:spacing w:before="0" w:line="240" w:lineRule="auto"/>
              <w:jc w:val="both"/>
              <w:rPr>
                <w:rFonts w:asciiTheme="minorHAnsi" w:eastAsiaTheme="minorHAnsi" w:hAnsiTheme="minorHAnsi"/>
                <w:sz w:val="20"/>
                <w:lang w:eastAsia="en-US"/>
              </w:rPr>
            </w:pPr>
            <w:r w:rsidRPr="005A2061">
              <w:rPr>
                <w:rFonts w:asciiTheme="minorHAnsi" w:hAnsiTheme="minorHAnsi"/>
                <w:sz w:val="20"/>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781" w:type="pct"/>
          </w:tcPr>
          <w:p w:rsidR="005A2061" w:rsidRPr="005A2061" w:rsidRDefault="005A2061" w:rsidP="001421F8">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SZOOP RPO WD 2014-2020</w:t>
            </w:r>
          </w:p>
        </w:tc>
      </w:tr>
      <w:tr w:rsidR="00497586" w:rsidRPr="005A2061" w:rsidTr="00EF0701">
        <w:trPr>
          <w:cantSplit/>
          <w:trHeight w:val="20"/>
          <w:jc w:val="center"/>
        </w:trPr>
        <w:tc>
          <w:tcPr>
            <w:tcW w:w="1184" w:type="pct"/>
            <w:shd w:val="clear" w:color="auto" w:fill="auto"/>
            <w:vAlign w:val="center"/>
          </w:tcPr>
          <w:p w:rsidR="00497586" w:rsidRPr="005A2061" w:rsidRDefault="00497586" w:rsidP="00CE32DE">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lastRenderedPageBreak/>
              <w:t>Liczba obiektów dostosowanych do potrzeb osób z niepełnosprawnościami</w:t>
            </w:r>
          </w:p>
        </w:tc>
        <w:tc>
          <w:tcPr>
            <w:tcW w:w="563" w:type="pct"/>
            <w:vAlign w:val="center"/>
          </w:tcPr>
          <w:p w:rsidR="00497586" w:rsidRPr="005A2061" w:rsidRDefault="00497586" w:rsidP="00CE32DE">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szt.</w:t>
            </w:r>
          </w:p>
        </w:tc>
        <w:tc>
          <w:tcPr>
            <w:tcW w:w="2472" w:type="pct"/>
            <w:shd w:val="clear" w:color="auto" w:fill="auto"/>
          </w:tcPr>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 xml:space="preserve">Wskaźnik odnosi się do liczby obiektów, które zaopatrzono w specjalne podjazdy, windy, urządzenia głośnomówiące, bądź inne udogodnienia (tj. usunięcie barier w dostępie, </w:t>
            </w:r>
            <w:r w:rsidRPr="005A2061">
              <w:rPr>
                <w:rFonts w:asciiTheme="minorHAnsi" w:eastAsiaTheme="minorHAnsi" w:hAnsiTheme="minorHAnsi"/>
                <w:sz w:val="20"/>
                <w:lang w:eastAsia="en-US"/>
              </w:rPr>
              <w:br/>
              <w:t>w szczególności barier architektonicznych) ułatwiające dostęp do tych obiektów i poruszanie się po nich osobom niepełnosprawnym ruchowo czy sensorycznie.</w:t>
            </w: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Należy podać liczbę obiektów, a nie sprzętów, urządzeń itp., w które obiekty zaopatrzono.</w:t>
            </w: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781" w:type="pct"/>
          </w:tcPr>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horyzontalny</w:t>
            </w:r>
          </w:p>
        </w:tc>
      </w:tr>
      <w:tr w:rsidR="00497586" w:rsidRPr="005A2061" w:rsidTr="00EF0701">
        <w:trPr>
          <w:cantSplit/>
          <w:trHeight w:val="20"/>
          <w:jc w:val="center"/>
        </w:trPr>
        <w:tc>
          <w:tcPr>
            <w:tcW w:w="1184" w:type="pct"/>
            <w:shd w:val="clear" w:color="auto" w:fill="auto"/>
          </w:tcPr>
          <w:p w:rsidR="00497586" w:rsidRPr="005A2061" w:rsidRDefault="00497586" w:rsidP="00CE32DE">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Liczba podmiotów wykorzystujących technologie informacyjno-komunikacyjne (TIK)</w:t>
            </w:r>
          </w:p>
        </w:tc>
        <w:tc>
          <w:tcPr>
            <w:tcW w:w="563" w:type="pct"/>
          </w:tcPr>
          <w:p w:rsidR="00497586" w:rsidRPr="005A2061" w:rsidRDefault="00497586" w:rsidP="00CE32DE">
            <w:pPr>
              <w:spacing w:before="0" w:line="240" w:lineRule="auto"/>
              <w:jc w:val="center"/>
              <w:rPr>
                <w:rFonts w:asciiTheme="minorHAnsi" w:eastAsiaTheme="minorHAnsi" w:hAnsiTheme="minorHAnsi"/>
                <w:sz w:val="20"/>
                <w:lang w:eastAsia="en-US"/>
              </w:rPr>
            </w:pPr>
            <w:r w:rsidRPr="005A2061">
              <w:rPr>
                <w:rFonts w:asciiTheme="minorHAnsi" w:eastAsiaTheme="minorHAnsi" w:hAnsiTheme="minorHAnsi"/>
                <w:sz w:val="20"/>
                <w:lang w:eastAsia="en-US"/>
              </w:rPr>
              <w:t>szt.</w:t>
            </w:r>
          </w:p>
        </w:tc>
        <w:tc>
          <w:tcPr>
            <w:tcW w:w="2472" w:type="pct"/>
            <w:shd w:val="clear" w:color="auto" w:fill="auto"/>
          </w:tcPr>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7586" w:rsidRPr="005A2061" w:rsidRDefault="00497586" w:rsidP="00CE32DE">
            <w:pPr>
              <w:spacing w:before="0" w:line="240" w:lineRule="auto"/>
              <w:jc w:val="both"/>
              <w:rPr>
                <w:rFonts w:asciiTheme="minorHAnsi" w:eastAsiaTheme="minorHAnsi" w:hAnsiTheme="minorHAnsi"/>
                <w:sz w:val="20"/>
                <w:lang w:eastAsia="en-US"/>
              </w:rPr>
            </w:pP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7586" w:rsidRPr="005A2061" w:rsidRDefault="00497586" w:rsidP="00CE32DE">
            <w:pPr>
              <w:spacing w:before="0" w:line="240" w:lineRule="auto"/>
              <w:jc w:val="both"/>
              <w:rPr>
                <w:rFonts w:asciiTheme="minorHAnsi" w:eastAsiaTheme="minorHAnsi" w:hAnsiTheme="minorHAnsi"/>
                <w:sz w:val="20"/>
                <w:lang w:eastAsia="en-US"/>
              </w:rPr>
            </w:pP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7586" w:rsidRPr="005A2061" w:rsidRDefault="00497586" w:rsidP="00CE32DE">
            <w:pPr>
              <w:spacing w:before="0" w:line="240" w:lineRule="auto"/>
              <w:jc w:val="both"/>
              <w:rPr>
                <w:rFonts w:asciiTheme="minorHAnsi" w:eastAsiaTheme="minorHAnsi" w:hAnsiTheme="minorHAnsi"/>
                <w:sz w:val="20"/>
                <w:lang w:eastAsia="en-US"/>
              </w:rPr>
            </w:pP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81" w:type="pct"/>
          </w:tcPr>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horyzontalny</w:t>
            </w:r>
          </w:p>
        </w:tc>
      </w:tr>
      <w:tr w:rsidR="00497586" w:rsidRPr="005A2061" w:rsidTr="00EF0701">
        <w:trPr>
          <w:trHeight w:val="20"/>
          <w:jc w:val="center"/>
        </w:trPr>
        <w:tc>
          <w:tcPr>
            <w:tcW w:w="1184" w:type="pct"/>
            <w:shd w:val="clear" w:color="auto" w:fill="auto"/>
          </w:tcPr>
          <w:p w:rsidR="00497586" w:rsidRPr="005A2061" w:rsidRDefault="00497586" w:rsidP="00CE32DE">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Liczba osób objętych szkoleniami / doradztwem w zakresie kompetencji cyfrowych O/K/M</w:t>
            </w:r>
          </w:p>
        </w:tc>
        <w:tc>
          <w:tcPr>
            <w:tcW w:w="563" w:type="pct"/>
          </w:tcPr>
          <w:p w:rsidR="00497586" w:rsidRPr="005A2061" w:rsidRDefault="00497586" w:rsidP="00CE32DE">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os.</w:t>
            </w:r>
          </w:p>
        </w:tc>
        <w:tc>
          <w:tcPr>
            <w:tcW w:w="2472" w:type="pct"/>
            <w:shd w:val="clear" w:color="auto" w:fill="auto"/>
          </w:tcPr>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5A2061">
              <w:rPr>
                <w:rFonts w:asciiTheme="minorHAnsi" w:eastAsiaTheme="minorHAnsi" w:hAnsiTheme="minorHAnsi"/>
                <w:sz w:val="20"/>
                <w:lang w:eastAsia="en-US"/>
              </w:rPr>
              <w:t>internetu</w:t>
            </w:r>
            <w:proofErr w:type="spellEnd"/>
            <w:r w:rsidRPr="005A2061">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 </w:t>
            </w: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 xml:space="preserve">Wskaźnik ma agregować wszystkie osoby objęte wsparciem w zakresie TIK we wszystkich programach i </w:t>
            </w:r>
            <w:r w:rsidRPr="005A2061">
              <w:rPr>
                <w:rFonts w:asciiTheme="minorHAnsi" w:eastAsiaTheme="minorHAnsi" w:hAnsiTheme="minorHAnsi"/>
                <w:sz w:val="20"/>
                <w:lang w:eastAsia="en-US"/>
              </w:rPr>
              <w:lastRenderedPageBreak/>
              <w:t>projektach, także tych, gdzie szkolenie dotyczy obsługi specyficznego systemu teleinformatycznego, którego wdrożenia dotyczy projekt. Taka sytuacja może wystąpić przy cross-</w:t>
            </w:r>
            <w:proofErr w:type="spellStart"/>
            <w:r w:rsidRPr="005A2061">
              <w:rPr>
                <w:rFonts w:asciiTheme="minorHAnsi" w:eastAsiaTheme="minorHAnsi" w:hAnsiTheme="minorHAnsi"/>
                <w:sz w:val="20"/>
                <w:lang w:eastAsia="en-US"/>
              </w:rPr>
              <w:t>financingu</w:t>
            </w:r>
            <w:proofErr w:type="spellEnd"/>
            <w:r w:rsidRPr="005A2061">
              <w:rPr>
                <w:rFonts w:asciiTheme="minorHAnsi" w:eastAsiaTheme="minorHAnsi" w:hAnsiTheme="minorHAnsi"/>
                <w:sz w:val="20"/>
                <w:lang w:eastAsia="en-US"/>
              </w:rPr>
              <w:t xml:space="preserve"> RPO dotyczących e-usług publicznych, ale również przy okazji wdrażania inteligentnych systemów transportowych..</w:t>
            </w:r>
          </w:p>
        </w:tc>
        <w:tc>
          <w:tcPr>
            <w:tcW w:w="781" w:type="pct"/>
          </w:tcPr>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lastRenderedPageBreak/>
              <w:t>horyzontalny</w:t>
            </w:r>
          </w:p>
        </w:tc>
      </w:tr>
      <w:tr w:rsidR="00497586" w:rsidRPr="005A2061" w:rsidTr="00EF0701">
        <w:trPr>
          <w:cantSplit/>
          <w:trHeight w:val="20"/>
          <w:jc w:val="center"/>
        </w:trPr>
        <w:tc>
          <w:tcPr>
            <w:tcW w:w="1184" w:type="pct"/>
            <w:shd w:val="clear" w:color="auto" w:fill="auto"/>
          </w:tcPr>
          <w:p w:rsidR="00497586" w:rsidRPr="005A2061" w:rsidRDefault="00497586" w:rsidP="00CE32DE">
            <w:pPr>
              <w:spacing w:before="0" w:line="240" w:lineRule="auto"/>
              <w:rPr>
                <w:rFonts w:asciiTheme="minorHAnsi" w:eastAsiaTheme="minorHAnsi" w:hAnsiTheme="minorHAnsi"/>
                <w:sz w:val="20"/>
                <w:lang w:eastAsia="en-US"/>
              </w:rPr>
            </w:pPr>
            <w:r w:rsidRPr="005A2061">
              <w:rPr>
                <w:rFonts w:asciiTheme="minorHAnsi" w:eastAsiaTheme="minorHAnsi" w:hAnsiTheme="minorHAnsi" w:cs="Arial"/>
                <w:color w:val="000000"/>
                <w:sz w:val="20"/>
                <w:lang w:eastAsia="en-US"/>
              </w:rPr>
              <w:lastRenderedPageBreak/>
              <w:t>Liczba projektów, w których sfinansowano koszty racjonalnych usprawnień dla osób z niepełnosprawnościami</w:t>
            </w:r>
          </w:p>
        </w:tc>
        <w:tc>
          <w:tcPr>
            <w:tcW w:w="563" w:type="pct"/>
          </w:tcPr>
          <w:p w:rsidR="00497586" w:rsidRPr="005A2061" w:rsidRDefault="00497586" w:rsidP="00CE32DE">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 xml:space="preserve">szt. </w:t>
            </w:r>
          </w:p>
        </w:tc>
        <w:tc>
          <w:tcPr>
            <w:tcW w:w="2472" w:type="pct"/>
            <w:shd w:val="clear" w:color="auto" w:fill="auto"/>
          </w:tcPr>
          <w:p w:rsidR="00497586" w:rsidRPr="005A206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5A2061">
              <w:rPr>
                <w:rFonts w:asciiTheme="minorHAnsi" w:eastAsiaTheme="minorHAnsi" w:hAnsiTheme="minorHAnsi" w:cs="Arial"/>
                <w:color w:val="000000"/>
                <w:sz w:val="20"/>
                <w:lang w:eastAsia="en-US"/>
              </w:rPr>
              <w:t xml:space="preserve">Racjonalne usprawnienie oznacza konieczne </w:t>
            </w:r>
            <w:r w:rsidRPr="005A2061">
              <w:rPr>
                <w:rFonts w:asciiTheme="minorHAnsi" w:eastAsiaTheme="minorHAnsi" w:hAnsiTheme="minorHAnsi" w:cs="Arial"/>
                <w:color w:val="000000"/>
                <w:sz w:val="20"/>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497586" w:rsidRPr="005A206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5A2061">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97586" w:rsidRPr="005A2061" w:rsidRDefault="00497586" w:rsidP="00CE32DE">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cs="Arial"/>
                <w:color w:val="000000"/>
                <w:sz w:val="20"/>
                <w:lang w:eastAsia="en-US"/>
              </w:rPr>
              <w:t xml:space="preserve">Definicja na podstawie </w:t>
            </w:r>
            <w:r w:rsidRPr="005A2061">
              <w:rPr>
                <w:rFonts w:asciiTheme="minorHAnsi" w:eastAsiaTheme="minorHAnsi" w:hAnsiTheme="minorHAnsi" w:cs="Arial"/>
                <w:i/>
                <w:iCs/>
                <w:color w:val="000000"/>
                <w:sz w:val="20"/>
                <w:lang w:eastAsia="en-US"/>
              </w:rPr>
              <w:t xml:space="preserve">Wytycznych w zakresie realizacji zasady równości szans </w:t>
            </w:r>
            <w:r w:rsidRPr="005A2061">
              <w:rPr>
                <w:rFonts w:asciiTheme="minorHAnsi" w:eastAsiaTheme="minorHAnsi" w:hAnsiTheme="minorHAnsi" w:cs="Arial"/>
                <w:i/>
                <w:iCs/>
                <w:color w:val="000000"/>
                <w:sz w:val="20"/>
                <w:lang w:eastAsia="en-US"/>
              </w:rPr>
              <w:br/>
              <w:t xml:space="preserve">i niedyskryminacji, w tym dostępności dla osób </w:t>
            </w:r>
            <w:r w:rsidRPr="005A2061">
              <w:rPr>
                <w:rFonts w:asciiTheme="minorHAnsi" w:eastAsiaTheme="minorHAnsi" w:hAnsiTheme="minorHAnsi" w:cs="Arial"/>
                <w:i/>
                <w:iCs/>
                <w:color w:val="000000"/>
                <w:sz w:val="20"/>
                <w:lang w:eastAsia="en-US"/>
              </w:rPr>
              <w:br/>
              <w:t>z niepełnosprawnościami oraz równości szans kobiet i mężczyzn w ramach funduszy unijnych na lata 2014-2020</w:t>
            </w:r>
            <w:r w:rsidRPr="005A2061">
              <w:rPr>
                <w:rFonts w:asciiTheme="minorHAnsi" w:eastAsiaTheme="minorHAnsi" w:hAnsiTheme="minorHAnsi" w:cs="Arial"/>
                <w:color w:val="000000"/>
                <w:sz w:val="20"/>
                <w:lang w:eastAsia="en-US"/>
              </w:rPr>
              <w:t>.</w:t>
            </w:r>
          </w:p>
        </w:tc>
        <w:tc>
          <w:tcPr>
            <w:tcW w:w="781" w:type="pct"/>
          </w:tcPr>
          <w:p w:rsidR="00497586" w:rsidRPr="005A206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5A2061">
              <w:rPr>
                <w:rFonts w:asciiTheme="minorHAnsi" w:eastAsiaTheme="minorHAnsi" w:hAnsiTheme="minorHAnsi" w:cs="Arial"/>
                <w:color w:val="000000"/>
                <w:sz w:val="20"/>
                <w:lang w:eastAsia="en-US"/>
              </w:rPr>
              <w:t>horyzontalny</w:t>
            </w:r>
          </w:p>
        </w:tc>
      </w:tr>
      <w:tr w:rsidR="005A2061" w:rsidRPr="005A2061" w:rsidTr="00EF0701">
        <w:trPr>
          <w:cantSplit/>
          <w:trHeight w:val="20"/>
          <w:jc w:val="center"/>
        </w:trPr>
        <w:tc>
          <w:tcPr>
            <w:tcW w:w="1184" w:type="pct"/>
            <w:shd w:val="clear" w:color="auto" w:fill="auto"/>
          </w:tcPr>
          <w:p w:rsidR="005A2061" w:rsidRPr="005A2061" w:rsidRDefault="005A2061" w:rsidP="001421F8">
            <w:pPr>
              <w:spacing w:before="0" w:line="240" w:lineRule="auto"/>
              <w:rPr>
                <w:rFonts w:asciiTheme="minorHAnsi" w:eastAsiaTheme="minorHAnsi" w:hAnsiTheme="minorHAnsi" w:cs="Arial"/>
                <w:color w:val="000000"/>
                <w:sz w:val="20"/>
                <w:lang w:eastAsia="en-US"/>
              </w:rPr>
            </w:pPr>
            <w:r w:rsidRPr="005A2061">
              <w:rPr>
                <w:rFonts w:asciiTheme="minorHAnsi" w:eastAsiaTheme="minorHAnsi" w:hAnsiTheme="minorHAnsi" w:cs="Arial"/>
                <w:sz w:val="20"/>
                <w:lang w:eastAsia="en-US"/>
              </w:rPr>
              <w:t>Liczba zbudowanych/przebudowanych/ zmodernizowanych osobowych przystanków kolejowych</w:t>
            </w:r>
          </w:p>
        </w:tc>
        <w:tc>
          <w:tcPr>
            <w:tcW w:w="563" w:type="pct"/>
          </w:tcPr>
          <w:p w:rsidR="005A2061" w:rsidRPr="005A2061" w:rsidRDefault="005A2061" w:rsidP="001421F8">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 xml:space="preserve">szt. </w:t>
            </w:r>
          </w:p>
        </w:tc>
        <w:tc>
          <w:tcPr>
            <w:tcW w:w="2472" w:type="pct"/>
            <w:shd w:val="clear" w:color="auto" w:fill="auto"/>
          </w:tcPr>
          <w:p w:rsidR="005A2061" w:rsidRPr="005A2061" w:rsidRDefault="005A2061" w:rsidP="001421F8">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5A2061">
              <w:rPr>
                <w:rFonts w:asciiTheme="minorHAnsi" w:eastAsiaTheme="minorHAnsi" w:hAnsiTheme="minorHAnsi" w:cs="Arial"/>
                <w:sz w:val="20"/>
                <w:lang w:eastAsia="en-US"/>
              </w:rPr>
              <w:t>Liczba wybudowanych, przebudowanych lub zmodernizowanych obiektów budowlanych lub zespołów obiektów budowlanych takich jak perony, wiaty, przejścia dla podróżnych (naziemne, podziemne, kładki) usytuowanych na szlaku kolejowym odpowiednio przystosowanych do obsługi pasażerów, w którym zatrzymują się rozkładowo wyznaczone pociągi pasażerskie. Jeśli przy przystanku występują budynki dworcowe nie stanowią one części przystanku lecz dworzec kolejowy.</w:t>
            </w:r>
          </w:p>
        </w:tc>
        <w:tc>
          <w:tcPr>
            <w:tcW w:w="781" w:type="pct"/>
          </w:tcPr>
          <w:p w:rsidR="005A2061" w:rsidRPr="005A2061" w:rsidRDefault="005A2061" w:rsidP="001421F8">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5A2061">
              <w:rPr>
                <w:rFonts w:asciiTheme="minorHAnsi" w:eastAsiaTheme="minorHAnsi" w:hAnsiTheme="minorHAnsi" w:cs="Arial"/>
                <w:color w:val="000000"/>
                <w:sz w:val="20"/>
                <w:lang w:eastAsia="en-US"/>
              </w:rPr>
              <w:t>dodatkowy</w:t>
            </w:r>
          </w:p>
        </w:tc>
      </w:tr>
    </w:tbl>
    <w:p w:rsidR="00EF0701" w:rsidRPr="009313DB" w:rsidRDefault="00EF0701" w:rsidP="00EF0701">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Pr="009313DB">
        <w:rPr>
          <w:rFonts w:asciiTheme="minorHAnsi" w:hAnsiTheme="minorHAnsi"/>
          <w:szCs w:val="22"/>
        </w:rPr>
        <w:t xml:space="preserve"> są to w</w:t>
      </w:r>
      <w:r w:rsidRPr="009313DB">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EF0701" w:rsidRPr="009313DB" w:rsidRDefault="00EF0701" w:rsidP="00EF0701">
      <w:pPr>
        <w:pStyle w:val="Default"/>
        <w:jc w:val="both"/>
        <w:rPr>
          <w:rFonts w:asciiTheme="minorHAnsi" w:hAnsiTheme="minorHAnsi"/>
          <w:sz w:val="22"/>
          <w:szCs w:val="22"/>
        </w:rPr>
      </w:pP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9313DB">
        <w:rPr>
          <w:rFonts w:asciiTheme="minorHAnsi" w:hAnsiTheme="minorHAnsi"/>
          <w:sz w:val="22"/>
          <w:szCs w:val="22"/>
        </w:rPr>
        <w:t xml:space="preserve"> </w:t>
      </w:r>
    </w:p>
    <w:p w:rsidR="00DE68AF" w:rsidRDefault="00EF0701" w:rsidP="00D9587E">
      <w:pPr>
        <w:autoSpaceDE w:val="0"/>
        <w:autoSpaceDN w:val="0"/>
        <w:adjustRightInd w:val="0"/>
        <w:spacing w:before="120" w:after="120" w:line="240" w:lineRule="auto"/>
        <w:jc w:val="both"/>
        <w:rPr>
          <w:rFonts w:asciiTheme="minorHAnsi" w:hAnsiTheme="minorHAnsi"/>
          <w:szCs w:val="22"/>
        </w:rPr>
      </w:pPr>
      <w:r w:rsidRPr="009313DB">
        <w:rPr>
          <w:rFonts w:asciiTheme="minorHAnsi" w:hAnsiTheme="minorHAnsi"/>
          <w:szCs w:val="22"/>
        </w:rPr>
        <w:t xml:space="preserve">Jako źródło informacji o wskaźniku wskazać należy odpowiedni dokument </w:t>
      </w:r>
      <w:r w:rsidR="00742D12">
        <w:rPr>
          <w:rFonts w:asciiTheme="minorHAnsi" w:hAnsiTheme="minorHAnsi"/>
          <w:szCs w:val="22"/>
        </w:rPr>
        <w:t xml:space="preserve">(np. </w:t>
      </w:r>
      <w:r w:rsidR="00BB238F">
        <w:rPr>
          <w:rFonts w:asciiTheme="minorHAnsi" w:hAnsiTheme="minorHAnsi"/>
          <w:szCs w:val="22"/>
        </w:rPr>
        <w:t>dokumentacja techniczna</w:t>
      </w:r>
      <w:r w:rsidR="00742D12">
        <w:rPr>
          <w:rFonts w:asciiTheme="minorHAnsi" w:hAnsiTheme="minorHAnsi"/>
          <w:szCs w:val="22"/>
        </w:rPr>
        <w:t xml:space="preserve">). </w:t>
      </w:r>
    </w:p>
    <w:p w:rsidR="00D9587E" w:rsidRPr="00A213BE" w:rsidRDefault="00D9587E" w:rsidP="00D9587E">
      <w:pPr>
        <w:autoSpaceDE w:val="0"/>
        <w:autoSpaceDN w:val="0"/>
        <w:adjustRightInd w:val="0"/>
        <w:spacing w:before="120" w:after="120" w:line="240" w:lineRule="auto"/>
        <w:jc w:val="both"/>
        <w:rPr>
          <w:rFonts w:asciiTheme="minorHAnsi" w:hAnsiTheme="minorHAnsi"/>
        </w:rPr>
      </w:pPr>
      <w:r w:rsidRPr="00A213BE">
        <w:rPr>
          <w:rFonts w:asciiTheme="minorHAnsi" w:hAnsiTheme="minorHAnsi"/>
          <w:b/>
          <w:szCs w:val="22"/>
        </w:rPr>
        <w:lastRenderedPageBreak/>
        <w:t xml:space="preserve">W ramach Działania </w:t>
      </w:r>
      <w:r w:rsidR="005A2061">
        <w:rPr>
          <w:rFonts w:asciiTheme="minorHAnsi" w:hAnsiTheme="minorHAnsi"/>
          <w:b/>
          <w:szCs w:val="22"/>
        </w:rPr>
        <w:t>5.2</w:t>
      </w:r>
      <w:r w:rsidRPr="00A213BE">
        <w:rPr>
          <w:rFonts w:asciiTheme="minorHAnsi" w:hAnsiTheme="minorHAnsi"/>
          <w:b/>
          <w:szCs w:val="22"/>
        </w:rPr>
        <w:t xml:space="preserve"> </w:t>
      </w:r>
      <w:r w:rsidR="00F74161">
        <w:rPr>
          <w:rFonts w:asciiTheme="minorHAnsi" w:hAnsiTheme="minorHAnsi"/>
          <w:b/>
          <w:szCs w:val="22"/>
        </w:rPr>
        <w:t>określono poniższe wskaźniki</w:t>
      </w:r>
      <w:r w:rsidRPr="00A213BE">
        <w:rPr>
          <w:rFonts w:asciiTheme="minorHAnsi" w:hAnsiTheme="minorHAnsi"/>
          <w:b/>
          <w:szCs w:val="22"/>
        </w:rPr>
        <w:t xml:space="preserve"> o charakterze rezultatu bezpośredniego</w:t>
      </w:r>
      <w:r w:rsidR="00F74161">
        <w:rPr>
          <w:rFonts w:asciiTheme="minorHAnsi" w:hAnsiTheme="minorHAnsi"/>
          <w:b/>
          <w:szCs w:val="22"/>
        </w:rPr>
        <w:t>, które mogą mieć zastosowanie: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D9587E" w:rsidRPr="005A2061" w:rsidTr="004E5A78">
        <w:trPr>
          <w:trHeight w:val="20"/>
          <w:jc w:val="center"/>
        </w:trPr>
        <w:tc>
          <w:tcPr>
            <w:tcW w:w="1189" w:type="pct"/>
            <w:shd w:val="clear" w:color="auto" w:fill="auto"/>
            <w:vAlign w:val="center"/>
          </w:tcPr>
          <w:p w:rsidR="00D9587E" w:rsidRPr="005A2061" w:rsidRDefault="00D9587E" w:rsidP="004E5A78">
            <w:pPr>
              <w:spacing w:before="0" w:line="240" w:lineRule="auto"/>
              <w:jc w:val="center"/>
              <w:rPr>
                <w:rFonts w:asciiTheme="minorHAnsi" w:hAnsiTheme="minorHAnsi"/>
                <w:b/>
                <w:sz w:val="20"/>
              </w:rPr>
            </w:pPr>
            <w:r w:rsidRPr="005A2061">
              <w:rPr>
                <w:rFonts w:asciiTheme="minorHAnsi" w:hAnsiTheme="minorHAnsi"/>
                <w:b/>
                <w:sz w:val="20"/>
              </w:rPr>
              <w:t>Nazwa wskaźnika rezultatu bezpośredniego</w:t>
            </w:r>
          </w:p>
        </w:tc>
        <w:tc>
          <w:tcPr>
            <w:tcW w:w="701" w:type="pct"/>
          </w:tcPr>
          <w:p w:rsidR="00D9587E" w:rsidRPr="005A2061" w:rsidRDefault="00D9587E" w:rsidP="004E5A78">
            <w:pPr>
              <w:suppressAutoHyphens/>
              <w:spacing w:before="0" w:line="240" w:lineRule="auto"/>
              <w:jc w:val="center"/>
              <w:rPr>
                <w:rFonts w:asciiTheme="minorHAnsi" w:hAnsiTheme="minorHAnsi"/>
                <w:b/>
                <w:bCs/>
                <w:sz w:val="20"/>
              </w:rPr>
            </w:pPr>
            <w:r w:rsidRPr="005A2061">
              <w:rPr>
                <w:rFonts w:asciiTheme="minorHAnsi" w:hAnsiTheme="minorHAnsi"/>
                <w:b/>
                <w:bCs/>
                <w:sz w:val="20"/>
              </w:rPr>
              <w:t>Jednostka miary</w:t>
            </w:r>
          </w:p>
        </w:tc>
        <w:tc>
          <w:tcPr>
            <w:tcW w:w="2061" w:type="pct"/>
            <w:shd w:val="clear" w:color="auto" w:fill="auto"/>
            <w:vAlign w:val="center"/>
          </w:tcPr>
          <w:p w:rsidR="00D9587E" w:rsidRPr="005A2061" w:rsidRDefault="00D9587E" w:rsidP="004E5A78">
            <w:pPr>
              <w:suppressAutoHyphens/>
              <w:spacing w:before="0" w:line="240" w:lineRule="auto"/>
              <w:jc w:val="center"/>
              <w:rPr>
                <w:rFonts w:asciiTheme="minorHAnsi" w:hAnsiTheme="minorHAnsi"/>
                <w:b/>
                <w:sz w:val="20"/>
              </w:rPr>
            </w:pPr>
            <w:r w:rsidRPr="005A2061">
              <w:rPr>
                <w:rFonts w:asciiTheme="minorHAnsi" w:hAnsiTheme="minorHAnsi"/>
                <w:b/>
                <w:bCs/>
                <w:sz w:val="20"/>
              </w:rPr>
              <w:t>Definicja wskaźnika</w:t>
            </w:r>
          </w:p>
        </w:tc>
        <w:tc>
          <w:tcPr>
            <w:tcW w:w="1049" w:type="pct"/>
          </w:tcPr>
          <w:p w:rsidR="00D9587E" w:rsidRPr="005A2061" w:rsidRDefault="00D9587E" w:rsidP="004E5A78">
            <w:pPr>
              <w:suppressAutoHyphens/>
              <w:spacing w:before="0" w:line="240" w:lineRule="auto"/>
              <w:jc w:val="center"/>
              <w:rPr>
                <w:rFonts w:asciiTheme="minorHAnsi" w:hAnsiTheme="minorHAnsi"/>
                <w:b/>
                <w:bCs/>
                <w:sz w:val="20"/>
              </w:rPr>
            </w:pPr>
            <w:r w:rsidRPr="005A2061">
              <w:rPr>
                <w:rFonts w:asciiTheme="minorHAnsi" w:hAnsiTheme="minorHAnsi"/>
                <w:b/>
                <w:bCs/>
                <w:sz w:val="20"/>
              </w:rPr>
              <w:t>Rodzaj dokumentu, w którym określono wskaźnik</w:t>
            </w:r>
          </w:p>
        </w:tc>
      </w:tr>
      <w:tr w:rsidR="005A2061" w:rsidRPr="005A2061" w:rsidTr="004E5A78">
        <w:trPr>
          <w:trHeight w:val="20"/>
          <w:jc w:val="center"/>
        </w:trPr>
        <w:tc>
          <w:tcPr>
            <w:tcW w:w="1189" w:type="pct"/>
            <w:shd w:val="clear" w:color="auto" w:fill="auto"/>
          </w:tcPr>
          <w:p w:rsidR="005A2061" w:rsidRPr="005A2061" w:rsidRDefault="005A2061" w:rsidP="001421F8">
            <w:pPr>
              <w:pStyle w:val="Default"/>
              <w:rPr>
                <w:rFonts w:asciiTheme="minorHAnsi" w:hAnsiTheme="minorHAnsi" w:cs="ArialNarrow"/>
              </w:rPr>
            </w:pPr>
            <w:r w:rsidRPr="005A2061">
              <w:rPr>
                <w:rFonts w:asciiTheme="minorHAnsi" w:hAnsiTheme="minorHAnsi"/>
              </w:rPr>
              <w:t>Liczba przewozów pasażerskich na przebudowanych lub zmodernizowanych liniach kolejowych</w:t>
            </w:r>
          </w:p>
        </w:tc>
        <w:tc>
          <w:tcPr>
            <w:tcW w:w="701" w:type="pct"/>
          </w:tcPr>
          <w:p w:rsidR="005A2061" w:rsidRPr="005A2061" w:rsidRDefault="005A2061" w:rsidP="001421F8">
            <w:pPr>
              <w:spacing w:before="0" w:line="240" w:lineRule="auto"/>
              <w:rPr>
                <w:rFonts w:asciiTheme="minorHAnsi" w:hAnsiTheme="minorHAnsi" w:cs="ArialNarrow"/>
                <w:sz w:val="20"/>
              </w:rPr>
            </w:pPr>
            <w:r w:rsidRPr="005A2061">
              <w:rPr>
                <w:rFonts w:asciiTheme="minorHAnsi" w:hAnsiTheme="minorHAnsi" w:cs="ArialNarrow"/>
                <w:sz w:val="20"/>
              </w:rPr>
              <w:t>szt./rok</w:t>
            </w:r>
          </w:p>
        </w:tc>
        <w:tc>
          <w:tcPr>
            <w:tcW w:w="2061" w:type="pct"/>
            <w:shd w:val="clear" w:color="auto" w:fill="auto"/>
            <w:vAlign w:val="center"/>
          </w:tcPr>
          <w:p w:rsidR="005A2061" w:rsidRPr="005A2061" w:rsidRDefault="005A2061" w:rsidP="001421F8">
            <w:pPr>
              <w:spacing w:line="240" w:lineRule="auto"/>
              <w:jc w:val="both"/>
              <w:rPr>
                <w:rFonts w:asciiTheme="minorHAnsi" w:hAnsiTheme="minorHAnsi"/>
                <w:sz w:val="20"/>
                <w:lang w:val="en-US"/>
              </w:rPr>
            </w:pPr>
          </w:p>
        </w:tc>
        <w:tc>
          <w:tcPr>
            <w:tcW w:w="1049" w:type="pct"/>
          </w:tcPr>
          <w:p w:rsidR="005A2061" w:rsidRPr="005A2061" w:rsidRDefault="005A2061" w:rsidP="001421F8">
            <w:pPr>
              <w:spacing w:line="240" w:lineRule="auto"/>
              <w:jc w:val="both"/>
              <w:rPr>
                <w:rFonts w:asciiTheme="minorHAnsi" w:hAnsiTheme="minorHAnsi"/>
                <w:sz w:val="20"/>
              </w:rPr>
            </w:pPr>
            <w:r w:rsidRPr="005A2061">
              <w:rPr>
                <w:rFonts w:asciiTheme="minorHAnsi" w:hAnsiTheme="minorHAnsi"/>
                <w:sz w:val="20"/>
              </w:rPr>
              <w:t>SZOOP RPO WD 2014-2020</w:t>
            </w:r>
          </w:p>
        </w:tc>
      </w:tr>
      <w:tr w:rsidR="00D9587E" w:rsidRPr="005A2061" w:rsidTr="004E5A78">
        <w:trPr>
          <w:trHeight w:val="20"/>
          <w:jc w:val="center"/>
        </w:trPr>
        <w:tc>
          <w:tcPr>
            <w:tcW w:w="1189" w:type="pct"/>
            <w:shd w:val="clear" w:color="auto" w:fill="auto"/>
          </w:tcPr>
          <w:p w:rsidR="00D9587E" w:rsidRPr="005A2061" w:rsidRDefault="00D9587E" w:rsidP="004E5A78">
            <w:pPr>
              <w:pStyle w:val="Default"/>
              <w:rPr>
                <w:rFonts w:asciiTheme="minorHAnsi" w:hAnsiTheme="minorHAnsi" w:cs="ArialNarrow"/>
              </w:rPr>
            </w:pPr>
            <w:r w:rsidRPr="005A2061">
              <w:rPr>
                <w:rFonts w:asciiTheme="minorHAnsi" w:hAnsiTheme="minorHAnsi" w:cs="ArialNarrow"/>
              </w:rPr>
              <w:t>Wzrost zatrudnienia we wspieranych przedsiębiorstwach O/K/M</w:t>
            </w:r>
          </w:p>
        </w:tc>
        <w:tc>
          <w:tcPr>
            <w:tcW w:w="701" w:type="pct"/>
          </w:tcPr>
          <w:p w:rsidR="00D9587E" w:rsidRPr="005A2061" w:rsidRDefault="00D9587E" w:rsidP="004E5A78">
            <w:pPr>
              <w:spacing w:before="0" w:line="240" w:lineRule="auto"/>
              <w:rPr>
                <w:rFonts w:asciiTheme="minorHAnsi" w:hAnsiTheme="minorHAnsi" w:cs="ArialNarrow"/>
                <w:sz w:val="20"/>
              </w:rPr>
            </w:pPr>
            <w:r w:rsidRPr="005A2061">
              <w:rPr>
                <w:rFonts w:asciiTheme="minorHAnsi" w:hAnsiTheme="minorHAnsi" w:cs="ArialNarrow"/>
                <w:sz w:val="20"/>
              </w:rPr>
              <w:t>EPC</w:t>
            </w:r>
          </w:p>
        </w:tc>
        <w:tc>
          <w:tcPr>
            <w:tcW w:w="2061" w:type="pct"/>
            <w:shd w:val="clear" w:color="auto" w:fill="auto"/>
            <w:vAlign w:val="center"/>
          </w:tcPr>
          <w:p w:rsidR="00D9587E" w:rsidRPr="005A2061" w:rsidRDefault="00D9587E" w:rsidP="004E5A78">
            <w:pPr>
              <w:spacing w:line="240" w:lineRule="auto"/>
              <w:jc w:val="both"/>
              <w:rPr>
                <w:rFonts w:asciiTheme="minorHAnsi" w:hAnsiTheme="minorHAnsi"/>
                <w:sz w:val="20"/>
              </w:rPr>
            </w:pPr>
            <w:r w:rsidRPr="005A2061">
              <w:rPr>
                <w:rFonts w:asciiTheme="minorHAnsi" w:hAnsiTheme="minorHAnsi"/>
                <w:sz w:val="20"/>
              </w:rPr>
              <w:t xml:space="preserve">Tłumaczenie robocze: </w:t>
            </w:r>
          </w:p>
          <w:p w:rsidR="00D9587E" w:rsidRPr="005A2061" w:rsidRDefault="00D9587E" w:rsidP="004E5A78">
            <w:pPr>
              <w:spacing w:line="240" w:lineRule="auto"/>
              <w:jc w:val="both"/>
              <w:rPr>
                <w:rFonts w:asciiTheme="minorHAnsi" w:hAnsiTheme="minorHAnsi"/>
                <w:sz w:val="20"/>
              </w:rPr>
            </w:pPr>
            <w:r w:rsidRPr="005A2061">
              <w:rPr>
                <w:rFonts w:asciiTheme="minorHAnsi" w:hAnsiTheme="minorHAnsi"/>
                <w:sz w:val="20"/>
              </w:rPr>
              <w:t xml:space="preserve">Nowe miejsca pracy brutto we wspartych  przedsiębiorstwach wyrażone w ekwiwalencie pełnego czasu pracy (EPC). </w:t>
            </w:r>
          </w:p>
          <w:p w:rsidR="00D9587E" w:rsidRPr="005A2061" w:rsidRDefault="00D9587E" w:rsidP="004E5A78">
            <w:pPr>
              <w:spacing w:line="240" w:lineRule="auto"/>
              <w:jc w:val="both"/>
              <w:rPr>
                <w:rFonts w:asciiTheme="minorHAnsi" w:hAnsiTheme="minorHAnsi"/>
                <w:sz w:val="20"/>
              </w:rPr>
            </w:pPr>
            <w:r w:rsidRPr="005A2061">
              <w:rPr>
                <w:rFonts w:asciiTheme="minorHAnsi" w:hAnsiTheme="minorHAnsi"/>
                <w:sz w:val="20"/>
              </w:rPr>
              <w:t xml:space="preserve">Wskaźnik ukazuje zmianę "przed-po" </w:t>
            </w:r>
            <w:r w:rsidRPr="005A2061">
              <w:rPr>
                <w:rFonts w:asciiTheme="minorHAnsi" w:hAnsiTheme="minorHAnsi"/>
                <w:sz w:val="20"/>
              </w:rPr>
              <w:br/>
              <w:t xml:space="preserve">i obejmuje część wzrostu zatrudnienia </w:t>
            </w:r>
            <w:r w:rsidRPr="005A2061">
              <w:rPr>
                <w:rFonts w:asciiTheme="minorHAnsi" w:hAnsiTheme="minorHAnsi"/>
                <w:sz w:val="20"/>
              </w:rPr>
              <w:br/>
              <w:t xml:space="preserve">w przedsiębiorstwie będącego bezpośrednim skutkiem zakończenia realizacji projektu (nie są wliczani pracownicy zatrudnieni do realizacji projektu). </w:t>
            </w:r>
          </w:p>
          <w:p w:rsidR="00D9587E" w:rsidRPr="005A2061" w:rsidRDefault="00D9587E" w:rsidP="004E5A78">
            <w:pPr>
              <w:spacing w:after="240" w:line="240" w:lineRule="auto"/>
              <w:jc w:val="both"/>
              <w:rPr>
                <w:rFonts w:asciiTheme="minorHAnsi" w:hAnsiTheme="minorHAnsi"/>
                <w:sz w:val="20"/>
              </w:rPr>
            </w:pPr>
            <w:r w:rsidRPr="005A2061">
              <w:rPr>
                <w:rFonts w:asciiTheme="minorHAnsi" w:hAnsiTheme="minorHAnsi"/>
                <w:sz w:val="20"/>
              </w:rPr>
              <w:t xml:space="preserve">Uwzględnia się obsadzone miejsca pracy (wakaty nie są liczone), które zwiększają łączną liczbę miejsc pracy </w:t>
            </w:r>
            <w:r w:rsidRPr="005A2061">
              <w:rPr>
                <w:rFonts w:asciiTheme="minorHAnsi" w:hAnsiTheme="minorHAnsi"/>
                <w:sz w:val="20"/>
              </w:rPr>
              <w:br/>
              <w:t xml:space="preserve">w przedsiębiorstwie. Brak wzrostu </w:t>
            </w:r>
            <w:r w:rsidRPr="005A2061">
              <w:rPr>
                <w:rFonts w:asciiTheme="minorHAnsi" w:hAnsiTheme="minorHAnsi"/>
                <w:sz w:val="20"/>
              </w:rPr>
              <w:br/>
              <w:t xml:space="preserve">w całkowitym zatrudnieniu </w:t>
            </w:r>
            <w:r w:rsidRPr="005A2061">
              <w:rPr>
                <w:rFonts w:asciiTheme="minorHAnsi" w:hAnsiTheme="minorHAnsi"/>
                <w:sz w:val="20"/>
              </w:rPr>
              <w:br/>
              <w:t>w przedsiębiorstwie oznacza, że wartość wskaźnika jest równa zero, co traktuje się jako wyrównanie miejsc pracy, a nie wzrost. Nie wlicza się miejsc pracy, np. utrzymanych dzięki realizacji projektu.</w:t>
            </w:r>
          </w:p>
          <w:p w:rsidR="00D9587E" w:rsidRPr="005A2061" w:rsidRDefault="00D9587E" w:rsidP="004E5A78">
            <w:pPr>
              <w:spacing w:after="240" w:line="240" w:lineRule="auto"/>
              <w:jc w:val="both"/>
              <w:rPr>
                <w:rFonts w:asciiTheme="minorHAnsi" w:hAnsiTheme="minorHAnsi"/>
                <w:sz w:val="20"/>
              </w:rPr>
            </w:pPr>
            <w:r w:rsidRPr="005A2061">
              <w:rPr>
                <w:rFonts w:asciiTheme="minorHAnsi" w:hAnsiTheme="minorHAnsi"/>
                <w:sz w:val="20"/>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5A2061">
              <w:rPr>
                <w:rFonts w:asciiTheme="minorHAnsi" w:hAnsiTheme="minorHAnsi"/>
                <w:sz w:val="20"/>
              </w:rPr>
              <w:br/>
              <w:t>w ramach projektu.</w:t>
            </w:r>
          </w:p>
          <w:p w:rsidR="00D9587E" w:rsidRPr="005A2061" w:rsidRDefault="00D9587E" w:rsidP="004E5A78">
            <w:pPr>
              <w:spacing w:line="240" w:lineRule="auto"/>
              <w:jc w:val="both"/>
              <w:rPr>
                <w:rFonts w:asciiTheme="minorHAnsi" w:hAnsiTheme="minorHAnsi"/>
                <w:i/>
                <w:sz w:val="20"/>
              </w:rPr>
            </w:pPr>
            <w:r w:rsidRPr="005A2061">
              <w:rPr>
                <w:rFonts w:asciiTheme="minorHAnsi" w:hAnsiTheme="minorHAnsi"/>
                <w:sz w:val="20"/>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5A2061">
              <w:rPr>
                <w:rFonts w:asciiTheme="minorHAnsi" w:hAnsiTheme="minorHAnsi"/>
                <w:sz w:val="20"/>
              </w:rPr>
              <w:br/>
              <w:t>z wykorzystaniem standardów ILO (Międzynarodowa Organizacja Pracy)/ statystycznych/innych.</w:t>
            </w:r>
            <w:r w:rsidRPr="005A2061">
              <w:rPr>
                <w:rFonts w:asciiTheme="minorHAnsi" w:hAnsiTheme="minorHAnsi"/>
                <w:i/>
                <w:sz w:val="20"/>
              </w:rPr>
              <w:t xml:space="preserve"> </w:t>
            </w:r>
          </w:p>
          <w:p w:rsidR="00D9587E" w:rsidRPr="005A2061" w:rsidRDefault="00D9587E" w:rsidP="004E5A78">
            <w:pPr>
              <w:spacing w:line="240" w:lineRule="auto"/>
              <w:jc w:val="both"/>
              <w:rPr>
                <w:rFonts w:asciiTheme="minorHAnsi" w:hAnsiTheme="minorHAnsi"/>
                <w:sz w:val="20"/>
                <w:lang w:val="en-US"/>
              </w:rPr>
            </w:pPr>
            <w:r w:rsidRPr="005A2061">
              <w:rPr>
                <w:rFonts w:asciiTheme="minorHAnsi" w:hAnsiTheme="minorHAnsi"/>
                <w:sz w:val="20"/>
                <w:lang w:val="en-US"/>
              </w:rPr>
              <w:lastRenderedPageBreak/>
              <w:t xml:space="preserve">Gross new working positions in supported enterprises in full time equivalents (FTE). </w:t>
            </w:r>
          </w:p>
          <w:p w:rsidR="00D9587E" w:rsidRPr="005A2061" w:rsidRDefault="00D9587E" w:rsidP="004E5A78">
            <w:pPr>
              <w:spacing w:line="240" w:lineRule="auto"/>
              <w:jc w:val="both"/>
              <w:rPr>
                <w:rFonts w:asciiTheme="minorHAnsi" w:hAnsiTheme="minorHAnsi"/>
                <w:sz w:val="20"/>
                <w:lang w:val="en-US"/>
              </w:rPr>
            </w:pPr>
            <w:r w:rsidRPr="005A2061">
              <w:rPr>
                <w:rFonts w:asciiTheme="minorHAnsi" w:hAnsiTheme="minorHAnsi"/>
                <w:sz w:val="20"/>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D9587E" w:rsidRPr="005A2061" w:rsidRDefault="00D9587E" w:rsidP="004E5A78">
            <w:pPr>
              <w:spacing w:before="120" w:line="240" w:lineRule="auto"/>
              <w:jc w:val="both"/>
              <w:rPr>
                <w:rFonts w:asciiTheme="minorHAnsi" w:hAnsiTheme="minorHAnsi"/>
                <w:sz w:val="20"/>
                <w:lang w:val="en-US"/>
              </w:rPr>
            </w:pPr>
            <w:r w:rsidRPr="005A2061">
              <w:rPr>
                <w:rFonts w:asciiTheme="minorHAnsi" w:hAnsiTheme="minorHAnsi"/>
                <w:sz w:val="20"/>
                <w:lang w:val="en-US"/>
              </w:rPr>
              <w:t xml:space="preserve">Gross: Not counting the origin of the jobholder as long as it directly contributes to the increase of total jobs in the </w:t>
            </w:r>
            <w:proofErr w:type="spellStart"/>
            <w:r w:rsidRPr="005A2061">
              <w:rPr>
                <w:rFonts w:asciiTheme="minorHAnsi" w:hAnsiTheme="minorHAnsi"/>
                <w:sz w:val="20"/>
                <w:lang w:val="en-US"/>
              </w:rPr>
              <w:t>organisation</w:t>
            </w:r>
            <w:proofErr w:type="spellEnd"/>
            <w:r w:rsidRPr="005A2061">
              <w:rPr>
                <w:rFonts w:asciiTheme="minorHAnsi" w:hAnsiTheme="minorHAnsi"/>
                <w:sz w:val="20"/>
                <w:lang w:val="en-US"/>
              </w:rPr>
              <w:t xml:space="preserve">. The indicator should be used if the employment increase can plausibly be attributed to the support. </w:t>
            </w:r>
          </w:p>
          <w:p w:rsidR="00D9587E" w:rsidRPr="005A2061" w:rsidRDefault="00D9587E" w:rsidP="004E5A78">
            <w:pPr>
              <w:spacing w:before="120" w:line="240" w:lineRule="auto"/>
              <w:jc w:val="both"/>
              <w:rPr>
                <w:rFonts w:asciiTheme="minorHAnsi" w:hAnsiTheme="minorHAnsi"/>
                <w:sz w:val="20"/>
                <w:lang w:val="en-US"/>
              </w:rPr>
            </w:pPr>
            <w:r w:rsidRPr="005A2061">
              <w:rPr>
                <w:rFonts w:asciiTheme="minorHAnsi" w:hAnsiTheme="minorHAnsi"/>
                <w:sz w:val="20"/>
                <w:lang w:val="en-US"/>
              </w:rPr>
              <w:t xml:space="preserve">Full-time equivalent: Jobs can be full time, </w:t>
            </w:r>
            <w:proofErr w:type="spellStart"/>
            <w:r w:rsidRPr="005A2061">
              <w:rPr>
                <w:rFonts w:asciiTheme="minorHAnsi" w:hAnsiTheme="minorHAnsi"/>
                <w:sz w:val="20"/>
                <w:lang w:val="en-US"/>
              </w:rPr>
              <w:t>parttime</w:t>
            </w:r>
            <w:proofErr w:type="spellEnd"/>
            <w:r w:rsidRPr="005A2061">
              <w:rPr>
                <w:rFonts w:asciiTheme="minorHAnsi" w:hAnsiTheme="minorHAnsi"/>
                <w:sz w:val="20"/>
                <w:lang w:val="en-US"/>
              </w:rPr>
              <w:t xml:space="preserve"> or seasonal. Seasonal and part time jobs are to be converted to FTE using ILO/statistical/other standards. </w:t>
            </w:r>
          </w:p>
        </w:tc>
        <w:tc>
          <w:tcPr>
            <w:tcW w:w="1049" w:type="pct"/>
          </w:tcPr>
          <w:p w:rsidR="00D9587E" w:rsidRPr="005A2061" w:rsidRDefault="00D9587E" w:rsidP="004E5A78">
            <w:pPr>
              <w:spacing w:line="240" w:lineRule="auto"/>
              <w:jc w:val="both"/>
              <w:rPr>
                <w:rFonts w:asciiTheme="minorHAnsi" w:hAnsiTheme="minorHAnsi"/>
                <w:sz w:val="20"/>
              </w:rPr>
            </w:pPr>
            <w:r w:rsidRPr="005A2061">
              <w:rPr>
                <w:rFonts w:asciiTheme="minorHAnsi" w:hAnsiTheme="minorHAnsi"/>
                <w:sz w:val="20"/>
              </w:rPr>
              <w:lastRenderedPageBreak/>
              <w:t>RPO WD 2014-2020</w:t>
            </w:r>
          </w:p>
        </w:tc>
      </w:tr>
      <w:tr w:rsidR="00D9587E" w:rsidRPr="005A2061" w:rsidTr="004E5A78">
        <w:trPr>
          <w:trHeight w:val="20"/>
          <w:jc w:val="center"/>
        </w:trPr>
        <w:tc>
          <w:tcPr>
            <w:tcW w:w="1189" w:type="pct"/>
            <w:shd w:val="clear" w:color="auto" w:fill="auto"/>
          </w:tcPr>
          <w:p w:rsidR="00D9587E" w:rsidRPr="005A2061" w:rsidRDefault="00D9587E" w:rsidP="004E5A78">
            <w:pPr>
              <w:pStyle w:val="Default"/>
              <w:rPr>
                <w:rFonts w:asciiTheme="minorHAnsi" w:hAnsiTheme="minorHAnsi" w:cs="ArialNarrow"/>
              </w:rPr>
            </w:pPr>
            <w:r w:rsidRPr="005A2061">
              <w:rPr>
                <w:rFonts w:asciiTheme="minorHAnsi" w:hAnsiTheme="minorHAnsi" w:cs="ArialNarrow"/>
              </w:rPr>
              <w:lastRenderedPageBreak/>
              <w:t>Wzrost zatrudnienia we wspieranych podmiotach (innych niż przedsiębiorstwa)</w:t>
            </w:r>
          </w:p>
          <w:p w:rsidR="00D9587E" w:rsidRPr="005A2061" w:rsidRDefault="00D9587E" w:rsidP="004E5A78">
            <w:pPr>
              <w:pStyle w:val="Default"/>
              <w:rPr>
                <w:rFonts w:asciiTheme="minorHAnsi" w:hAnsiTheme="minorHAnsi" w:cs="ArialNarrow"/>
              </w:rPr>
            </w:pPr>
            <w:r w:rsidRPr="005A2061">
              <w:rPr>
                <w:rFonts w:asciiTheme="minorHAnsi" w:hAnsiTheme="minorHAnsi" w:cs="ArialNarrow"/>
              </w:rPr>
              <w:t>O/K/M</w:t>
            </w:r>
          </w:p>
        </w:tc>
        <w:tc>
          <w:tcPr>
            <w:tcW w:w="701" w:type="pct"/>
          </w:tcPr>
          <w:p w:rsidR="00D9587E" w:rsidRPr="005A2061" w:rsidRDefault="00D9587E" w:rsidP="004E5A78">
            <w:pPr>
              <w:spacing w:before="0" w:line="240" w:lineRule="auto"/>
              <w:rPr>
                <w:rFonts w:asciiTheme="minorHAnsi" w:hAnsiTheme="minorHAnsi" w:cs="ArialNarrow"/>
                <w:sz w:val="20"/>
              </w:rPr>
            </w:pPr>
            <w:r w:rsidRPr="005A2061">
              <w:rPr>
                <w:rFonts w:asciiTheme="minorHAnsi" w:hAnsiTheme="minorHAnsi" w:cs="ArialNarrow"/>
                <w:sz w:val="20"/>
              </w:rPr>
              <w:t>EPC</w:t>
            </w:r>
          </w:p>
        </w:tc>
        <w:tc>
          <w:tcPr>
            <w:tcW w:w="2061" w:type="pct"/>
            <w:shd w:val="clear" w:color="auto" w:fill="auto"/>
            <w:vAlign w:val="center"/>
          </w:tcPr>
          <w:p w:rsidR="00D9587E" w:rsidRPr="005A2061" w:rsidRDefault="00D9587E" w:rsidP="004E5A78">
            <w:pPr>
              <w:spacing w:line="240" w:lineRule="auto"/>
              <w:jc w:val="both"/>
              <w:rPr>
                <w:rFonts w:asciiTheme="minorHAnsi" w:hAnsiTheme="minorHAnsi"/>
                <w:color w:val="333399"/>
                <w:sz w:val="20"/>
              </w:rPr>
            </w:pPr>
            <w:r w:rsidRPr="005A2061">
              <w:rPr>
                <w:rFonts w:asciiTheme="minorHAnsi" w:eastAsiaTheme="minorHAnsi" w:hAnsiTheme="minorHAnsi" w:cstheme="minorBidi"/>
                <w:sz w:val="20"/>
                <w:lang w:eastAsia="en-US"/>
              </w:rPr>
              <w:t>Definicja jak wyżej w odniesieniu do podmiotów innych niż przedsiębiorstwa</w:t>
            </w:r>
          </w:p>
        </w:tc>
        <w:tc>
          <w:tcPr>
            <w:tcW w:w="1049" w:type="pct"/>
          </w:tcPr>
          <w:p w:rsidR="00D9587E" w:rsidRPr="005A2061" w:rsidRDefault="00D9587E" w:rsidP="004E5A78">
            <w:pPr>
              <w:spacing w:line="240" w:lineRule="auto"/>
              <w:jc w:val="both"/>
              <w:rPr>
                <w:rFonts w:asciiTheme="minorHAnsi" w:hAnsiTheme="minorHAnsi"/>
                <w:sz w:val="20"/>
              </w:rPr>
            </w:pPr>
            <w:r w:rsidRPr="005A2061">
              <w:rPr>
                <w:rFonts w:asciiTheme="minorHAnsi" w:hAnsiTheme="minorHAnsi"/>
                <w:sz w:val="20"/>
              </w:rPr>
              <w:t>horyzontalny</w:t>
            </w:r>
          </w:p>
        </w:tc>
      </w:tr>
      <w:tr w:rsidR="00D9587E" w:rsidRPr="005A2061" w:rsidTr="004E5A78">
        <w:trPr>
          <w:trHeight w:val="20"/>
          <w:jc w:val="center"/>
        </w:trPr>
        <w:tc>
          <w:tcPr>
            <w:tcW w:w="1189" w:type="pct"/>
            <w:shd w:val="clear" w:color="auto" w:fill="auto"/>
          </w:tcPr>
          <w:p w:rsidR="00D9587E" w:rsidRPr="005A2061" w:rsidRDefault="00D9587E" w:rsidP="004E5A78">
            <w:pPr>
              <w:pStyle w:val="Default"/>
              <w:rPr>
                <w:rFonts w:asciiTheme="minorHAnsi" w:hAnsiTheme="minorHAnsi" w:cs="ArialNarrow"/>
              </w:rPr>
            </w:pPr>
            <w:r w:rsidRPr="005A2061">
              <w:rPr>
                <w:rFonts w:asciiTheme="minorHAnsi" w:hAnsiTheme="minorHAnsi" w:cs="ArialNarrow"/>
              </w:rPr>
              <w:t>Liczba utrzymanych miejsc pracy</w:t>
            </w:r>
          </w:p>
        </w:tc>
        <w:tc>
          <w:tcPr>
            <w:tcW w:w="701" w:type="pct"/>
          </w:tcPr>
          <w:p w:rsidR="00D9587E" w:rsidRPr="005A2061" w:rsidRDefault="00D9587E" w:rsidP="004E5A78">
            <w:pPr>
              <w:spacing w:before="0" w:line="240" w:lineRule="auto"/>
              <w:rPr>
                <w:rFonts w:asciiTheme="minorHAnsi" w:hAnsiTheme="minorHAnsi" w:cs="ArialNarrow"/>
                <w:sz w:val="20"/>
              </w:rPr>
            </w:pPr>
            <w:r w:rsidRPr="005A2061">
              <w:rPr>
                <w:rFonts w:asciiTheme="minorHAnsi" w:hAnsiTheme="minorHAnsi" w:cs="ArialNarrow"/>
                <w:sz w:val="20"/>
              </w:rPr>
              <w:t>EPC</w:t>
            </w:r>
          </w:p>
        </w:tc>
        <w:tc>
          <w:tcPr>
            <w:tcW w:w="2061" w:type="pct"/>
            <w:shd w:val="clear" w:color="auto" w:fill="auto"/>
            <w:vAlign w:val="center"/>
          </w:tcPr>
          <w:p w:rsidR="00D9587E" w:rsidRPr="005A2061" w:rsidRDefault="00D9587E" w:rsidP="004E5A78">
            <w:pPr>
              <w:autoSpaceDE w:val="0"/>
              <w:autoSpaceDN w:val="0"/>
              <w:adjustRightInd w:val="0"/>
              <w:spacing w:before="0" w:line="240" w:lineRule="auto"/>
              <w:jc w:val="both"/>
              <w:rPr>
                <w:rFonts w:asciiTheme="minorHAnsi" w:eastAsiaTheme="minorHAnsi" w:hAnsiTheme="minorHAnsi" w:cstheme="minorBidi"/>
                <w:sz w:val="20"/>
                <w:lang w:eastAsia="en-US"/>
              </w:rPr>
            </w:pPr>
            <w:r w:rsidRPr="005A2061">
              <w:rPr>
                <w:rFonts w:asciiTheme="minorHAnsi" w:eastAsiaTheme="minorHAnsi" w:hAnsiTheme="minorHAnsi" w:cstheme="minorBidi"/>
                <w:sz w:val="20"/>
                <w:lang w:eastAsia="en-US"/>
              </w:rPr>
              <w:t>Miejsca pracy utworzone w wyniku realizacji projektu, lecz nie powodują wzrostu zatrudnienia w organizacji</w:t>
            </w:r>
          </w:p>
          <w:p w:rsidR="00D9587E" w:rsidRPr="005A2061" w:rsidRDefault="00D9587E" w:rsidP="004E5A78">
            <w:pPr>
              <w:spacing w:line="240" w:lineRule="auto"/>
              <w:jc w:val="both"/>
              <w:rPr>
                <w:rFonts w:asciiTheme="minorHAnsi" w:hAnsiTheme="minorHAnsi"/>
                <w:color w:val="333399"/>
                <w:sz w:val="20"/>
              </w:rPr>
            </w:pPr>
          </w:p>
        </w:tc>
        <w:tc>
          <w:tcPr>
            <w:tcW w:w="1049" w:type="pct"/>
          </w:tcPr>
          <w:p w:rsidR="00D9587E" w:rsidRPr="005A2061" w:rsidRDefault="00D9587E" w:rsidP="004E5A78">
            <w:pPr>
              <w:spacing w:line="240" w:lineRule="auto"/>
              <w:jc w:val="both"/>
              <w:rPr>
                <w:rFonts w:asciiTheme="minorHAnsi" w:hAnsiTheme="minorHAnsi"/>
                <w:sz w:val="20"/>
              </w:rPr>
            </w:pPr>
            <w:r w:rsidRPr="005A2061">
              <w:rPr>
                <w:rFonts w:asciiTheme="minorHAnsi" w:hAnsiTheme="minorHAnsi"/>
                <w:sz w:val="20"/>
              </w:rPr>
              <w:t>horyzontalny</w:t>
            </w:r>
          </w:p>
        </w:tc>
      </w:tr>
      <w:tr w:rsidR="00D9587E" w:rsidRPr="005A2061" w:rsidTr="004E5A78">
        <w:trPr>
          <w:trHeight w:val="20"/>
          <w:jc w:val="center"/>
        </w:trPr>
        <w:tc>
          <w:tcPr>
            <w:tcW w:w="1189" w:type="pct"/>
            <w:shd w:val="clear" w:color="auto" w:fill="auto"/>
          </w:tcPr>
          <w:p w:rsidR="00D9587E" w:rsidRPr="005A2061" w:rsidRDefault="00D9587E" w:rsidP="004E5A78">
            <w:pPr>
              <w:pStyle w:val="Default"/>
              <w:rPr>
                <w:rFonts w:asciiTheme="minorHAnsi" w:hAnsiTheme="minorHAnsi" w:cs="ArialNarrow"/>
              </w:rPr>
            </w:pPr>
            <w:r w:rsidRPr="005A2061">
              <w:rPr>
                <w:rFonts w:asciiTheme="minorHAnsi" w:hAnsiTheme="minorHAnsi" w:cs="ArialNarrow"/>
              </w:rPr>
              <w:t xml:space="preserve">Liczba nowo utworzonych miejsc pracy - pozostałe formy </w:t>
            </w:r>
          </w:p>
        </w:tc>
        <w:tc>
          <w:tcPr>
            <w:tcW w:w="701" w:type="pct"/>
          </w:tcPr>
          <w:p w:rsidR="00D9587E" w:rsidRPr="005A2061" w:rsidRDefault="00D9587E" w:rsidP="004E5A78">
            <w:pPr>
              <w:spacing w:before="0" w:line="240" w:lineRule="auto"/>
              <w:rPr>
                <w:rFonts w:asciiTheme="minorHAnsi" w:hAnsiTheme="minorHAnsi" w:cs="ArialNarrow"/>
                <w:sz w:val="20"/>
              </w:rPr>
            </w:pPr>
            <w:r w:rsidRPr="005A2061">
              <w:rPr>
                <w:rFonts w:asciiTheme="minorHAnsi" w:hAnsiTheme="minorHAnsi" w:cs="ArialNarrow"/>
                <w:sz w:val="20"/>
              </w:rPr>
              <w:t>EPC</w:t>
            </w:r>
          </w:p>
        </w:tc>
        <w:tc>
          <w:tcPr>
            <w:tcW w:w="2061" w:type="pct"/>
            <w:shd w:val="clear" w:color="auto" w:fill="auto"/>
            <w:vAlign w:val="center"/>
          </w:tcPr>
          <w:p w:rsidR="00D9587E" w:rsidRPr="005A2061" w:rsidRDefault="00D9587E" w:rsidP="004E5A78">
            <w:pPr>
              <w:autoSpaceDE w:val="0"/>
              <w:autoSpaceDN w:val="0"/>
              <w:adjustRightInd w:val="0"/>
              <w:spacing w:before="0" w:line="240" w:lineRule="auto"/>
              <w:jc w:val="both"/>
              <w:rPr>
                <w:rFonts w:asciiTheme="minorHAnsi" w:eastAsiaTheme="minorHAnsi" w:hAnsiTheme="minorHAnsi" w:cs="Verdana"/>
                <w:sz w:val="20"/>
                <w:lang w:eastAsia="en-US"/>
              </w:rPr>
            </w:pPr>
            <w:r w:rsidRPr="005A2061">
              <w:rPr>
                <w:rFonts w:asciiTheme="minorHAnsi" w:eastAsiaTheme="minorHAnsi" w:hAnsiTheme="minorHAnsi" w:cstheme="minorBidi"/>
                <w:iCs/>
                <w:sz w:val="20"/>
                <w:lang w:eastAsia="en-US"/>
              </w:rPr>
              <w:t>Pozostałe formy</w:t>
            </w:r>
            <w:r w:rsidRPr="005A2061">
              <w:rPr>
                <w:rFonts w:asciiTheme="minorHAnsi" w:eastAsiaTheme="minorHAnsi" w:hAnsiTheme="minorHAnsi" w:cs="Verdana"/>
                <w:sz w:val="20"/>
                <w:lang w:eastAsia="en-US"/>
              </w:rPr>
              <w:t xml:space="preserve">, np. umowy cywilnoprawne, miejsca pracy do obsługi projektu, nietrwałe miejsca pracy </w:t>
            </w:r>
          </w:p>
          <w:p w:rsidR="00D9587E" w:rsidRPr="005A2061" w:rsidRDefault="00D9587E" w:rsidP="004E5A78">
            <w:pPr>
              <w:spacing w:line="240" w:lineRule="auto"/>
              <w:jc w:val="both"/>
              <w:rPr>
                <w:rFonts w:asciiTheme="minorHAnsi" w:hAnsiTheme="minorHAnsi"/>
                <w:color w:val="333399"/>
                <w:sz w:val="20"/>
              </w:rPr>
            </w:pPr>
          </w:p>
        </w:tc>
        <w:tc>
          <w:tcPr>
            <w:tcW w:w="1049" w:type="pct"/>
          </w:tcPr>
          <w:p w:rsidR="00D9587E" w:rsidRPr="005A2061" w:rsidRDefault="00D9587E" w:rsidP="004E5A78">
            <w:pPr>
              <w:spacing w:line="240" w:lineRule="auto"/>
              <w:jc w:val="both"/>
              <w:rPr>
                <w:rFonts w:asciiTheme="minorHAnsi" w:hAnsiTheme="minorHAnsi"/>
                <w:sz w:val="20"/>
              </w:rPr>
            </w:pPr>
            <w:r w:rsidRPr="005A2061">
              <w:rPr>
                <w:rFonts w:asciiTheme="minorHAnsi" w:hAnsiTheme="minorHAnsi"/>
                <w:sz w:val="20"/>
              </w:rPr>
              <w:t>horyzontalny</w:t>
            </w:r>
          </w:p>
        </w:tc>
      </w:tr>
    </w:tbl>
    <w:p w:rsidR="00F50A55" w:rsidRPr="00F50A55" w:rsidRDefault="00F50A55" w:rsidP="00F50A55">
      <w:pPr>
        <w:spacing w:line="240" w:lineRule="auto"/>
        <w:jc w:val="both"/>
        <w:rPr>
          <w:rFonts w:asciiTheme="minorHAnsi" w:hAnsiTheme="minorHAnsi" w:cs="Arial"/>
          <w:szCs w:val="22"/>
        </w:rPr>
      </w:pPr>
      <w:r w:rsidRPr="00F50A55">
        <w:rPr>
          <w:rFonts w:asciiTheme="minorHAnsi" w:hAnsiTheme="minorHAnsi" w:cs="Arial"/>
          <w:szCs w:val="22"/>
        </w:rPr>
        <w:t xml:space="preserve">Zgodnie z Uchwałą nr 43 KM RPO WD z dnia 20 października 2016 r. w sprawie zatwierdzenia kryteriów wyboru projektów, w przypadku braku wskaźników wynikających z Porozumienia w kryterium nr 2  (weryfikowanym na etapie oceny zgodności ze Strategią ZIT </w:t>
      </w:r>
      <w:proofErr w:type="spellStart"/>
      <w:r w:rsidRPr="00F50A55">
        <w:rPr>
          <w:rFonts w:asciiTheme="minorHAnsi" w:hAnsiTheme="minorHAnsi" w:cs="Arial"/>
          <w:szCs w:val="22"/>
        </w:rPr>
        <w:t>WrOF</w:t>
      </w:r>
      <w:proofErr w:type="spellEnd"/>
      <w:r w:rsidRPr="00F50A55">
        <w:rPr>
          <w:rFonts w:asciiTheme="minorHAnsi" w:hAnsiTheme="minorHAnsi" w:cs="Arial"/>
          <w:szCs w:val="22"/>
        </w:rPr>
        <w:t xml:space="preserve"> ) będą brane pod uwagę inne adekwatne dla danego naboru wskaźniki określone w Regulaminie konkursu, </w:t>
      </w:r>
      <w:proofErr w:type="spellStart"/>
      <w:r w:rsidRPr="00F50A55">
        <w:rPr>
          <w:rFonts w:asciiTheme="minorHAnsi" w:hAnsiTheme="minorHAnsi" w:cs="Arial"/>
          <w:szCs w:val="22"/>
        </w:rPr>
        <w:t>tj</w:t>
      </w:r>
      <w:proofErr w:type="spellEnd"/>
      <w:r w:rsidRPr="00F50A55">
        <w:rPr>
          <w:rFonts w:asciiTheme="minorHAnsi" w:hAnsiTheme="minorHAnsi" w:cs="Arial"/>
          <w:szCs w:val="22"/>
        </w:rPr>
        <w:t>,:</w:t>
      </w:r>
    </w:p>
    <w:p w:rsidR="00EF0701" w:rsidRPr="009313DB" w:rsidRDefault="00F50A55" w:rsidP="00F50A55">
      <w:pPr>
        <w:spacing w:line="240" w:lineRule="auto"/>
        <w:rPr>
          <w:rFonts w:asciiTheme="minorHAnsi" w:hAnsiTheme="minorHAnsi" w:cs="Arial"/>
          <w:szCs w:val="22"/>
        </w:rPr>
      </w:pPr>
      <w:r w:rsidRPr="00F50A55">
        <w:rPr>
          <w:rFonts w:asciiTheme="minorHAnsi" w:hAnsiTheme="minorHAnsi" w:cs="Arial"/>
          <w:szCs w:val="22"/>
        </w:rPr>
        <w:t xml:space="preserve"> - Liczba przebudowanych / odnowionych dworców kolejowych [szt.]</w:t>
      </w: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w:t>
      </w:r>
      <w:r w:rsidR="008522A0">
        <w:rPr>
          <w:rFonts w:asciiTheme="minorHAnsi" w:eastAsiaTheme="minorHAnsi" w:hAnsiTheme="minorHAnsi" w:cs="Arial"/>
          <w:szCs w:val="22"/>
          <w:lang w:eastAsia="en-US"/>
        </w:rPr>
        <w:t xml:space="preserve"> </w:t>
      </w:r>
      <w:r w:rsidR="008522A0" w:rsidRPr="00A213BE">
        <w:rPr>
          <w:rFonts w:asciiTheme="minorHAnsi" w:eastAsiaTheme="minorHAnsi" w:hAnsiTheme="minorHAnsi" w:cs="Arial"/>
          <w:szCs w:val="22"/>
          <w:lang w:eastAsia="en-US"/>
        </w:rPr>
        <w:t>oraz rezultatu bezpośredniego</w:t>
      </w:r>
      <w:r w:rsidR="008522A0">
        <w:rPr>
          <w:rFonts w:asciiTheme="minorHAnsi" w:eastAsiaTheme="minorHAnsi" w:hAnsiTheme="minorHAnsi" w:cs="Arial"/>
          <w:szCs w:val="22"/>
          <w:lang w:eastAsia="en-US"/>
        </w:rPr>
        <w:t xml:space="preserve">, </w:t>
      </w:r>
      <w:r w:rsidRPr="009313DB">
        <w:rPr>
          <w:rFonts w:asciiTheme="minorHAnsi" w:eastAsiaTheme="minorHAnsi" w:hAnsiTheme="minorHAnsi" w:cs="Arial"/>
          <w:szCs w:val="22"/>
          <w:lang w:eastAsia="en-US"/>
        </w:rPr>
        <w:t>z listy przedstawionej w powyższ</w:t>
      </w:r>
      <w:r w:rsidR="008522A0">
        <w:rPr>
          <w:rFonts w:asciiTheme="minorHAnsi" w:eastAsiaTheme="minorHAnsi" w:hAnsiTheme="minorHAnsi" w:cs="Arial"/>
          <w:szCs w:val="22"/>
          <w:lang w:eastAsia="en-US"/>
        </w:rPr>
        <w:t>ych</w:t>
      </w:r>
      <w:r w:rsidRPr="009313DB">
        <w:rPr>
          <w:rFonts w:asciiTheme="minorHAnsi" w:eastAsiaTheme="minorHAnsi" w:hAnsiTheme="minorHAnsi" w:cs="Arial"/>
          <w:szCs w:val="22"/>
          <w:lang w:eastAsia="en-US"/>
        </w:rPr>
        <w:t xml:space="preserve"> tabel</w:t>
      </w:r>
      <w:r w:rsidR="008522A0">
        <w:rPr>
          <w:rFonts w:asciiTheme="minorHAnsi" w:eastAsiaTheme="minorHAnsi" w:hAnsiTheme="minorHAnsi" w:cs="Arial"/>
          <w:szCs w:val="22"/>
          <w:lang w:eastAsia="en-US"/>
        </w:rPr>
        <w:t>ach</w:t>
      </w:r>
      <w:r w:rsidRPr="009313DB">
        <w:rPr>
          <w:rFonts w:asciiTheme="minorHAnsi" w:eastAsiaTheme="minorHAnsi" w:hAnsiTheme="minorHAnsi" w:cs="Arial"/>
          <w:szCs w:val="22"/>
          <w:lang w:eastAsia="en-US"/>
        </w:rPr>
        <w:t xml:space="preserve">, odpowiadające celowi projektu. </w:t>
      </w:r>
      <w:r w:rsidRPr="009313D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EF0701" w:rsidRPr="009313DB" w:rsidRDefault="00EF0701" w:rsidP="00EF0701">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lastRenderedPageBreak/>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EF0701" w:rsidRPr="009313DB" w:rsidRDefault="00EF0701" w:rsidP="00EF0701">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EF0701" w:rsidRPr="009313DB"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8522A0"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w:t>
      </w:r>
      <w:r>
        <w:rPr>
          <w:rFonts w:asciiTheme="minorHAnsi" w:hAnsiTheme="minorHAnsi" w:cs="Arial"/>
          <w:b/>
          <w:szCs w:val="22"/>
          <w:u w:val="single"/>
        </w:rPr>
        <w:t>decyzji</w:t>
      </w:r>
      <w:r w:rsidRPr="009313DB">
        <w:rPr>
          <w:rFonts w:asciiTheme="minorHAnsi" w:hAnsiTheme="minorHAnsi" w:cs="Arial"/>
          <w:b/>
          <w:szCs w:val="22"/>
          <w:u w:val="single"/>
        </w:rPr>
        <w:t xml:space="preserve"> o dofinansowanie projektu nie wskazano inaczej, efekt wsparcia </w:t>
      </w:r>
      <w:r>
        <w:rPr>
          <w:rFonts w:asciiTheme="minorHAnsi" w:hAnsiTheme="minorHAnsi" w:cs="Arial"/>
          <w:b/>
          <w:szCs w:val="22"/>
          <w:u w:val="single"/>
        </w:rPr>
        <w:t>na poziomie projektu występuje</w:t>
      </w:r>
      <w:r w:rsidR="008522A0">
        <w:rPr>
          <w:rFonts w:asciiTheme="minorHAnsi" w:hAnsiTheme="minorHAnsi" w:cs="Arial"/>
          <w:b/>
          <w:szCs w:val="22"/>
          <w:u w:val="single"/>
        </w:rPr>
        <w:t>:</w:t>
      </w:r>
    </w:p>
    <w:p w:rsidR="00EF0701" w:rsidRPr="009313DB" w:rsidRDefault="008522A0" w:rsidP="00EF0701">
      <w:pPr>
        <w:spacing w:line="240" w:lineRule="auto"/>
        <w:jc w:val="both"/>
        <w:rPr>
          <w:rFonts w:asciiTheme="minorHAnsi" w:hAnsiTheme="minorHAnsi" w:cs="Arial"/>
          <w:b/>
          <w:szCs w:val="22"/>
          <w:u w:val="single"/>
        </w:rPr>
      </w:pPr>
      <w:r>
        <w:rPr>
          <w:rFonts w:asciiTheme="minorHAnsi" w:hAnsiTheme="minorHAnsi" w:cs="Arial"/>
          <w:b/>
          <w:szCs w:val="22"/>
          <w:u w:val="single"/>
        </w:rPr>
        <w:t xml:space="preserve">a) </w:t>
      </w:r>
      <w:r w:rsidR="00EF0701" w:rsidRPr="009313DB">
        <w:rPr>
          <w:rFonts w:asciiTheme="minorHAnsi" w:hAnsiTheme="minorHAnsi" w:cs="Arial"/>
          <w:b/>
          <w:szCs w:val="22"/>
          <w:u w:val="single"/>
        </w:rPr>
        <w:t>w przypadku wskaźników produktu – w okresie od pod</w:t>
      </w:r>
      <w:r w:rsidR="00EF0701">
        <w:rPr>
          <w:rFonts w:asciiTheme="minorHAnsi" w:hAnsiTheme="minorHAnsi" w:cs="Arial"/>
          <w:b/>
          <w:szCs w:val="22"/>
          <w:u w:val="single"/>
        </w:rPr>
        <w:t>jęcia</w:t>
      </w:r>
      <w:r w:rsidR="00EF0701" w:rsidRPr="009313DB">
        <w:rPr>
          <w:rFonts w:asciiTheme="minorHAnsi" w:hAnsiTheme="minorHAnsi" w:cs="Arial"/>
          <w:b/>
          <w:szCs w:val="22"/>
          <w:u w:val="single"/>
        </w:rPr>
        <w:t xml:space="preserve"> </w:t>
      </w:r>
      <w:r w:rsidR="00EF0701">
        <w:rPr>
          <w:rFonts w:asciiTheme="minorHAnsi" w:hAnsiTheme="minorHAnsi" w:cs="Arial"/>
          <w:b/>
          <w:szCs w:val="22"/>
          <w:u w:val="single"/>
        </w:rPr>
        <w:t xml:space="preserve">decyzji </w:t>
      </w:r>
      <w:r w:rsidR="00EF0701" w:rsidRPr="009313DB">
        <w:rPr>
          <w:rFonts w:asciiTheme="minorHAnsi" w:hAnsiTheme="minorHAnsi" w:cs="Arial"/>
          <w:b/>
          <w:szCs w:val="22"/>
          <w:u w:val="single"/>
        </w:rPr>
        <w:t>o dofinansowani</w:t>
      </w:r>
      <w:r w:rsidR="00EF0701">
        <w:rPr>
          <w:rFonts w:asciiTheme="minorHAnsi" w:hAnsiTheme="minorHAnsi" w:cs="Arial"/>
          <w:b/>
          <w:szCs w:val="22"/>
          <w:u w:val="single"/>
        </w:rPr>
        <w:t>u</w:t>
      </w:r>
      <w:r w:rsidR="00EF0701" w:rsidRPr="009313DB">
        <w:rPr>
          <w:rFonts w:asciiTheme="minorHAnsi" w:hAnsiTheme="minorHAnsi" w:cs="Arial"/>
          <w:b/>
          <w:szCs w:val="22"/>
          <w:u w:val="single"/>
        </w:rPr>
        <w:t>, przy czym osiągnięte wartości powinny zostać wykazane najpóźniej</w:t>
      </w:r>
      <w:r w:rsidR="00EF0701">
        <w:rPr>
          <w:rFonts w:asciiTheme="minorHAnsi" w:hAnsiTheme="minorHAnsi" w:cs="Arial"/>
          <w:b/>
          <w:szCs w:val="22"/>
          <w:u w:val="single"/>
        </w:rPr>
        <w:t xml:space="preserve"> we wniosku o płatność końcową</w:t>
      </w:r>
      <w:r>
        <w:rPr>
          <w:rFonts w:asciiTheme="minorHAnsi" w:hAnsiTheme="minorHAnsi" w:cs="Arial"/>
          <w:b/>
          <w:szCs w:val="22"/>
          <w:u w:val="single"/>
        </w:rPr>
        <w:t>,</w:t>
      </w:r>
    </w:p>
    <w:p w:rsidR="008522A0" w:rsidRPr="00A213BE" w:rsidRDefault="008522A0" w:rsidP="008522A0">
      <w:pPr>
        <w:spacing w:line="240" w:lineRule="auto"/>
        <w:jc w:val="both"/>
        <w:rPr>
          <w:rFonts w:asciiTheme="minorHAnsi" w:hAnsiTheme="minorHAnsi" w:cs="Arial"/>
          <w:b/>
          <w:u w:val="single"/>
        </w:rPr>
      </w:pPr>
      <w:r w:rsidRPr="00A213BE">
        <w:rPr>
          <w:rFonts w:asciiTheme="minorHAnsi" w:hAnsiTheme="minorHAnsi" w:cs="Arial"/>
          <w:b/>
          <w:u w:val="single"/>
        </w:rPr>
        <w:t xml:space="preserve">b) w przypadku wskaźników rezultatu określonych na poziomie projektu: </w:t>
      </w:r>
    </w:p>
    <w:p w:rsidR="008522A0" w:rsidRPr="00A213BE" w:rsidRDefault="008522A0" w:rsidP="008522A0">
      <w:pPr>
        <w:pStyle w:val="Akapitzlist"/>
        <w:numPr>
          <w:ilvl w:val="0"/>
          <w:numId w:val="6"/>
        </w:numPr>
        <w:spacing w:before="0" w:after="200" w:line="240" w:lineRule="auto"/>
        <w:ind w:left="1080"/>
        <w:contextualSpacing/>
        <w:jc w:val="both"/>
        <w:rPr>
          <w:rFonts w:asciiTheme="minorHAnsi" w:hAnsiTheme="minorHAnsi" w:cs="Arial"/>
          <w:b/>
          <w:u w:val="single"/>
        </w:rPr>
      </w:pPr>
      <w:r w:rsidRPr="00A213BE">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8522A0" w:rsidRPr="00A213BE" w:rsidRDefault="008522A0" w:rsidP="008522A0">
      <w:pPr>
        <w:spacing w:line="240" w:lineRule="auto"/>
        <w:rPr>
          <w:rFonts w:asciiTheme="minorHAnsi" w:hAnsiTheme="minorHAnsi"/>
          <w:szCs w:val="22"/>
        </w:rPr>
      </w:pPr>
    </w:p>
    <w:p w:rsidR="006069D8" w:rsidRPr="009313DB" w:rsidRDefault="006069D8" w:rsidP="00EF0701">
      <w:pPr>
        <w:spacing w:line="240" w:lineRule="auto"/>
        <w:jc w:val="both"/>
        <w:rPr>
          <w:rFonts w:asciiTheme="minorHAnsi" w:hAnsiTheme="minorHAnsi"/>
          <w:szCs w:val="22"/>
        </w:rPr>
      </w:pPr>
    </w:p>
    <w:sectPr w:rsidR="006069D8" w:rsidRPr="009313DB" w:rsidSect="00E5693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02" w:rsidRDefault="00F71002" w:rsidP="008C495E">
      <w:pPr>
        <w:spacing w:before="0" w:line="240" w:lineRule="auto"/>
      </w:pPr>
      <w:r>
        <w:separator/>
      </w:r>
    </w:p>
  </w:endnote>
  <w:endnote w:type="continuationSeparator" w:id="0">
    <w:p w:rsidR="00F71002" w:rsidRDefault="00F71002"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49565A">
          <w:rPr>
            <w:noProof/>
          </w:rPr>
          <w:t>7</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02" w:rsidRDefault="00F71002" w:rsidP="008C495E">
      <w:pPr>
        <w:spacing w:before="0" w:line="240" w:lineRule="auto"/>
      </w:pPr>
      <w:r>
        <w:separator/>
      </w:r>
    </w:p>
  </w:footnote>
  <w:footnote w:type="continuationSeparator" w:id="0">
    <w:p w:rsidR="00F71002" w:rsidRDefault="00F71002"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39" w:rsidRDefault="00E56939">
    <w:pPr>
      <w:pStyle w:val="Nagwek"/>
    </w:pPr>
    <w:r>
      <w:rPr>
        <w:noProof/>
      </w:rPr>
      <w:drawing>
        <wp:inline distT="0" distB="0" distL="0" distR="0" wp14:anchorId="770E6F0E" wp14:editId="7FC76863">
          <wp:extent cx="4968875" cy="615950"/>
          <wp:effectExtent l="0" t="0" r="317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875" cy="615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80E29"/>
    <w:rsid w:val="00094C3F"/>
    <w:rsid w:val="000A2F95"/>
    <w:rsid w:val="000D463A"/>
    <w:rsid w:val="000D7445"/>
    <w:rsid w:val="000E2863"/>
    <w:rsid w:val="000E3B57"/>
    <w:rsid w:val="00115219"/>
    <w:rsid w:val="001303DD"/>
    <w:rsid w:val="0014706D"/>
    <w:rsid w:val="001711EA"/>
    <w:rsid w:val="0017324E"/>
    <w:rsid w:val="001933BD"/>
    <w:rsid w:val="001962F1"/>
    <w:rsid w:val="001A3060"/>
    <w:rsid w:val="001A6364"/>
    <w:rsid w:val="001C0B15"/>
    <w:rsid w:val="001D1CFD"/>
    <w:rsid w:val="001F6BE0"/>
    <w:rsid w:val="0022505F"/>
    <w:rsid w:val="00243514"/>
    <w:rsid w:val="002442A5"/>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841CA"/>
    <w:rsid w:val="003B0F33"/>
    <w:rsid w:val="003B6ECB"/>
    <w:rsid w:val="003D3BC5"/>
    <w:rsid w:val="003D6A16"/>
    <w:rsid w:val="003F05D2"/>
    <w:rsid w:val="00401430"/>
    <w:rsid w:val="0040793D"/>
    <w:rsid w:val="0041266E"/>
    <w:rsid w:val="00467D2B"/>
    <w:rsid w:val="004839B2"/>
    <w:rsid w:val="00485478"/>
    <w:rsid w:val="00494F11"/>
    <w:rsid w:val="0049565A"/>
    <w:rsid w:val="00495D6C"/>
    <w:rsid w:val="00497586"/>
    <w:rsid w:val="004A4436"/>
    <w:rsid w:val="004A7178"/>
    <w:rsid w:val="004C16BD"/>
    <w:rsid w:val="004E0A33"/>
    <w:rsid w:val="004F75FB"/>
    <w:rsid w:val="00516B06"/>
    <w:rsid w:val="0053148E"/>
    <w:rsid w:val="005636D4"/>
    <w:rsid w:val="00565D80"/>
    <w:rsid w:val="00595335"/>
    <w:rsid w:val="005A2061"/>
    <w:rsid w:val="005B72D0"/>
    <w:rsid w:val="005F1159"/>
    <w:rsid w:val="006069D8"/>
    <w:rsid w:val="00636AF7"/>
    <w:rsid w:val="00644174"/>
    <w:rsid w:val="00644DA8"/>
    <w:rsid w:val="00650CA8"/>
    <w:rsid w:val="006743F9"/>
    <w:rsid w:val="00683D82"/>
    <w:rsid w:val="006C1D33"/>
    <w:rsid w:val="006C681F"/>
    <w:rsid w:val="006D1C52"/>
    <w:rsid w:val="006D5B52"/>
    <w:rsid w:val="006D5D7B"/>
    <w:rsid w:val="006F3E11"/>
    <w:rsid w:val="00717C18"/>
    <w:rsid w:val="0072798D"/>
    <w:rsid w:val="00741B27"/>
    <w:rsid w:val="00742D12"/>
    <w:rsid w:val="00743204"/>
    <w:rsid w:val="0075174F"/>
    <w:rsid w:val="0076413F"/>
    <w:rsid w:val="00766CF0"/>
    <w:rsid w:val="00787387"/>
    <w:rsid w:val="007C0883"/>
    <w:rsid w:val="007C3BCA"/>
    <w:rsid w:val="007D1CF1"/>
    <w:rsid w:val="007D6CF8"/>
    <w:rsid w:val="007E4BC2"/>
    <w:rsid w:val="007E6D53"/>
    <w:rsid w:val="00802B47"/>
    <w:rsid w:val="0081177D"/>
    <w:rsid w:val="00811CCD"/>
    <w:rsid w:val="0082525C"/>
    <w:rsid w:val="00837D34"/>
    <w:rsid w:val="00842A28"/>
    <w:rsid w:val="008522A0"/>
    <w:rsid w:val="00877F3B"/>
    <w:rsid w:val="0089244A"/>
    <w:rsid w:val="00897B25"/>
    <w:rsid w:val="008B21E1"/>
    <w:rsid w:val="008B4E3E"/>
    <w:rsid w:val="008B571F"/>
    <w:rsid w:val="008C495E"/>
    <w:rsid w:val="008E1DD1"/>
    <w:rsid w:val="008F72F3"/>
    <w:rsid w:val="00907A73"/>
    <w:rsid w:val="00911273"/>
    <w:rsid w:val="00912C30"/>
    <w:rsid w:val="009163CC"/>
    <w:rsid w:val="009313DB"/>
    <w:rsid w:val="00937234"/>
    <w:rsid w:val="00940E88"/>
    <w:rsid w:val="00955479"/>
    <w:rsid w:val="00964B79"/>
    <w:rsid w:val="00997AFA"/>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B204DD"/>
    <w:rsid w:val="00B26F44"/>
    <w:rsid w:val="00B47AF5"/>
    <w:rsid w:val="00B80CE8"/>
    <w:rsid w:val="00B843EB"/>
    <w:rsid w:val="00B87D19"/>
    <w:rsid w:val="00BA4236"/>
    <w:rsid w:val="00BB238F"/>
    <w:rsid w:val="00BB7F60"/>
    <w:rsid w:val="00BD05BA"/>
    <w:rsid w:val="00BD70AD"/>
    <w:rsid w:val="00BE20B6"/>
    <w:rsid w:val="00BE3F33"/>
    <w:rsid w:val="00BE50EE"/>
    <w:rsid w:val="00C10532"/>
    <w:rsid w:val="00C36C6E"/>
    <w:rsid w:val="00C538A8"/>
    <w:rsid w:val="00C56E14"/>
    <w:rsid w:val="00C758A2"/>
    <w:rsid w:val="00CB485D"/>
    <w:rsid w:val="00CD21B1"/>
    <w:rsid w:val="00CF16E5"/>
    <w:rsid w:val="00D03CAB"/>
    <w:rsid w:val="00D052AB"/>
    <w:rsid w:val="00D173BC"/>
    <w:rsid w:val="00D3121B"/>
    <w:rsid w:val="00D43B43"/>
    <w:rsid w:val="00D75E86"/>
    <w:rsid w:val="00D770D6"/>
    <w:rsid w:val="00D82F7C"/>
    <w:rsid w:val="00D84B70"/>
    <w:rsid w:val="00D902BB"/>
    <w:rsid w:val="00D90C7A"/>
    <w:rsid w:val="00D9587E"/>
    <w:rsid w:val="00DA0E32"/>
    <w:rsid w:val="00DB2D42"/>
    <w:rsid w:val="00DB63A0"/>
    <w:rsid w:val="00DE68AF"/>
    <w:rsid w:val="00DF3CC5"/>
    <w:rsid w:val="00DF4DD2"/>
    <w:rsid w:val="00E07494"/>
    <w:rsid w:val="00E11D35"/>
    <w:rsid w:val="00E32852"/>
    <w:rsid w:val="00E55074"/>
    <w:rsid w:val="00E56939"/>
    <w:rsid w:val="00E604AF"/>
    <w:rsid w:val="00E61834"/>
    <w:rsid w:val="00E848C5"/>
    <w:rsid w:val="00E90CA0"/>
    <w:rsid w:val="00E91B8F"/>
    <w:rsid w:val="00EB0385"/>
    <w:rsid w:val="00EB6FAC"/>
    <w:rsid w:val="00EF0701"/>
    <w:rsid w:val="00EF6053"/>
    <w:rsid w:val="00F11756"/>
    <w:rsid w:val="00F30D7F"/>
    <w:rsid w:val="00F367D1"/>
    <w:rsid w:val="00F50A55"/>
    <w:rsid w:val="00F56A9A"/>
    <w:rsid w:val="00F71002"/>
    <w:rsid w:val="00F7416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 w:type="paragraph" w:customStyle="1" w:styleId="USTustnpkodeksu">
    <w:name w:val="UST(§) – ust. (§ np. kodeksu)"/>
    <w:basedOn w:val="Normalny"/>
    <w:link w:val="USTustnpkodeksuZnak"/>
    <w:uiPriority w:val="99"/>
    <w:rsid w:val="006D1C52"/>
    <w:pPr>
      <w:suppressAutoHyphens/>
      <w:autoSpaceDE w:val="0"/>
      <w:autoSpaceDN w:val="0"/>
      <w:adjustRightInd w:val="0"/>
      <w:spacing w:before="0" w:line="360" w:lineRule="auto"/>
      <w:ind w:firstLine="510"/>
      <w:jc w:val="both"/>
    </w:pPr>
    <w:rPr>
      <w:rFonts w:ascii="Times" w:eastAsia="Calibri" w:hAnsi="Times"/>
      <w:sz w:val="20"/>
      <w:szCs w:val="22"/>
    </w:rPr>
  </w:style>
  <w:style w:type="character" w:customStyle="1" w:styleId="USTustnpkodeksuZnak">
    <w:name w:val="UST(§) – ust. (§ np. kodeksu) Znak"/>
    <w:link w:val="USTustnpkodeksu"/>
    <w:uiPriority w:val="99"/>
    <w:locked/>
    <w:rsid w:val="006D1C52"/>
    <w:rPr>
      <w:rFonts w:ascii="Times" w:eastAsia="Calibri" w:hAnsi="Times" w:cs="Times New Roman"/>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 w:type="paragraph" w:customStyle="1" w:styleId="USTustnpkodeksu">
    <w:name w:val="UST(§) – ust. (§ np. kodeksu)"/>
    <w:basedOn w:val="Normalny"/>
    <w:link w:val="USTustnpkodeksuZnak"/>
    <w:uiPriority w:val="99"/>
    <w:rsid w:val="006D1C52"/>
    <w:pPr>
      <w:suppressAutoHyphens/>
      <w:autoSpaceDE w:val="0"/>
      <w:autoSpaceDN w:val="0"/>
      <w:adjustRightInd w:val="0"/>
      <w:spacing w:before="0" w:line="360" w:lineRule="auto"/>
      <w:ind w:firstLine="510"/>
      <w:jc w:val="both"/>
    </w:pPr>
    <w:rPr>
      <w:rFonts w:ascii="Times" w:eastAsia="Calibri" w:hAnsi="Times"/>
      <w:sz w:val="20"/>
      <w:szCs w:val="22"/>
    </w:rPr>
  </w:style>
  <w:style w:type="character" w:customStyle="1" w:styleId="USTustnpkodeksuZnak">
    <w:name w:val="UST(§) – ust. (§ np. kodeksu) Znak"/>
    <w:link w:val="USTustnpkodeksu"/>
    <w:uiPriority w:val="99"/>
    <w:locked/>
    <w:rsid w:val="006D1C52"/>
    <w:rPr>
      <w:rFonts w:ascii="Times" w:eastAsia="Calibri" w:hAnsi="Times" w:cs="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2065712015">
      <w:bodyDiv w:val="1"/>
      <w:marLeft w:val="0"/>
      <w:marRight w:val="0"/>
      <w:marTop w:val="0"/>
      <w:marBottom w:val="0"/>
      <w:divBdr>
        <w:top w:val="none" w:sz="0" w:space="0" w:color="auto"/>
        <w:left w:val="none" w:sz="0" w:space="0" w:color="auto"/>
        <w:bottom w:val="none" w:sz="0" w:space="0" w:color="auto"/>
        <w:right w:val="none" w:sz="0" w:space="0" w:color="auto"/>
      </w:divBdr>
      <w:divsChild>
        <w:div w:id="32582483">
          <w:marLeft w:val="0"/>
          <w:marRight w:val="0"/>
          <w:marTop w:val="0"/>
          <w:marBottom w:val="0"/>
          <w:divBdr>
            <w:top w:val="none" w:sz="0" w:space="0" w:color="auto"/>
            <w:left w:val="none" w:sz="0" w:space="0" w:color="auto"/>
            <w:bottom w:val="none" w:sz="0" w:space="0" w:color="auto"/>
            <w:right w:val="none" w:sz="0" w:space="0" w:color="auto"/>
          </w:divBdr>
        </w:div>
        <w:div w:id="459765493">
          <w:marLeft w:val="0"/>
          <w:marRight w:val="0"/>
          <w:marTop w:val="0"/>
          <w:marBottom w:val="0"/>
          <w:divBdr>
            <w:top w:val="none" w:sz="0" w:space="0" w:color="auto"/>
            <w:left w:val="none" w:sz="0" w:space="0" w:color="auto"/>
            <w:bottom w:val="none" w:sz="0" w:space="0" w:color="auto"/>
            <w:right w:val="none" w:sz="0" w:space="0" w:color="auto"/>
          </w:divBdr>
        </w:div>
        <w:div w:id="1158349359">
          <w:marLeft w:val="0"/>
          <w:marRight w:val="0"/>
          <w:marTop w:val="0"/>
          <w:marBottom w:val="0"/>
          <w:divBdr>
            <w:top w:val="none" w:sz="0" w:space="0" w:color="auto"/>
            <w:left w:val="none" w:sz="0" w:space="0" w:color="auto"/>
            <w:bottom w:val="none" w:sz="0" w:space="0" w:color="auto"/>
            <w:right w:val="none" w:sz="0" w:space="0" w:color="auto"/>
          </w:divBdr>
        </w:div>
        <w:div w:id="1564173278">
          <w:marLeft w:val="0"/>
          <w:marRight w:val="0"/>
          <w:marTop w:val="0"/>
          <w:marBottom w:val="0"/>
          <w:divBdr>
            <w:top w:val="none" w:sz="0" w:space="0" w:color="auto"/>
            <w:left w:val="none" w:sz="0" w:space="0" w:color="auto"/>
            <w:bottom w:val="none" w:sz="0" w:space="0" w:color="auto"/>
            <w:right w:val="none" w:sz="0" w:space="0" w:color="auto"/>
          </w:divBdr>
        </w:div>
        <w:div w:id="1540438685">
          <w:marLeft w:val="0"/>
          <w:marRight w:val="0"/>
          <w:marTop w:val="0"/>
          <w:marBottom w:val="0"/>
          <w:divBdr>
            <w:top w:val="none" w:sz="0" w:space="0" w:color="auto"/>
            <w:left w:val="none" w:sz="0" w:space="0" w:color="auto"/>
            <w:bottom w:val="none" w:sz="0" w:space="0" w:color="auto"/>
            <w:right w:val="none" w:sz="0" w:space="0" w:color="auto"/>
          </w:divBdr>
        </w:div>
        <w:div w:id="546258275">
          <w:marLeft w:val="0"/>
          <w:marRight w:val="0"/>
          <w:marTop w:val="0"/>
          <w:marBottom w:val="0"/>
          <w:divBdr>
            <w:top w:val="none" w:sz="0" w:space="0" w:color="auto"/>
            <w:left w:val="none" w:sz="0" w:space="0" w:color="auto"/>
            <w:bottom w:val="none" w:sz="0" w:space="0" w:color="auto"/>
            <w:right w:val="none" w:sz="0" w:space="0" w:color="auto"/>
          </w:divBdr>
        </w:div>
        <w:div w:id="723604053">
          <w:marLeft w:val="0"/>
          <w:marRight w:val="0"/>
          <w:marTop w:val="0"/>
          <w:marBottom w:val="0"/>
          <w:divBdr>
            <w:top w:val="none" w:sz="0" w:space="0" w:color="auto"/>
            <w:left w:val="none" w:sz="0" w:space="0" w:color="auto"/>
            <w:bottom w:val="none" w:sz="0" w:space="0" w:color="auto"/>
            <w:right w:val="none" w:sz="0" w:space="0" w:color="auto"/>
          </w:divBdr>
        </w:div>
        <w:div w:id="926110092">
          <w:marLeft w:val="0"/>
          <w:marRight w:val="0"/>
          <w:marTop w:val="0"/>
          <w:marBottom w:val="0"/>
          <w:divBdr>
            <w:top w:val="none" w:sz="0" w:space="0" w:color="auto"/>
            <w:left w:val="none" w:sz="0" w:space="0" w:color="auto"/>
            <w:bottom w:val="none" w:sz="0" w:space="0" w:color="auto"/>
            <w:right w:val="none" w:sz="0" w:space="0" w:color="auto"/>
          </w:divBdr>
        </w:div>
        <w:div w:id="393085886">
          <w:marLeft w:val="0"/>
          <w:marRight w:val="0"/>
          <w:marTop w:val="0"/>
          <w:marBottom w:val="0"/>
          <w:divBdr>
            <w:top w:val="none" w:sz="0" w:space="0" w:color="auto"/>
            <w:left w:val="none" w:sz="0" w:space="0" w:color="auto"/>
            <w:bottom w:val="none" w:sz="0" w:space="0" w:color="auto"/>
            <w:right w:val="none" w:sz="0" w:space="0" w:color="auto"/>
          </w:divBdr>
        </w:div>
        <w:div w:id="665863807">
          <w:marLeft w:val="0"/>
          <w:marRight w:val="0"/>
          <w:marTop w:val="0"/>
          <w:marBottom w:val="0"/>
          <w:divBdr>
            <w:top w:val="none" w:sz="0" w:space="0" w:color="auto"/>
            <w:left w:val="none" w:sz="0" w:space="0" w:color="auto"/>
            <w:bottom w:val="none" w:sz="0" w:space="0" w:color="auto"/>
            <w:right w:val="none" w:sz="0" w:space="0" w:color="auto"/>
          </w:divBdr>
        </w:div>
        <w:div w:id="345137355">
          <w:marLeft w:val="0"/>
          <w:marRight w:val="0"/>
          <w:marTop w:val="0"/>
          <w:marBottom w:val="0"/>
          <w:divBdr>
            <w:top w:val="none" w:sz="0" w:space="0" w:color="auto"/>
            <w:left w:val="none" w:sz="0" w:space="0" w:color="auto"/>
            <w:bottom w:val="none" w:sz="0" w:space="0" w:color="auto"/>
            <w:right w:val="none" w:sz="0" w:space="0" w:color="auto"/>
          </w:divBdr>
        </w:div>
        <w:div w:id="14500907">
          <w:marLeft w:val="0"/>
          <w:marRight w:val="0"/>
          <w:marTop w:val="0"/>
          <w:marBottom w:val="0"/>
          <w:divBdr>
            <w:top w:val="none" w:sz="0" w:space="0" w:color="auto"/>
            <w:left w:val="none" w:sz="0" w:space="0" w:color="auto"/>
            <w:bottom w:val="none" w:sz="0" w:space="0" w:color="auto"/>
            <w:right w:val="none" w:sz="0" w:space="0" w:color="auto"/>
          </w:divBdr>
        </w:div>
        <w:div w:id="801074348">
          <w:marLeft w:val="0"/>
          <w:marRight w:val="0"/>
          <w:marTop w:val="0"/>
          <w:marBottom w:val="0"/>
          <w:divBdr>
            <w:top w:val="none" w:sz="0" w:space="0" w:color="auto"/>
            <w:left w:val="none" w:sz="0" w:space="0" w:color="auto"/>
            <w:bottom w:val="none" w:sz="0" w:space="0" w:color="auto"/>
            <w:right w:val="none" w:sz="0" w:space="0" w:color="auto"/>
          </w:divBdr>
        </w:div>
        <w:div w:id="971784706">
          <w:marLeft w:val="0"/>
          <w:marRight w:val="0"/>
          <w:marTop w:val="0"/>
          <w:marBottom w:val="0"/>
          <w:divBdr>
            <w:top w:val="none" w:sz="0" w:space="0" w:color="auto"/>
            <w:left w:val="none" w:sz="0" w:space="0" w:color="auto"/>
            <w:bottom w:val="none" w:sz="0" w:space="0" w:color="auto"/>
            <w:right w:val="none" w:sz="0" w:space="0" w:color="auto"/>
          </w:divBdr>
        </w:div>
        <w:div w:id="1492409973">
          <w:marLeft w:val="0"/>
          <w:marRight w:val="0"/>
          <w:marTop w:val="0"/>
          <w:marBottom w:val="0"/>
          <w:divBdr>
            <w:top w:val="none" w:sz="0" w:space="0" w:color="auto"/>
            <w:left w:val="none" w:sz="0" w:space="0" w:color="auto"/>
            <w:bottom w:val="none" w:sz="0" w:space="0" w:color="auto"/>
            <w:right w:val="none" w:sz="0" w:space="0" w:color="auto"/>
          </w:divBdr>
        </w:div>
        <w:div w:id="1631282716">
          <w:marLeft w:val="0"/>
          <w:marRight w:val="0"/>
          <w:marTop w:val="0"/>
          <w:marBottom w:val="0"/>
          <w:divBdr>
            <w:top w:val="none" w:sz="0" w:space="0" w:color="auto"/>
            <w:left w:val="none" w:sz="0" w:space="0" w:color="auto"/>
            <w:bottom w:val="none" w:sz="0" w:space="0" w:color="auto"/>
            <w:right w:val="none" w:sz="0" w:space="0" w:color="auto"/>
          </w:divBdr>
        </w:div>
        <w:div w:id="1705864111">
          <w:marLeft w:val="0"/>
          <w:marRight w:val="0"/>
          <w:marTop w:val="0"/>
          <w:marBottom w:val="0"/>
          <w:divBdr>
            <w:top w:val="none" w:sz="0" w:space="0" w:color="auto"/>
            <w:left w:val="none" w:sz="0" w:space="0" w:color="auto"/>
            <w:bottom w:val="none" w:sz="0" w:space="0" w:color="auto"/>
            <w:right w:val="none" w:sz="0" w:space="0" w:color="auto"/>
          </w:divBdr>
        </w:div>
        <w:div w:id="1309821505">
          <w:marLeft w:val="0"/>
          <w:marRight w:val="0"/>
          <w:marTop w:val="0"/>
          <w:marBottom w:val="0"/>
          <w:divBdr>
            <w:top w:val="none" w:sz="0" w:space="0" w:color="auto"/>
            <w:left w:val="none" w:sz="0" w:space="0" w:color="auto"/>
            <w:bottom w:val="none" w:sz="0" w:space="0" w:color="auto"/>
            <w:right w:val="none" w:sz="0" w:space="0" w:color="auto"/>
          </w:divBdr>
        </w:div>
        <w:div w:id="829758394">
          <w:marLeft w:val="0"/>
          <w:marRight w:val="0"/>
          <w:marTop w:val="0"/>
          <w:marBottom w:val="0"/>
          <w:divBdr>
            <w:top w:val="none" w:sz="0" w:space="0" w:color="auto"/>
            <w:left w:val="none" w:sz="0" w:space="0" w:color="auto"/>
            <w:bottom w:val="none" w:sz="0" w:space="0" w:color="auto"/>
            <w:right w:val="none" w:sz="0" w:space="0" w:color="auto"/>
          </w:divBdr>
        </w:div>
        <w:div w:id="891842805">
          <w:marLeft w:val="0"/>
          <w:marRight w:val="0"/>
          <w:marTop w:val="0"/>
          <w:marBottom w:val="0"/>
          <w:divBdr>
            <w:top w:val="none" w:sz="0" w:space="0" w:color="auto"/>
            <w:left w:val="none" w:sz="0" w:space="0" w:color="auto"/>
            <w:bottom w:val="none" w:sz="0" w:space="0" w:color="auto"/>
            <w:right w:val="none" w:sz="0" w:space="0" w:color="auto"/>
          </w:divBdr>
        </w:div>
        <w:div w:id="337316232">
          <w:marLeft w:val="0"/>
          <w:marRight w:val="0"/>
          <w:marTop w:val="0"/>
          <w:marBottom w:val="0"/>
          <w:divBdr>
            <w:top w:val="none" w:sz="0" w:space="0" w:color="auto"/>
            <w:left w:val="none" w:sz="0" w:space="0" w:color="auto"/>
            <w:bottom w:val="none" w:sz="0" w:space="0" w:color="auto"/>
            <w:right w:val="none" w:sz="0" w:space="0" w:color="auto"/>
          </w:divBdr>
        </w:div>
        <w:div w:id="798378785">
          <w:marLeft w:val="0"/>
          <w:marRight w:val="0"/>
          <w:marTop w:val="0"/>
          <w:marBottom w:val="0"/>
          <w:divBdr>
            <w:top w:val="none" w:sz="0" w:space="0" w:color="auto"/>
            <w:left w:val="none" w:sz="0" w:space="0" w:color="auto"/>
            <w:bottom w:val="none" w:sz="0" w:space="0" w:color="auto"/>
            <w:right w:val="none" w:sz="0" w:space="0" w:color="auto"/>
          </w:divBdr>
        </w:div>
        <w:div w:id="1346711688">
          <w:marLeft w:val="0"/>
          <w:marRight w:val="0"/>
          <w:marTop w:val="0"/>
          <w:marBottom w:val="0"/>
          <w:divBdr>
            <w:top w:val="none" w:sz="0" w:space="0" w:color="auto"/>
            <w:left w:val="none" w:sz="0" w:space="0" w:color="auto"/>
            <w:bottom w:val="none" w:sz="0" w:space="0" w:color="auto"/>
            <w:right w:val="none" w:sz="0" w:space="0" w:color="auto"/>
          </w:divBdr>
        </w:div>
        <w:div w:id="1592202867">
          <w:marLeft w:val="0"/>
          <w:marRight w:val="0"/>
          <w:marTop w:val="0"/>
          <w:marBottom w:val="0"/>
          <w:divBdr>
            <w:top w:val="none" w:sz="0" w:space="0" w:color="auto"/>
            <w:left w:val="none" w:sz="0" w:space="0" w:color="auto"/>
            <w:bottom w:val="none" w:sz="0" w:space="0" w:color="auto"/>
            <w:right w:val="none" w:sz="0" w:space="0" w:color="auto"/>
          </w:divBdr>
        </w:div>
        <w:div w:id="1066368895">
          <w:marLeft w:val="0"/>
          <w:marRight w:val="0"/>
          <w:marTop w:val="0"/>
          <w:marBottom w:val="0"/>
          <w:divBdr>
            <w:top w:val="none" w:sz="0" w:space="0" w:color="auto"/>
            <w:left w:val="none" w:sz="0" w:space="0" w:color="auto"/>
            <w:bottom w:val="none" w:sz="0" w:space="0" w:color="auto"/>
            <w:right w:val="none" w:sz="0" w:space="0" w:color="auto"/>
          </w:divBdr>
        </w:div>
        <w:div w:id="1599170907">
          <w:marLeft w:val="0"/>
          <w:marRight w:val="0"/>
          <w:marTop w:val="0"/>
          <w:marBottom w:val="0"/>
          <w:divBdr>
            <w:top w:val="none" w:sz="0" w:space="0" w:color="auto"/>
            <w:left w:val="none" w:sz="0" w:space="0" w:color="auto"/>
            <w:bottom w:val="none" w:sz="0" w:space="0" w:color="auto"/>
            <w:right w:val="none" w:sz="0" w:space="0" w:color="auto"/>
          </w:divBdr>
        </w:div>
        <w:div w:id="1737627166">
          <w:marLeft w:val="0"/>
          <w:marRight w:val="0"/>
          <w:marTop w:val="0"/>
          <w:marBottom w:val="0"/>
          <w:divBdr>
            <w:top w:val="none" w:sz="0" w:space="0" w:color="auto"/>
            <w:left w:val="none" w:sz="0" w:space="0" w:color="auto"/>
            <w:bottom w:val="none" w:sz="0" w:space="0" w:color="auto"/>
            <w:right w:val="none" w:sz="0" w:space="0" w:color="auto"/>
          </w:divBdr>
        </w:div>
        <w:div w:id="10284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DD64-6845-43BF-AE23-294963B7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13684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3</cp:revision>
  <cp:lastPrinted>2016-09-28T09:21:00Z</cp:lastPrinted>
  <dcterms:created xsi:type="dcterms:W3CDTF">2016-11-21T12:01:00Z</dcterms:created>
  <dcterms:modified xsi:type="dcterms:W3CDTF">2016-11-23T07:36:00Z</dcterms:modified>
</cp:coreProperties>
</file>