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6B4515" w:rsidRDefault="00BA376B" w:rsidP="00C10F6C">
      <w:pPr>
        <w:spacing w:line="240" w:lineRule="auto"/>
        <w:jc w:val="both"/>
      </w:pPr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  <w:r w:rsidRPr="006B4515">
        <w:t>Załącznik do uchwały</w:t>
      </w:r>
      <w:r w:rsidR="00740D87">
        <w:t xml:space="preserve"> </w:t>
      </w:r>
      <w:r w:rsidRPr="006B4515">
        <w:t>nr</w:t>
      </w:r>
      <w:r w:rsidR="00740D87">
        <w:t xml:space="preserve"> 3016/V/2016</w:t>
      </w:r>
    </w:p>
    <w:p w:rsidR="00BA376B" w:rsidRPr="006B4515" w:rsidRDefault="00BA376B" w:rsidP="00C10F6C">
      <w:pPr>
        <w:spacing w:after="0" w:line="240" w:lineRule="auto"/>
        <w:ind w:left="5103"/>
        <w:jc w:val="both"/>
      </w:pPr>
      <w:r w:rsidRPr="006B4515">
        <w:t xml:space="preserve">Zarządu Województwa Dolnośląskiego </w:t>
      </w:r>
    </w:p>
    <w:p w:rsidR="00BA376B" w:rsidRPr="006B4515" w:rsidRDefault="00BA376B" w:rsidP="00C10F6C">
      <w:pPr>
        <w:spacing w:after="0" w:line="240" w:lineRule="auto"/>
        <w:ind w:left="5103"/>
        <w:jc w:val="both"/>
      </w:pPr>
      <w:r w:rsidRPr="006B4515">
        <w:t xml:space="preserve">z dnia </w:t>
      </w:r>
      <w:r w:rsidR="00740D87">
        <w:t>21 listopada 2016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3B2988" w:rsidRPr="003B2988">
        <w:t>listopad</w:t>
      </w:r>
      <w:r w:rsidRPr="003B2988">
        <w:t xml:space="preserve"> 2016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zwrotnych.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>rozumieniu rozporządzenia Komisji (UE) nr 1407/2013 z  dnia  18  grudnia  2013  r. w  sprawie  stosowania  art.  107  i  108  Traktatu  o  funkcjonowaniu  Unii  Europejskiej  do  pomocy  de minimis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Do oceny kwalifikowalności poniesionych wydatków stosuje się wersję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E0308">
        <w:rPr>
          <w:rFonts w:asciiTheme="minorHAnsi" w:hAnsiTheme="minorHAnsi"/>
          <w:iCs/>
          <w:sz w:val="22"/>
          <w:szCs w:val="22"/>
        </w:rPr>
        <w:t>obowią</w:t>
      </w:r>
      <w:r>
        <w:rPr>
          <w:rFonts w:asciiTheme="minorHAnsi" w:hAnsiTheme="minorHAnsi"/>
          <w:iCs/>
          <w:sz w:val="22"/>
          <w:szCs w:val="22"/>
        </w:rPr>
        <w:t>zując</w:t>
      </w:r>
      <w:r w:rsidR="002800FC">
        <w:rPr>
          <w:rFonts w:asciiTheme="minorHAnsi" w:hAnsiTheme="minorHAnsi"/>
          <w:iCs/>
          <w:sz w:val="22"/>
          <w:szCs w:val="22"/>
        </w:rPr>
        <w:t>ą</w:t>
      </w:r>
      <w:r>
        <w:rPr>
          <w:rFonts w:asciiTheme="minorHAnsi" w:hAnsiTheme="minorHAnsi"/>
          <w:iCs/>
          <w:sz w:val="22"/>
          <w:szCs w:val="22"/>
        </w:rPr>
        <w:t xml:space="preserve"> w dniu poniesienia wydatku, z uwzględnieniem pkt</w:t>
      </w:r>
      <w:r w:rsidR="00BF7A1E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BF7A1E">
        <w:rPr>
          <w:rFonts w:asciiTheme="minorHAnsi" w:hAnsiTheme="minorHAnsi"/>
          <w:iCs/>
          <w:sz w:val="22"/>
          <w:szCs w:val="22"/>
        </w:rPr>
        <w:t>9</w:t>
      </w:r>
      <w:r>
        <w:rPr>
          <w:rFonts w:asciiTheme="minorHAnsi" w:hAnsiTheme="minorHAnsi"/>
          <w:iCs/>
          <w:sz w:val="22"/>
          <w:szCs w:val="22"/>
        </w:rPr>
        <w:t xml:space="preserve"> i 1</w:t>
      </w:r>
      <w:r w:rsidR="00BF7A1E">
        <w:rPr>
          <w:rFonts w:asciiTheme="minorHAnsi" w:hAnsiTheme="minorHAnsi"/>
          <w:iCs/>
          <w:sz w:val="22"/>
          <w:szCs w:val="22"/>
        </w:rPr>
        <w:t>0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 oceny prawidłowości umów zawartych w ramach realizacji projektu w wyniku przeprowadzonych postępowań, stosuje się wersję </w:t>
      </w:r>
      <w:r w:rsidR="002800FC">
        <w:rPr>
          <w:rFonts w:asciiTheme="minorHAnsi" w:hAnsiTheme="minorHAnsi"/>
          <w:iCs/>
          <w:sz w:val="22"/>
          <w:szCs w:val="22"/>
        </w:rPr>
        <w:t>wytycznych</w:t>
      </w:r>
      <w:r>
        <w:rPr>
          <w:rFonts w:asciiTheme="minorHAnsi" w:hAnsiTheme="minorHAnsi"/>
          <w:iCs/>
          <w:sz w:val="22"/>
          <w:szCs w:val="22"/>
        </w:rPr>
        <w:t xml:space="preserve"> obowiązującą w dniu wszczęcia postępowania, które zakończyło się podpisaniem danej umowy. Wszczęcie postępowania jest tożsame z publikacją ogłoszenia o wszczęciu postępowania lub zamiarze udzielenia zamówienia publicznego lub o prowadzonym naborze pracowników na podstawie stosunku pracy, pod warunkiem, że Beneficjent udokumentuje publikację ogłoszenia o wszczęciu postępowania.</w:t>
      </w:r>
    </w:p>
    <w:p w:rsidR="002E0308" w:rsidRPr="00A37FB6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 przypadku, gdy ogłoszona w trakcie realizacji projektu (po podpisaniu umowy o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>
        <w:rPr>
          <w:rFonts w:asciiTheme="minorHAnsi" w:hAnsiTheme="minorHAnsi"/>
          <w:iCs/>
          <w:sz w:val="22"/>
          <w:szCs w:val="22"/>
        </w:rPr>
        <w:t>dofina</w:t>
      </w:r>
      <w:r w:rsidR="00A37FB6">
        <w:rPr>
          <w:rFonts w:asciiTheme="minorHAnsi" w:hAnsiTheme="minorHAnsi"/>
          <w:iCs/>
          <w:sz w:val="22"/>
          <w:szCs w:val="22"/>
        </w:rPr>
        <w:t>nsowaniu)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wprowadza rozwiązania korzystniejsze dla Beneficjenta, warunki ewentualnego ich stosowania w odniesieniu do wydatków poniesionych przed dniem stosowania nowej wersji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określa IZ RPO WD w umowie o dofinansowanie.</w:t>
      </w:r>
    </w:p>
    <w:p w:rsidR="00A37FB6" w:rsidRPr="00D34FFF" w:rsidRDefault="00A37FB6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Zgodnie z art.</w:t>
      </w:r>
      <w:r w:rsidR="00D34FFF">
        <w:rPr>
          <w:rFonts w:asciiTheme="minorHAnsi" w:hAnsiTheme="minorHAnsi"/>
          <w:iCs/>
          <w:sz w:val="22"/>
          <w:szCs w:val="22"/>
        </w:rPr>
        <w:t xml:space="preserve"> 8 ustawy wdrożeniowej każda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obowiązuje od daty wskazanej w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 w:rsidR="00D34FFF">
        <w:rPr>
          <w:rFonts w:asciiTheme="minorHAnsi" w:hAnsiTheme="minorHAnsi"/>
          <w:iCs/>
          <w:sz w:val="22"/>
          <w:szCs w:val="22"/>
        </w:rPr>
        <w:t xml:space="preserve">komunikacie ogłoszonym w Dzienniku Urzędowym Rzeczypospolitej Polskiej „Monitor Polski”. </w:t>
      </w:r>
      <w:r w:rsidR="00513F17">
        <w:rPr>
          <w:rFonts w:asciiTheme="minorHAnsi" w:hAnsiTheme="minorHAnsi"/>
          <w:iCs/>
          <w:sz w:val="22"/>
          <w:szCs w:val="22"/>
        </w:rPr>
        <w:t>K</w:t>
      </w:r>
      <w:r w:rsidR="00D34FFF">
        <w:rPr>
          <w:rFonts w:asciiTheme="minorHAnsi" w:hAnsiTheme="minorHAnsi"/>
          <w:iCs/>
          <w:sz w:val="22"/>
          <w:szCs w:val="22"/>
        </w:rPr>
        <w:t>omunikat zawiera dodatkowo adres strony internetowej i portalu, na których zostanie zamieszczona treść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wraz z datą, od której są stosowane.</w:t>
      </w:r>
    </w:p>
    <w:p w:rsidR="00BB6C1F" w:rsidRPr="006B4515" w:rsidRDefault="00BB6C1F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>ączeniem instrumentów zwrotnych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 xml:space="preserve">biznesplanu, studium wykonalności (w przypadku, gdy ten sam wykonawca będzie w ramach jednego zamówienia opracowywał również </w:t>
            </w:r>
            <w:proofErr w:type="spellStart"/>
            <w:r w:rsidRPr="006B4515">
              <w:t>niekwalifikowalną</w:t>
            </w:r>
            <w:proofErr w:type="spellEnd"/>
            <w:r w:rsidRPr="006B4515">
              <w:t xml:space="preserve"> dokumentację projektową, np. formularz wniosku o dofinansowanie/wniosek o potwierdzenie wkładu finansowego w przypadku projektów dużych, warunkiem kwalifikowalności biznesplanu/studium wykonalności będzie rozbicie w umowie z tymże wykonawcą kosztów na dokumentację </w:t>
            </w:r>
            <w:proofErr w:type="spellStart"/>
            <w:r w:rsidRPr="006B4515">
              <w:t>kwalifikowalną</w:t>
            </w:r>
            <w:proofErr w:type="spellEnd"/>
            <w:r w:rsidRPr="006B4515">
              <w:t xml:space="preserve"> oraz </w:t>
            </w:r>
            <w:proofErr w:type="spellStart"/>
            <w:r w:rsidRPr="006B4515">
              <w:t>niekwalifikowalną</w:t>
            </w:r>
            <w:proofErr w:type="spellEnd"/>
            <w:r w:rsidRPr="006B4515">
              <w:t>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D44C8D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proofErr w:type="spellStart"/>
            <w:r w:rsidRPr="00A2094C">
              <w:t>Niekwalifikowalnym</w:t>
            </w:r>
            <w:proofErr w:type="spellEnd"/>
            <w:r w:rsidRPr="00A2094C">
              <w:t xml:space="preserve">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 xml:space="preserve">mogą być uwzględniane tylko te ww. osoby, które w co najmniej 25% czasu w danym okresie rozliczeniowym wykonują zadania kwalifikowalne w ramach projektu; wówczas za </w:t>
            </w:r>
            <w:proofErr w:type="spellStart"/>
            <w:r w:rsidRPr="006B4515">
              <w:t>kwalifikowalną</w:t>
            </w:r>
            <w:proofErr w:type="spellEnd"/>
            <w:r w:rsidRPr="006B4515">
              <w:t xml:space="preserve">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>dnie z zasadą konkurencyjności/</w:t>
            </w:r>
            <w:r w:rsidRPr="006B4515">
              <w:t>ustawą Prawo zamówień publicznych, wydatki dotyczące jego wynagrodzenia są kwalifikowalne w takiej wysokości, jaka wynika z podpisanej umowy.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Pr="003A2CB6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1.1 Wzmacnianie potencjału </w:t>
      </w:r>
      <w:proofErr w:type="spellStart"/>
      <w:r w:rsidRPr="006B4515">
        <w:rPr>
          <w:b/>
        </w:rPr>
        <w:t>B+R</w:t>
      </w:r>
      <w:proofErr w:type="spellEnd"/>
      <w:r w:rsidRPr="006B4515">
        <w:rPr>
          <w:b/>
        </w:rPr>
        <w:t xml:space="preserve">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</w:t>
      </w:r>
      <w:proofErr w:type="spellStart"/>
      <w:r w:rsidRPr="006B4515">
        <w:rPr>
          <w:rFonts w:eastAsia="Times New Roman" w:cs="Times New Roman"/>
        </w:rPr>
        <w:t>B+R</w:t>
      </w:r>
      <w:proofErr w:type="spellEnd"/>
      <w:r w:rsidRPr="006B4515">
        <w:rPr>
          <w:rFonts w:eastAsia="Times New Roman" w:cs="Times New Roman"/>
        </w:rPr>
        <w:t xml:space="preserve">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 i B: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0" w:name="_Toc194291240"/>
      <w:bookmarkStart w:id="1" w:name="_Toc209405135"/>
      <w:r w:rsidRPr="006B4515">
        <w:rPr>
          <w:b/>
        </w:rPr>
        <w:t xml:space="preserve"> </w:t>
      </w:r>
      <w:bookmarkEnd w:id="0"/>
      <w:bookmarkEnd w:id="1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</w:t>
      </w:r>
      <w:proofErr w:type="spellStart"/>
      <w:r w:rsidRPr="006B4515">
        <w:rPr>
          <w:rFonts w:eastAsiaTheme="majorEastAsia" w:cstheme="majorBidi"/>
          <w:bCs/>
        </w:rPr>
        <w:t>a</w:t>
      </w:r>
      <w:proofErr w:type="spellEnd"/>
      <w:r w:rsidRPr="006B4515">
        <w:rPr>
          <w:rFonts w:eastAsiaTheme="majorEastAsia" w:cstheme="majorBidi"/>
          <w:bCs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</w:t>
      </w:r>
      <w:proofErr w:type="spellStart"/>
      <w:r w:rsidRPr="006B4515">
        <w:rPr>
          <w:rFonts w:eastAsiaTheme="majorEastAsia" w:cstheme="majorBidi"/>
          <w:bCs/>
        </w:rPr>
        <w:t>niekwalifikowalnymi</w:t>
      </w:r>
      <w:proofErr w:type="spellEnd"/>
      <w:r w:rsidRPr="006B4515">
        <w:rPr>
          <w:rFonts w:eastAsiaTheme="majorEastAsia" w:cstheme="majorBidi"/>
          <w:bCs/>
        </w:rPr>
        <w:t xml:space="preserve"> są wydatki analogiczne jak w działaniu 1.4 C.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Zakwaterowanie przedstawicieli beneficjenta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Połączenie kosztów wchodzących w zakres lit. a) i b) pkt. Art. 14 GBER</w:t>
      </w:r>
      <w:r w:rsidR="00C34307">
        <w:rPr>
          <w:rFonts w:eastAsia="Times New Roman" w:cs="Times New Roman"/>
        </w:rPr>
        <w:t>.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6B4515">
        <w:rPr>
          <w:rFonts w:eastAsia="Calibri"/>
        </w:rPr>
        <w:t>hotelingiem</w:t>
      </w:r>
      <w:proofErr w:type="spellEnd"/>
      <w:r w:rsidRPr="006B4515">
        <w:rPr>
          <w:rFonts w:eastAsia="Calibri"/>
        </w:rPr>
        <w:t xml:space="preserve"> serwerów, rejestracją i utrzymaniem domen – powyżej 5% kosztów kwalifikowalnych projektów.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 xml:space="preserve">Koszty adaptacji pomieszczeń dla celów realizacji projektów powyżej 20% łącznych kosztów wynajmu lub utrzymania budynków.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b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zakup środków transportu nie spełniających </w:t>
      </w:r>
      <w:proofErr w:type="spellStart"/>
      <w:r w:rsidRPr="006B4515">
        <w:t>europejskich</w:t>
      </w:r>
      <w:proofErr w:type="spellEnd"/>
      <w:r w:rsidRPr="006B4515">
        <w:t xml:space="preserve">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energooszczędne oświetlenie miejskie przekraczające wartość 50%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Powyższe limity nie podlegają sumowaniu, tzn. elementy uzupełniające muszą zawsze stanowić mniej niż 50% wydatków kwalifikowalnych w projekcie. Jeśli np. projekt składa się z</w:t>
      </w:r>
      <w:r w:rsidR="003B2988">
        <w:t> </w:t>
      </w:r>
      <w:r w:rsidRPr="006B4515">
        <w:t>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4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</w:t>
      </w:r>
      <w:proofErr w:type="spellStart"/>
      <w:r w:rsidRPr="006B4515">
        <w:t>MOP-I</w:t>
      </w:r>
      <w:proofErr w:type="spellEnd"/>
      <w:r w:rsidRPr="006B4515">
        <w:rPr>
          <w:rStyle w:val="Odwoanieprzypisudolnego"/>
        </w:rPr>
        <w:footnoteReference w:id="5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6"/>
      </w:r>
      <w:r w:rsidRPr="006B4515">
        <w:t xml:space="preserve"> o funkcji wypoczynkowo-usługowej mogą stanowić wydatek kwalifikowalny tylko w części wypoczynkowej odpowiadającej </w:t>
      </w:r>
      <w:proofErr w:type="spellStart"/>
      <w:r w:rsidRPr="006B4515">
        <w:t>MOP-I</w:t>
      </w:r>
      <w:proofErr w:type="spellEnd"/>
      <w:r w:rsidRPr="006B4515">
        <w:t xml:space="preserve">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 xml:space="preserve">urządzenia techniczne drogi (np. bariery ochronne, ogrodzenie drogi i inne urządzenia zabezpieczające przed wkroczeniem zwierząt na drogę, osłony </w:t>
      </w:r>
      <w:proofErr w:type="spellStart"/>
      <w:r w:rsidRPr="006B4515">
        <w:t>przeciwolśnieniowe</w:t>
      </w:r>
      <w:proofErr w:type="spellEnd"/>
      <w:r w:rsidRPr="006B4515">
        <w:t>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8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przekraczające 15 % wartości wydatków kwalifikowalnych – dotyczy to schematów 6.1 A, B, C.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 6.1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9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6B4515">
        <w:rPr>
          <w:rFonts w:eastAsia="Times New Roman" w:cs="Times New Roman"/>
        </w:rPr>
        <w:t>telemedycyny</w:t>
      </w:r>
      <w:proofErr w:type="spellEnd"/>
      <w:r w:rsidRPr="006B4515">
        <w:rPr>
          <w:rFonts w:eastAsia="Times New Roman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</w:t>
      </w:r>
      <w:r w:rsidRPr="006B4515">
        <w:rPr>
          <w:rFonts w:eastAsia="Times New Roman" w:cs="Times New Roman"/>
        </w:rPr>
        <w:t xml:space="preserve"> 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-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związane z zakupem oprogramowania i sprzętu IT, który to sprzęt nie jest bezpośrednio i w całości związany z zakresem wsparcia w ramach poszczególnych narzędzi Policy Paper oraz/lub jednostek chorobowych określonych  w ogłoszeniu o naborze -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6.3.B)</w:t>
      </w:r>
      <w:r w:rsidRPr="006B4515">
        <w:rPr>
          <w:vertAlign w:val="superscript"/>
        </w:rPr>
        <w:footnoteReference w:id="10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związanej z prowadzeniem działalności administracyjnej we wspieranych w projekcie budynkach</w:t>
      </w:r>
      <w:r w:rsidRPr="006B4515">
        <w:rPr>
          <w:rStyle w:val="Odwoanieprzypisudolnego"/>
        </w:rPr>
        <w:footnoteReference w:id="11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12"/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13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14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15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1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infrastrukturę szkół </w:t>
      </w:r>
      <w:proofErr w:type="spellStart"/>
      <w:r w:rsidRPr="006B4515">
        <w:rPr>
          <w:rFonts w:eastAsia="Times New Roman" w:cs="Times New Roman"/>
        </w:rPr>
        <w:t>ponadgimnazjalnych</w:t>
      </w:r>
      <w:proofErr w:type="spellEnd"/>
      <w:r w:rsidRPr="006B4515">
        <w:rPr>
          <w:rFonts w:eastAsia="Times New Roman" w:cs="Times New Roman"/>
          <w:vertAlign w:val="superscript"/>
        </w:rPr>
        <w:footnoteReference w:id="17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</w:t>
      </w:r>
      <w:proofErr w:type="spellStart"/>
      <w:r w:rsidRPr="006B4515">
        <w:rPr>
          <w:rFonts w:eastAsiaTheme="majorEastAsia" w:cstheme="majorBidi"/>
          <w:b/>
          <w:bCs/>
        </w:rPr>
        <w:t>ponadgimnazjalną</w:t>
      </w:r>
      <w:proofErr w:type="spellEnd"/>
      <w:r w:rsidRPr="006B4515">
        <w:rPr>
          <w:rFonts w:eastAsiaTheme="majorEastAsia" w:cstheme="majorBidi"/>
          <w:b/>
          <w:bCs/>
        </w:rPr>
        <w:t>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</w:t>
      </w:r>
      <w:proofErr w:type="spellStart"/>
      <w:r w:rsidRPr="006B4515">
        <w:rPr>
          <w:rFonts w:eastAsia="Times New Roman" w:cs="Times New Roman"/>
        </w:rPr>
        <w:t>ponadgimnazjalnego</w:t>
      </w:r>
      <w:proofErr w:type="spellEnd"/>
      <w:r w:rsidRPr="006B4515">
        <w:rPr>
          <w:rFonts w:eastAsia="Times New Roman" w:cs="Times New Roman"/>
        </w:rPr>
        <w:t xml:space="preserve"> zawodowego </w:t>
      </w:r>
      <w:r w:rsidRPr="006B4515">
        <w:rPr>
          <w:rFonts w:eastAsia="Times New Roman" w:cs="Times New Roman"/>
        </w:rPr>
        <w:br/>
        <w:t xml:space="preserve">w przypadku naborów skierowanych do szkolnictwa </w:t>
      </w:r>
      <w:proofErr w:type="spellStart"/>
      <w:r w:rsidRPr="006B4515">
        <w:rPr>
          <w:rFonts w:eastAsia="Times New Roman" w:cs="Times New Roman"/>
        </w:rPr>
        <w:t>ponadgimnazjalnego</w:t>
      </w:r>
      <w:proofErr w:type="spellEnd"/>
      <w:r w:rsidRPr="006B4515">
        <w:rPr>
          <w:rFonts w:eastAsia="Times New Roman" w:cs="Times New Roman"/>
        </w:rPr>
        <w:t xml:space="preserve"> ogólnego</w:t>
      </w:r>
      <w:r w:rsidRPr="006B4515">
        <w:rPr>
          <w:rStyle w:val="Odwoanieprzypisudolnego"/>
        </w:rPr>
        <w:footnoteReference w:id="18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infrastrukturę szkolnictwa </w:t>
      </w:r>
      <w:proofErr w:type="spellStart"/>
      <w:r w:rsidRPr="006B4515">
        <w:rPr>
          <w:rFonts w:eastAsia="Times New Roman" w:cs="Times New Roman"/>
        </w:rPr>
        <w:t>ponadgimnazjalnego</w:t>
      </w:r>
      <w:proofErr w:type="spellEnd"/>
      <w:r w:rsidRPr="006B4515">
        <w:rPr>
          <w:rFonts w:eastAsia="Times New Roman" w:cs="Times New Roman"/>
        </w:rPr>
        <w:t xml:space="preserve"> ogólnego w przypadku naborów skierowanych do szkolnictwo </w:t>
      </w:r>
      <w:proofErr w:type="spellStart"/>
      <w:r w:rsidRPr="006B4515">
        <w:rPr>
          <w:rFonts w:eastAsia="Times New Roman" w:cs="Times New Roman"/>
        </w:rPr>
        <w:t>ponadgimnazjalnego</w:t>
      </w:r>
      <w:proofErr w:type="spellEnd"/>
      <w:r w:rsidRPr="006B4515">
        <w:rPr>
          <w:rFonts w:eastAsia="Times New Roman" w:cs="Times New Roman"/>
        </w:rPr>
        <w:t xml:space="preserve"> zawodowego</w:t>
      </w:r>
      <w:r w:rsidRPr="006B4515">
        <w:rPr>
          <w:rFonts w:eastAsia="Times New Roman" w:cs="Times New Roman"/>
          <w:vertAlign w:val="superscript"/>
        </w:rPr>
        <w:footnoteReference w:id="1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A23F33" w:rsidRPr="006B4515" w:rsidRDefault="00A23F33" w:rsidP="00A23F33">
      <w:pPr>
        <w:spacing w:before="240"/>
        <w:jc w:val="both"/>
        <w:rPr>
          <w:b/>
        </w:rPr>
      </w:pPr>
    </w:p>
    <w:p w:rsidR="00A23F33" w:rsidRPr="006B4515" w:rsidRDefault="00A23F33" w:rsidP="00A23F33">
      <w:pPr>
        <w:spacing w:before="240"/>
        <w:jc w:val="both"/>
        <w:rPr>
          <w:b/>
        </w:rPr>
      </w:pP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B2" w:rsidRDefault="00011EB2" w:rsidP="00BA376B">
      <w:pPr>
        <w:spacing w:after="0" w:line="240" w:lineRule="auto"/>
      </w:pPr>
      <w:r>
        <w:separator/>
      </w:r>
    </w:p>
  </w:endnote>
  <w:endnote w:type="continuationSeparator" w:id="0">
    <w:p w:rsidR="00011EB2" w:rsidRDefault="00011EB2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729"/>
      <w:docPartObj>
        <w:docPartGallery w:val="Page Numbers (Bottom of Page)"/>
        <w:docPartUnique/>
      </w:docPartObj>
    </w:sdtPr>
    <w:sdtContent>
      <w:p w:rsidR="002E0308" w:rsidRDefault="00B75AFB">
        <w:pPr>
          <w:pStyle w:val="Stopka"/>
          <w:jc w:val="right"/>
        </w:pPr>
        <w:r>
          <w:fldChar w:fldCharType="begin"/>
        </w:r>
        <w:r w:rsidR="00FD76DE">
          <w:instrText xml:space="preserve"> PAGE   \* MERGEFORMAT </w:instrText>
        </w:r>
        <w:r>
          <w:fldChar w:fldCharType="separate"/>
        </w:r>
        <w:r w:rsidR="00740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08" w:rsidRDefault="002E0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B2" w:rsidRDefault="00011EB2" w:rsidP="00BA376B">
      <w:pPr>
        <w:spacing w:after="0" w:line="240" w:lineRule="auto"/>
      </w:pPr>
      <w:r>
        <w:separator/>
      </w:r>
    </w:p>
  </w:footnote>
  <w:footnote w:type="continuationSeparator" w:id="0">
    <w:p w:rsidR="00011EB2" w:rsidRDefault="00011EB2" w:rsidP="00BA376B">
      <w:pPr>
        <w:spacing w:after="0" w:line="240" w:lineRule="auto"/>
      </w:pPr>
      <w:r>
        <w:continuationSeparator/>
      </w:r>
    </w:p>
  </w:footnote>
  <w:footnote w:id="1">
    <w:p w:rsidR="002E0308" w:rsidRDefault="002E03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2E0308" w:rsidRDefault="002E0308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</w:t>
      </w:r>
      <w:r w:rsidR="00513F17">
        <w:t xml:space="preserve">będące podstawą </w:t>
      </w:r>
      <w:r>
        <w:t>dofinansowani</w:t>
      </w:r>
      <w:r w:rsidR="00513F17">
        <w:t>a</w:t>
      </w:r>
      <w:r>
        <w:t xml:space="preserve"> projektu, np. uchwałę czy porozumienie.</w:t>
      </w:r>
    </w:p>
  </w:footnote>
  <w:footnote w:id="3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</w:t>
      </w:r>
      <w:r w:rsidR="0065628C">
        <w:t xml:space="preserve">tekst. jedn.: </w:t>
      </w:r>
      <w:r>
        <w:t xml:space="preserve">Dz. U. </w:t>
      </w:r>
      <w:r w:rsidR="0065628C">
        <w:t xml:space="preserve">z </w:t>
      </w:r>
      <w:r>
        <w:t>201</w:t>
      </w:r>
      <w:r w:rsidR="0065628C">
        <w:t>4 r.</w:t>
      </w:r>
      <w:r w:rsidR="0040430E">
        <w:t>,</w:t>
      </w:r>
      <w:r>
        <w:t xml:space="preserve"> poz. </w:t>
      </w:r>
      <w:r w:rsidR="0065628C">
        <w:t>1</w:t>
      </w:r>
      <w:r>
        <w:t>6</w:t>
      </w:r>
      <w:r w:rsidR="0065628C">
        <w:t>20</w:t>
      </w:r>
      <w:r>
        <w:t xml:space="preserve"> z późn. zm.).</w:t>
      </w:r>
    </w:p>
  </w:footnote>
  <w:footnote w:id="4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2E0308" w:rsidRPr="001C7384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="0040430E"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2E0308" w:rsidRDefault="002E0308" w:rsidP="00A23F33">
      <w:pPr>
        <w:pStyle w:val="Tekstprzypisudolnego"/>
        <w:jc w:val="both"/>
      </w:pPr>
    </w:p>
  </w:footnote>
  <w:footnote w:id="10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2E0308" w:rsidRPr="0009655D" w:rsidRDefault="002E0308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="0040430E"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="0040430E"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="0040430E"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2E0308" w:rsidRPr="0009655D" w:rsidRDefault="002E0308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 w:rsidR="0040430E">
        <w:rPr>
          <w:color w:val="000000" w:themeColor="text1"/>
        </w:rPr>
        <w:t xml:space="preserve">zkół </w:t>
      </w:r>
      <w:proofErr w:type="spellStart"/>
      <w:r w:rsidR="0040430E">
        <w:rPr>
          <w:color w:val="000000" w:themeColor="text1"/>
        </w:rPr>
        <w:t>ponadgimnazjalnych</w:t>
      </w:r>
      <w:proofErr w:type="spellEnd"/>
      <w:r w:rsidR="0040430E">
        <w:rPr>
          <w:color w:val="000000" w:themeColor="text1"/>
        </w:rPr>
        <w:t>. Jeśli W</w:t>
      </w:r>
      <w:r w:rsidRPr="0009655D">
        <w:rPr>
          <w:color w:val="000000" w:themeColor="text1"/>
        </w:rPr>
        <w:t xml:space="preserve">nioskodawca nie ma możliwości wykazania kosztów w podziale na szkołę podstawową/gimnazjum i szkołę </w:t>
      </w:r>
      <w:proofErr w:type="spellStart"/>
      <w:r w:rsidRPr="0009655D">
        <w:rPr>
          <w:color w:val="000000" w:themeColor="text1"/>
        </w:rPr>
        <w:t>ponadgimnazjalną</w:t>
      </w:r>
      <w:proofErr w:type="spellEnd"/>
      <w:r w:rsidRPr="0009655D">
        <w:rPr>
          <w:color w:val="000000" w:themeColor="text1"/>
        </w:rPr>
        <w:t xml:space="preserve">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</w:t>
      </w:r>
      <w:proofErr w:type="spellStart"/>
      <w:r w:rsidRPr="0009655D">
        <w:t>ponadgimnazjalnej</w:t>
      </w:r>
      <w:proofErr w:type="spellEnd"/>
      <w:r w:rsidRPr="0009655D">
        <w:t xml:space="preserve"> w całkowitej powierzchni użytkowej budynku. Następnie należy wg uzyskanej proporcji obniżyć wydatki kwalifikowalne.  </w:t>
      </w:r>
    </w:p>
  </w:footnote>
  <w:footnote w:id="18">
    <w:p w:rsidR="002E0308" w:rsidRPr="0009655D" w:rsidRDefault="002E0308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</w:t>
      </w:r>
      <w:proofErr w:type="spellStart"/>
      <w:r w:rsidRPr="0009655D">
        <w:t>ponadg</w:t>
      </w:r>
      <w:r w:rsidR="0040430E">
        <w:t>imnazjalnych</w:t>
      </w:r>
      <w:proofErr w:type="spellEnd"/>
      <w:r w:rsidR="0040430E">
        <w:t xml:space="preserve"> zawodowych. Jeśli W</w:t>
      </w:r>
      <w:r w:rsidRPr="0009655D">
        <w:t xml:space="preserve">nioskodawca nie ma możliwości wykazania kosztów w podziale na  szkołę </w:t>
      </w:r>
      <w:proofErr w:type="spellStart"/>
      <w:r w:rsidRPr="0009655D">
        <w:t>ponadgimnazjalną</w:t>
      </w:r>
      <w:proofErr w:type="spellEnd"/>
      <w:r w:rsidRPr="0009655D">
        <w:t xml:space="preserve"> zawodową/szkołę </w:t>
      </w:r>
      <w:proofErr w:type="spellStart"/>
      <w:r w:rsidRPr="0009655D">
        <w:t>ponadgimnazjalną</w:t>
      </w:r>
      <w:proofErr w:type="spellEnd"/>
      <w:r w:rsidRPr="0009655D">
        <w:t xml:space="preserve"> ogólną  należy określić procentowy udział powierzchni użytkowej związanej z prowadzeniem działalności szkoły </w:t>
      </w:r>
      <w:proofErr w:type="spellStart"/>
      <w:r w:rsidRPr="0009655D">
        <w:t>ponadgimnazjalnej</w:t>
      </w:r>
      <w:proofErr w:type="spellEnd"/>
      <w:r w:rsidRPr="0009655D">
        <w:t xml:space="preserve"> zawodowej w całkowitej powierzchni użytkowej budynku. Następnie należy wg uzyskanej proporcji obniżyć wydatki kwalifikowalne.  </w:t>
      </w:r>
    </w:p>
  </w:footnote>
  <w:footnote w:id="19">
    <w:p w:rsidR="002E0308" w:rsidRDefault="002E0308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</w:t>
      </w:r>
      <w:proofErr w:type="spellStart"/>
      <w:r w:rsidRPr="0009655D">
        <w:t>pona</w:t>
      </w:r>
      <w:r w:rsidR="0040430E">
        <w:t>dgimnazjalnych</w:t>
      </w:r>
      <w:proofErr w:type="spellEnd"/>
      <w:r w:rsidR="0040430E">
        <w:t xml:space="preserve"> ogólnych. Jeśli W</w:t>
      </w:r>
      <w:r w:rsidRPr="0009655D">
        <w:t xml:space="preserve">nioskodawca nie ma możliwości wykazania kosztów w podziale na  szkołę </w:t>
      </w:r>
      <w:proofErr w:type="spellStart"/>
      <w:r w:rsidRPr="0009655D">
        <w:t>ponadgimnazjalną</w:t>
      </w:r>
      <w:proofErr w:type="spellEnd"/>
      <w:r w:rsidRPr="0009655D">
        <w:t xml:space="preserve"> zawodową/szkołę </w:t>
      </w:r>
      <w:proofErr w:type="spellStart"/>
      <w:r w:rsidRPr="0009655D">
        <w:t>ponadgimnazjalną</w:t>
      </w:r>
      <w:proofErr w:type="spellEnd"/>
      <w:r w:rsidRPr="0009655D">
        <w:t xml:space="preserve"> ogólną  należy określić procentowy udział powierzchni użytkowej związanej z prowadzeniem działalności szkoły </w:t>
      </w:r>
      <w:proofErr w:type="spellStart"/>
      <w:r w:rsidRPr="0009655D">
        <w:t>ponadgimnazjalnej</w:t>
      </w:r>
      <w:proofErr w:type="spellEnd"/>
      <w:r w:rsidRPr="0009655D">
        <w:t xml:space="preserve">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34"/>
  </w:num>
  <w:num w:numId="15">
    <w:abstractNumId w:val="21"/>
  </w:num>
  <w:num w:numId="16">
    <w:abstractNumId w:val="19"/>
  </w:num>
  <w:num w:numId="17">
    <w:abstractNumId w:val="18"/>
  </w:num>
  <w:num w:numId="18">
    <w:abstractNumId w:val="31"/>
  </w:num>
  <w:num w:numId="19">
    <w:abstractNumId w:val="11"/>
  </w:num>
  <w:num w:numId="20">
    <w:abstractNumId w:val="24"/>
  </w:num>
  <w:num w:numId="21">
    <w:abstractNumId w:val="29"/>
  </w:num>
  <w:num w:numId="22">
    <w:abstractNumId w:val="26"/>
  </w:num>
  <w:num w:numId="23">
    <w:abstractNumId w:val="32"/>
  </w:num>
  <w:num w:numId="24">
    <w:abstractNumId w:val="20"/>
  </w:num>
  <w:num w:numId="25">
    <w:abstractNumId w:val="33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3"/>
  </w:num>
  <w:num w:numId="31">
    <w:abstractNumId w:val="23"/>
  </w:num>
  <w:num w:numId="32">
    <w:abstractNumId w:val="14"/>
  </w:num>
  <w:num w:numId="33">
    <w:abstractNumId w:val="30"/>
  </w:num>
  <w:num w:numId="34">
    <w:abstractNumId w:val="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C9E"/>
    <w:rsid w:val="00011EB2"/>
    <w:rsid w:val="0003417B"/>
    <w:rsid w:val="00083CEF"/>
    <w:rsid w:val="000C3A67"/>
    <w:rsid w:val="000D0C61"/>
    <w:rsid w:val="000F49C6"/>
    <w:rsid w:val="00103C88"/>
    <w:rsid w:val="00145381"/>
    <w:rsid w:val="00170946"/>
    <w:rsid w:val="001776F9"/>
    <w:rsid w:val="001802C5"/>
    <w:rsid w:val="0018241A"/>
    <w:rsid w:val="001864C1"/>
    <w:rsid w:val="001B53D6"/>
    <w:rsid w:val="001B56C8"/>
    <w:rsid w:val="001F2B8F"/>
    <w:rsid w:val="0020153F"/>
    <w:rsid w:val="002160BC"/>
    <w:rsid w:val="002464C4"/>
    <w:rsid w:val="00261786"/>
    <w:rsid w:val="00262CBA"/>
    <w:rsid w:val="00267983"/>
    <w:rsid w:val="002800FC"/>
    <w:rsid w:val="002C5B11"/>
    <w:rsid w:val="002E0308"/>
    <w:rsid w:val="002E2DC5"/>
    <w:rsid w:val="002E4C4C"/>
    <w:rsid w:val="002F2152"/>
    <w:rsid w:val="00300834"/>
    <w:rsid w:val="003260E2"/>
    <w:rsid w:val="0033340B"/>
    <w:rsid w:val="003463E9"/>
    <w:rsid w:val="00352F66"/>
    <w:rsid w:val="0035767B"/>
    <w:rsid w:val="00370D86"/>
    <w:rsid w:val="00384A7D"/>
    <w:rsid w:val="003A2CB6"/>
    <w:rsid w:val="003B2988"/>
    <w:rsid w:val="003F0BE3"/>
    <w:rsid w:val="003F3E56"/>
    <w:rsid w:val="0040430E"/>
    <w:rsid w:val="00420900"/>
    <w:rsid w:val="00454E85"/>
    <w:rsid w:val="00480147"/>
    <w:rsid w:val="0048731C"/>
    <w:rsid w:val="004A2A2C"/>
    <w:rsid w:val="004E5DB2"/>
    <w:rsid w:val="005100D3"/>
    <w:rsid w:val="00513F17"/>
    <w:rsid w:val="00543FDD"/>
    <w:rsid w:val="00550BB3"/>
    <w:rsid w:val="00564B2E"/>
    <w:rsid w:val="005713F9"/>
    <w:rsid w:val="005A05C2"/>
    <w:rsid w:val="005E0959"/>
    <w:rsid w:val="005E77EA"/>
    <w:rsid w:val="006322F0"/>
    <w:rsid w:val="0065628C"/>
    <w:rsid w:val="00672D78"/>
    <w:rsid w:val="006902BC"/>
    <w:rsid w:val="00694CDD"/>
    <w:rsid w:val="006A104F"/>
    <w:rsid w:val="006B4515"/>
    <w:rsid w:val="006D6172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21267"/>
    <w:rsid w:val="00854498"/>
    <w:rsid w:val="0085656D"/>
    <w:rsid w:val="00857AC0"/>
    <w:rsid w:val="00870C75"/>
    <w:rsid w:val="00894767"/>
    <w:rsid w:val="008A114E"/>
    <w:rsid w:val="008D303E"/>
    <w:rsid w:val="008F27E5"/>
    <w:rsid w:val="009178E4"/>
    <w:rsid w:val="00921C21"/>
    <w:rsid w:val="00922EE0"/>
    <w:rsid w:val="009265A0"/>
    <w:rsid w:val="00956FC8"/>
    <w:rsid w:val="00961B4A"/>
    <w:rsid w:val="009964AC"/>
    <w:rsid w:val="009A053B"/>
    <w:rsid w:val="009D79D3"/>
    <w:rsid w:val="009F4425"/>
    <w:rsid w:val="009F7CF2"/>
    <w:rsid w:val="00A01EB2"/>
    <w:rsid w:val="00A055C8"/>
    <w:rsid w:val="00A070D7"/>
    <w:rsid w:val="00A072EE"/>
    <w:rsid w:val="00A2094C"/>
    <w:rsid w:val="00A23F33"/>
    <w:rsid w:val="00A37FB6"/>
    <w:rsid w:val="00A41909"/>
    <w:rsid w:val="00A67324"/>
    <w:rsid w:val="00AE3F41"/>
    <w:rsid w:val="00B37DFD"/>
    <w:rsid w:val="00B73188"/>
    <w:rsid w:val="00B75AFB"/>
    <w:rsid w:val="00B779C7"/>
    <w:rsid w:val="00BA376B"/>
    <w:rsid w:val="00BB6C1F"/>
    <w:rsid w:val="00BF6BA2"/>
    <w:rsid w:val="00BF7A1E"/>
    <w:rsid w:val="00C10F6C"/>
    <w:rsid w:val="00C34307"/>
    <w:rsid w:val="00C7490E"/>
    <w:rsid w:val="00C878CC"/>
    <w:rsid w:val="00C963D4"/>
    <w:rsid w:val="00CA7C2D"/>
    <w:rsid w:val="00CF14EF"/>
    <w:rsid w:val="00D22318"/>
    <w:rsid w:val="00D34FFF"/>
    <w:rsid w:val="00D434AA"/>
    <w:rsid w:val="00D44C64"/>
    <w:rsid w:val="00D44C8D"/>
    <w:rsid w:val="00D57423"/>
    <w:rsid w:val="00D82006"/>
    <w:rsid w:val="00D82864"/>
    <w:rsid w:val="00D82B9D"/>
    <w:rsid w:val="00DA2D40"/>
    <w:rsid w:val="00DC0D5F"/>
    <w:rsid w:val="00DC344B"/>
    <w:rsid w:val="00DC7B18"/>
    <w:rsid w:val="00DE67FD"/>
    <w:rsid w:val="00E32EED"/>
    <w:rsid w:val="00E7606F"/>
    <w:rsid w:val="00E8327F"/>
    <w:rsid w:val="00EA19D0"/>
    <w:rsid w:val="00EB09C6"/>
    <w:rsid w:val="00EE25F0"/>
    <w:rsid w:val="00F02060"/>
    <w:rsid w:val="00F147DD"/>
    <w:rsid w:val="00F73E38"/>
    <w:rsid w:val="00FB59C0"/>
    <w:rsid w:val="00FC247E"/>
    <w:rsid w:val="00FD76DE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5F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ED3C-D42A-492B-98BC-7890FB69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5762</Words>
  <Characters>34573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ksiodmiak</cp:lastModifiedBy>
  <cp:revision>4</cp:revision>
  <cp:lastPrinted>2016-11-08T13:43:00Z</cp:lastPrinted>
  <dcterms:created xsi:type="dcterms:W3CDTF">2016-11-08T09:59:00Z</dcterms:created>
  <dcterms:modified xsi:type="dcterms:W3CDTF">2016-11-24T07:13:00Z</dcterms:modified>
</cp:coreProperties>
</file>