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oraz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Gmina Wrocław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pełniąca funkcję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EA5F98" w:rsidRDefault="00EA5F98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D80756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</w:t>
      </w:r>
      <w:r w:rsidR="00057E78">
        <w:rPr>
          <w:rFonts w:cs="Arial"/>
          <w:b/>
          <w:sz w:val="32"/>
          <w:szCs w:val="32"/>
        </w:rPr>
        <w:t>5</w:t>
      </w:r>
      <w:r w:rsidR="001526E7">
        <w:rPr>
          <w:rFonts w:cs="Arial"/>
          <w:b/>
          <w:sz w:val="32"/>
          <w:szCs w:val="32"/>
        </w:rPr>
        <w:t xml:space="preserve"> </w:t>
      </w:r>
      <w:r w:rsidR="00057E78" w:rsidRPr="00057E78">
        <w:rPr>
          <w:rFonts w:cs="Arial"/>
          <w:b/>
          <w:sz w:val="32"/>
          <w:szCs w:val="32"/>
        </w:rPr>
        <w:t>Transport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 xml:space="preserve">Działanie </w:t>
      </w:r>
      <w:r w:rsidR="00057E78" w:rsidRPr="00057E78">
        <w:rPr>
          <w:rFonts w:cs="Arial"/>
          <w:b/>
          <w:sz w:val="32"/>
          <w:szCs w:val="32"/>
        </w:rPr>
        <w:t>5.</w:t>
      </w:r>
      <w:r w:rsidR="007C6E76">
        <w:rPr>
          <w:rFonts w:cs="Arial"/>
          <w:b/>
          <w:sz w:val="32"/>
          <w:szCs w:val="32"/>
        </w:rPr>
        <w:t>2</w:t>
      </w:r>
      <w:r w:rsidR="00057E78" w:rsidRPr="00057E78">
        <w:rPr>
          <w:rFonts w:cs="Arial"/>
          <w:b/>
          <w:sz w:val="32"/>
          <w:szCs w:val="32"/>
        </w:rPr>
        <w:t xml:space="preserve">. </w:t>
      </w:r>
      <w:r w:rsidR="007C6E76" w:rsidRPr="007C6E76">
        <w:rPr>
          <w:rFonts w:cs="Arial"/>
          <w:b/>
          <w:sz w:val="32"/>
          <w:szCs w:val="32"/>
        </w:rPr>
        <w:t>System transportu kolejowego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0"/>
    <w:bookmarkEnd w:id="1"/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Default="007C6E76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 xml:space="preserve">Poddziałanie 5.2.2. </w:t>
      </w:r>
      <w:r w:rsidRPr="007C6E76">
        <w:rPr>
          <w:rFonts w:eastAsia="Droid Sans Fallback" w:cs="Calibri"/>
          <w:b/>
          <w:color w:val="00000A"/>
          <w:sz w:val="32"/>
          <w:szCs w:val="32"/>
        </w:rPr>
        <w:t>System transportu kolejowego – ZIT WROF</w:t>
      </w: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Pr="00AB4722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sz w:val="32"/>
          <w:szCs w:val="32"/>
        </w:rPr>
      </w:pP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1526E7" w:rsidP="009D0E4F">
      <w:pPr>
        <w:spacing w:after="0"/>
        <w:jc w:val="center"/>
        <w:rPr>
          <w:b/>
          <w:sz w:val="32"/>
          <w:szCs w:val="32"/>
        </w:rPr>
      </w:pPr>
      <w:r w:rsidRPr="001526E7">
        <w:rPr>
          <w:b/>
          <w:sz w:val="32"/>
          <w:szCs w:val="32"/>
        </w:rPr>
        <w:t>Nr naboru RPDS.0</w:t>
      </w:r>
      <w:r w:rsidR="007C6E76">
        <w:rPr>
          <w:b/>
          <w:sz w:val="32"/>
          <w:szCs w:val="32"/>
        </w:rPr>
        <w:t>5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-IZ.00-02-</w:t>
      </w:r>
      <w:r w:rsidR="00862222">
        <w:rPr>
          <w:b/>
          <w:sz w:val="32"/>
          <w:szCs w:val="32"/>
        </w:rPr>
        <w:t>213</w:t>
      </w:r>
      <w:r w:rsidRPr="001526E7">
        <w:rPr>
          <w:b/>
          <w:sz w:val="32"/>
          <w:szCs w:val="32"/>
        </w:rPr>
        <w:t>/16</w:t>
      </w:r>
      <w:r w:rsidR="00ED2483" w:rsidRPr="00ED2483">
        <w:rPr>
          <w:b/>
          <w:sz w:val="32"/>
          <w:szCs w:val="32"/>
        </w:rPr>
        <w:br w:type="page"/>
      </w: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 xml:space="preserve"> Dz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iałanie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5.2.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, Poddziałanie 5.2.2.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 – ZIT WROF</w:t>
            </w:r>
          </w:p>
          <w:p w:rsidR="0094407C" w:rsidRPr="00F320A5" w:rsidRDefault="007C6E76" w:rsidP="00F320A5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  <w:b/>
              </w:rPr>
              <w:t xml:space="preserve">Nabór w trybie konkursowym – dla beneficjentów realizujących przedsięwzięcia na terenie Wrocławskiego Obszaru Funkcjonalnego określonego w Strategii ZIT </w:t>
            </w:r>
            <w:proofErr w:type="spellStart"/>
            <w:r w:rsidRPr="007C6E76">
              <w:rPr>
                <w:rFonts w:asciiTheme="minorHAnsi" w:hAnsiTheme="minorHAnsi"/>
                <w:b/>
              </w:rPr>
              <w:t>WrOF</w:t>
            </w:r>
            <w:proofErr w:type="spellEnd"/>
            <w:r w:rsidRPr="007C6E76">
              <w:rPr>
                <w:rFonts w:asciiTheme="minorHAnsi" w:hAnsiTheme="minorHAnsi"/>
                <w:b/>
              </w:rPr>
              <w:t>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</w:t>
            </w:r>
            <w:proofErr w:type="spellStart"/>
            <w:r w:rsidRPr="007C6E76">
              <w:rPr>
                <w:rFonts w:asciiTheme="minorHAnsi" w:hAnsiTheme="minorHAnsi"/>
              </w:rPr>
              <w:t>WrOF</w:t>
            </w:r>
            <w:proofErr w:type="spellEnd"/>
            <w:r w:rsidRPr="007C6E76">
              <w:rPr>
                <w:rFonts w:asciiTheme="minorHAnsi" w:hAnsiTheme="minorHAnsi"/>
              </w:rPr>
              <w:t>) pełniące role Instytucji Organizującej Konkurs.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Funkcję Instytucji Zarządzającej pełni Zarząd Województwa Dolnośląskiego.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 xml:space="preserve">Zadania związane z naborem realizuje Departament Funduszy Europejskich </w:t>
            </w:r>
            <w:r w:rsidR="005C7DF7">
              <w:rPr>
                <w:rFonts w:asciiTheme="minorHAnsi" w:hAnsiTheme="minorHAnsi"/>
              </w:rPr>
              <w:br/>
            </w:r>
            <w:r w:rsidRPr="007C6E76">
              <w:rPr>
                <w:rFonts w:asciiTheme="minorHAnsi" w:hAnsiTheme="minorHAnsi"/>
              </w:rPr>
              <w:t>w Urzędzie Marszałkowskim Województwa Dolnośląskiego, ul. Mazowiecka 17, 50-412 Wrocław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oraz Gmina Wrocław pełniąca funkcję Instytucji Pośredniczącej pl. Nowy Targ 1-8, 50-141 Wrocław</w:t>
            </w:r>
            <w:r w:rsidR="00EA5F98">
              <w:rPr>
                <w:rFonts w:asciiTheme="minorHAnsi" w:hAnsiTheme="minorHAnsi"/>
              </w:rPr>
              <w:t xml:space="preserve">, </w:t>
            </w:r>
            <w:r w:rsidR="00EA5F98" w:rsidRPr="00EA5F98">
              <w:rPr>
                <w:rFonts w:asciiTheme="minorHAnsi" w:hAnsiTheme="minorHAnsi"/>
              </w:rPr>
              <w:t xml:space="preserve">na podstawie porozumienia  zawartego pomiędzy IZ RPO WD a Gminą Wrocław pełniącą funkcję lidera ZIT </w:t>
            </w:r>
            <w:proofErr w:type="spellStart"/>
            <w:r w:rsidR="00EA5F98" w:rsidRPr="00EA5F98">
              <w:rPr>
                <w:rFonts w:asciiTheme="minorHAnsi" w:hAnsiTheme="minorHAnsi"/>
              </w:rPr>
              <w:t>WrOF</w:t>
            </w:r>
            <w:proofErr w:type="spellEnd"/>
            <w:r w:rsidR="00EA5F98" w:rsidRPr="00EA5F98">
              <w:rPr>
                <w:rFonts w:asciiTheme="minorHAnsi" w:hAnsiTheme="minorHAnsi"/>
              </w:rPr>
              <w:t xml:space="preserve"> oraz funkcję Instytucji Pośredniczącej, w ramach instrumentu Zintegrowane Inwestycje Terytorialne RPO WD</w:t>
            </w:r>
            <w:r w:rsidRPr="007C6E76">
              <w:rPr>
                <w:rFonts w:asciiTheme="minorHAnsi" w:hAnsiTheme="minorHAnsi"/>
              </w:rPr>
              <w:t>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94407C" w:rsidRPr="00F320A5" w:rsidRDefault="007C6E76" w:rsidP="007C6E76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C6E76">
              <w:rPr>
                <w:rFonts w:asciiTheme="minorHAnsi" w:hAnsiTheme="minorHAnsi"/>
              </w:rPr>
              <w:t xml:space="preserve">Porozumienie  zawarte pomiędzy IZ RPO WD a Gminą Wrocław pełniącą funkcję lidera ZIT </w:t>
            </w:r>
            <w:proofErr w:type="spellStart"/>
            <w:r w:rsidRPr="007C6E76">
              <w:rPr>
                <w:rFonts w:asciiTheme="minorHAnsi" w:hAnsiTheme="minorHAnsi"/>
              </w:rPr>
              <w:t>WrOF</w:t>
            </w:r>
            <w:proofErr w:type="spellEnd"/>
            <w:r w:rsidRPr="007C6E76">
              <w:rPr>
                <w:rFonts w:asciiTheme="minorHAnsi" w:hAnsiTheme="minorHAnsi"/>
              </w:rPr>
              <w:t xml:space="preserve"> i pełniącą funkcję Instytucji Pośredniczącej, w ramach instrumentu Zintegrowane Inwestycje Terytorialne RPO WD, reguluje zasady współpracy (prawa i obowiązki) w ramach ww. konkursu</w:t>
            </w:r>
          </w:p>
        </w:tc>
      </w:tr>
      <w:tr w:rsidR="00EA5F98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BA22E9">
              <w:rPr>
                <w:rFonts w:asciiTheme="minorHAnsi" w:hAnsiTheme="minorHAnsi" w:cs="Calibri"/>
                <w:color w:val="000000"/>
              </w:rPr>
              <w:t xml:space="preserve">Przedmiotem konkursu jest typ projektów określony 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</w:t>
            </w:r>
            <w:r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5C7DF7">
              <w:rPr>
                <w:rFonts w:asciiTheme="minorHAnsi" w:hAnsiTheme="minorHAnsi" w:cs="Calibri"/>
                <w:color w:val="000000"/>
              </w:rPr>
              <w:t xml:space="preserve">dla </w:t>
            </w:r>
            <w:r>
              <w:rPr>
                <w:rFonts w:asciiTheme="minorHAnsi" w:hAnsiTheme="minorHAnsi" w:cs="Calibri"/>
                <w:color w:val="000000"/>
              </w:rPr>
              <w:t xml:space="preserve">Działania </w:t>
            </w:r>
            <w:r w:rsidRPr="005C7DF7">
              <w:rPr>
                <w:rFonts w:asciiTheme="minorHAnsi" w:hAnsiTheme="minorHAnsi" w:cs="Calibri"/>
                <w:color w:val="000000"/>
              </w:rPr>
              <w:t>5.2. System transportu kolejowego, Poddziałanie 5.2.2. System transportu kolejowego – ZIT WROF:</w:t>
            </w:r>
          </w:p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E64E65">
              <w:rPr>
                <w:rFonts w:asciiTheme="minorHAnsi" w:hAnsiTheme="minorHAnsi" w:cs="Calibri"/>
                <w:color w:val="000000"/>
              </w:rPr>
              <w:t>5.2.B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F7600D">
              <w:rPr>
                <w:rFonts w:asciiTheme="minorHAnsi" w:hAnsiTheme="minorHAnsi" w:cs="Calibri"/>
                <w:color w:val="000000"/>
              </w:rPr>
              <w:t>Zgodnie z założeniami planu transportowego połączenia (linie komunikacyjne) o charakterze wojewódzkim w obszarze aglomeracyjnym pełnią także rolę połączeń o charakterze aglomeracyjnym.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 w:rsidRPr="00F626B2">
              <w:rPr>
                <w:rFonts w:eastAsia="Times New Roman" w:cs="Arial"/>
              </w:rPr>
              <w:t>Przez inwestycje punktowe należy rozumieć: dworce/stacje kolejowe, bazy kolejowe (infrastruktura zw</w:t>
            </w:r>
            <w:r>
              <w:rPr>
                <w:rFonts w:eastAsia="Times New Roman" w:cs="Arial"/>
              </w:rPr>
              <w:t>iązana z bieżącą obsługą taboru np. miejsca postojowe taboru, hale taborowe, hale warsztatowo-taborowe, zaplecze techniczne)</w:t>
            </w:r>
            <w:r w:rsidRPr="00F626B2">
              <w:rPr>
                <w:rFonts w:eastAsia="Times New Roman" w:cs="Arial"/>
              </w:rPr>
              <w:t>, bocznice/centra przeładunkowe.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Zgodnie z </w:t>
            </w:r>
            <w:r w:rsidRPr="00373F12">
              <w:rPr>
                <w:rFonts w:eastAsia="Times New Roman" w:cs="Arial"/>
              </w:rPr>
              <w:t>Ustaw</w:t>
            </w:r>
            <w:r>
              <w:rPr>
                <w:rFonts w:eastAsia="Times New Roman" w:cs="Arial"/>
              </w:rPr>
              <w:t>ą</w:t>
            </w:r>
            <w:r w:rsidRPr="00373F12">
              <w:rPr>
                <w:rFonts w:eastAsia="Times New Roman" w:cs="Arial"/>
              </w:rPr>
              <w:t xml:space="preserve"> z dnia 28 marca 2003 r. o transporcie kolejowym (Dz.U. 2003 nr </w:t>
            </w:r>
            <w:r w:rsidRPr="00373F12">
              <w:rPr>
                <w:rFonts w:eastAsia="Times New Roman" w:cs="Arial"/>
              </w:rPr>
              <w:lastRenderedPageBreak/>
              <w:t>86 poz. 789)</w:t>
            </w:r>
            <w:r>
              <w:rPr>
                <w:rFonts w:eastAsia="Times New Roman" w:cs="Arial"/>
              </w:rPr>
              <w:t xml:space="preserve"> art. 4. pkt 8a) </w:t>
            </w:r>
            <w:r w:rsidRPr="00373F12">
              <w:rPr>
                <w:rFonts w:eastAsia="Times New Roman" w:cs="Arial"/>
              </w:rPr>
              <w:t xml:space="preserve">dworzec kolejowy </w:t>
            </w:r>
            <w:r>
              <w:rPr>
                <w:rFonts w:eastAsia="Times New Roman" w:cs="Arial"/>
              </w:rPr>
              <w:t>to</w:t>
            </w:r>
            <w:r w:rsidRPr="00373F12">
              <w:rPr>
                <w:rFonts w:eastAsia="Times New Roman" w:cs="Arial"/>
              </w:rPr>
              <w:t xml:space="preserve"> usytuowany na obszarze kolejowym obiekt budowlany lub zespół obiektów budowlanych do obsługi podróżnych lub usług towarzyszących</w:t>
            </w:r>
            <w:r>
              <w:rPr>
                <w:rFonts w:eastAsia="Times New Roman" w:cs="Arial"/>
              </w:rPr>
              <w:t xml:space="preserve"> </w:t>
            </w:r>
            <w:r w:rsidRPr="00373F12">
              <w:rPr>
                <w:rFonts w:eastAsia="Times New Roman" w:cs="Arial"/>
              </w:rPr>
              <w:t>tej obsłudze, który może również obejmować urządzenia do wykonywania czynności związanych z prowadzeniem ruchu pociągów</w:t>
            </w:r>
            <w:r>
              <w:rPr>
                <w:rFonts w:eastAsia="Times New Roman" w:cs="Arial"/>
              </w:rPr>
              <w:t>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Przez usługi towarzyszące obsłudze podróżnych należy rozumieć :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</w:t>
            </w:r>
            <w:r w:rsidRPr="003E0731">
              <w:rPr>
                <w:rFonts w:eastAsia="Times New Roman" w:cs="Arial"/>
              </w:rPr>
              <w:t>asy biletowe</w:t>
            </w:r>
            <w:r>
              <w:rPr>
                <w:rFonts w:eastAsia="Times New Roman" w:cs="Arial"/>
              </w:rPr>
              <w:t xml:space="preserve">;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4A263C">
              <w:rPr>
                <w:rFonts w:eastAsia="Times New Roman" w:cs="Arial"/>
              </w:rPr>
              <w:t>system sprzedaży biletów</w:t>
            </w:r>
            <w:r>
              <w:rPr>
                <w:rFonts w:eastAsia="Times New Roman" w:cs="Arial"/>
              </w:rPr>
              <w:t>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4A263C">
              <w:rPr>
                <w:rFonts w:eastAsia="Times New Roman" w:cs="Arial"/>
              </w:rPr>
              <w:t>ablice</w:t>
            </w:r>
            <w:r>
              <w:rPr>
                <w:rFonts w:eastAsia="Times New Roman" w:cs="Arial"/>
              </w:rPr>
              <w:t xml:space="preserve"> informacji pasażerskiej,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i</w:t>
            </w:r>
            <w:r w:rsidRPr="004A263C">
              <w:rPr>
                <w:rFonts w:eastAsia="Times New Roman" w:cs="Arial"/>
              </w:rPr>
              <w:t>nfomaty</w:t>
            </w:r>
            <w:proofErr w:type="spellEnd"/>
            <w:r w:rsidRPr="004A263C">
              <w:rPr>
                <w:rFonts w:eastAsia="Times New Roman" w:cs="Arial"/>
              </w:rPr>
              <w:t xml:space="preserve"> i bezpłatny dostęp do Internetu</w:t>
            </w:r>
            <w:r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</w:t>
            </w:r>
            <w:r w:rsidRPr="004A263C">
              <w:rPr>
                <w:rFonts w:eastAsia="Times New Roman" w:cs="Arial"/>
              </w:rPr>
              <w:t>iejsce/a przeznaczone dla osób podróżujących z małymi dziećmi,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 informacyjny</w:t>
            </w:r>
            <w:r>
              <w:rPr>
                <w:rFonts w:eastAsia="Times New Roman" w:cs="Arial"/>
              </w:rPr>
              <w:t xml:space="preserve"> dot. komunikacji publicznej</w:t>
            </w:r>
            <w:r w:rsidRPr="00C478DB"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poczekalnia (dzienna/nocna),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przechowalnia bagażu/ skrytki bagażowe,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toalety,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punkty gastronomiczne i/lub prasowe.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</w:p>
          <w:p w:rsidR="00EA5F98" w:rsidRPr="00C478DB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Niekwalifikowalne (w całości) będą części przeznaczone np. na bazę noclegową, usługi SPA, fryzjer, apteka, kantor, punkty informacji turystycznej, punkt pocztowy i inne usługi wielobranżowe niezwiązane z celem projektu.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B039E">
              <w:rPr>
                <w:rFonts w:asciiTheme="minorHAnsi" w:hAnsiTheme="minorHAnsi" w:cs="Arial"/>
              </w:rPr>
              <w:t xml:space="preserve">Projekty powinny być zgodne z dokumentem pod nazwą </w:t>
            </w:r>
            <w:r>
              <w:rPr>
                <w:rFonts w:asciiTheme="minorHAnsi" w:hAnsiTheme="minorHAnsi" w:cs="Arial"/>
              </w:rPr>
              <w:t>„Plan wypełnienia warunkowości ex-</w:t>
            </w:r>
            <w:proofErr w:type="spellStart"/>
            <w:r>
              <w:rPr>
                <w:rFonts w:asciiTheme="minorHAnsi" w:hAnsiTheme="minorHAnsi" w:cs="Arial"/>
              </w:rPr>
              <w:t>ante</w:t>
            </w:r>
            <w:proofErr w:type="spellEnd"/>
            <w:r>
              <w:rPr>
                <w:rFonts w:asciiTheme="minorHAnsi" w:hAnsiTheme="minorHAnsi" w:cs="Arial"/>
              </w:rPr>
              <w:t xml:space="preserve"> w zakresie inwestycji transportowych w ramach funduszy EFRR 2014-2020 dla Województwa Dolnośląskiego”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bę</w:t>
            </w:r>
            <w:r w:rsidRPr="00BB039E">
              <w:rPr>
                <w:rFonts w:asciiTheme="minorHAnsi" w:hAnsiTheme="minorHAnsi" w:cs="Arial"/>
              </w:rPr>
              <w:t>dącym dokumentem przygotowanym w ramach spełnienia warunku ex-</w:t>
            </w:r>
            <w:proofErr w:type="spellStart"/>
            <w:r w:rsidRPr="00BB039E">
              <w:rPr>
                <w:rFonts w:asciiTheme="minorHAnsi" w:hAnsiTheme="minorHAnsi" w:cs="Arial"/>
              </w:rPr>
              <w:t>ante</w:t>
            </w:r>
            <w:proofErr w:type="spellEnd"/>
            <w:r>
              <w:rPr>
                <w:rFonts w:asciiTheme="minorHAnsi" w:hAnsiTheme="minorHAnsi" w:cs="Arial"/>
              </w:rPr>
              <w:t xml:space="preserve">. Dokument ten stanowi integralną część </w:t>
            </w:r>
            <w:r w:rsidRPr="00BB039E">
              <w:rPr>
                <w:rFonts w:asciiTheme="minorHAnsi" w:hAnsiTheme="minorHAnsi" w:cs="Arial"/>
              </w:rPr>
              <w:t>„Regionaln</w:t>
            </w:r>
            <w:r>
              <w:rPr>
                <w:rFonts w:asciiTheme="minorHAnsi" w:hAnsiTheme="minorHAnsi" w:cs="Arial"/>
              </w:rPr>
              <w:t>ej</w:t>
            </w:r>
            <w:r w:rsidRPr="00BB039E">
              <w:rPr>
                <w:rFonts w:asciiTheme="minorHAnsi" w:hAnsiTheme="minorHAnsi" w:cs="Arial"/>
              </w:rPr>
              <w:t xml:space="preserve"> Polityk</w:t>
            </w:r>
            <w:r>
              <w:rPr>
                <w:rFonts w:asciiTheme="minorHAnsi" w:hAnsiTheme="minorHAnsi" w:cs="Arial"/>
              </w:rPr>
              <w:t>i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Transportowej</w:t>
            </w:r>
            <w:r w:rsidRPr="00BB039E">
              <w:rPr>
                <w:rFonts w:asciiTheme="minorHAnsi" w:hAnsiTheme="minorHAnsi" w:cs="Arial"/>
              </w:rPr>
              <w:t xml:space="preserve"> Województwa Dolnośląskiego</w:t>
            </w:r>
            <w:r>
              <w:rPr>
                <w:rFonts w:asciiTheme="minorHAnsi" w:hAnsiTheme="minorHAnsi" w:cs="Arial"/>
              </w:rPr>
              <w:t>”.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545AC">
              <w:rPr>
                <w:rFonts w:asciiTheme="minorHAnsi" w:hAnsiTheme="minorHAnsi" w:cs="Arial"/>
              </w:rPr>
              <w:t>http://bip.umwd.dolnyslask.pl/dokument,iddok,33983,idmp,538,r,r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Niekwalifikowalne będą: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127BE">
              <w:rPr>
                <w:rFonts w:asciiTheme="minorHAnsi" w:hAnsiTheme="minorHAnsi"/>
              </w:rPr>
              <w:t>ydatki na remont i bieżące utrzy</w:t>
            </w:r>
            <w:r>
              <w:rPr>
                <w:rFonts w:asciiTheme="minorHAnsi" w:hAnsiTheme="minorHAnsi"/>
              </w:rPr>
              <w:t>manie infrastruktury kolejowej;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127BE">
              <w:rPr>
                <w:rFonts w:asciiTheme="minorHAnsi" w:hAnsiTheme="minorHAnsi"/>
              </w:rPr>
              <w:t xml:space="preserve">wydatki na infrastrukturę poza obszarem dworca lub przystanku kolejowego, która nie służy bezpośrednio podróżnym korzystającym z połączeń kolejowych na linii, którą obsługuje </w:t>
            </w:r>
            <w:r>
              <w:rPr>
                <w:rFonts w:asciiTheme="minorHAnsi" w:hAnsiTheme="minorHAnsi"/>
              </w:rPr>
              <w:t>dworzec lub przystanek kolejowy;</w:t>
            </w:r>
          </w:p>
          <w:p w:rsidR="00643BF2" w:rsidRPr="005545AC" w:rsidRDefault="00643BF2" w:rsidP="00643BF2">
            <w:pPr>
              <w:pStyle w:val="Standard"/>
              <w:spacing w:after="0" w:line="240" w:lineRule="auto"/>
              <w:ind w:left="774"/>
              <w:jc w:val="both"/>
              <w:rPr>
                <w:rFonts w:asciiTheme="minorHAnsi" w:hAnsiTheme="minorHAnsi"/>
              </w:rPr>
            </w:pPr>
          </w:p>
          <w:p w:rsidR="00EA5F98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91050">
              <w:rPr>
                <w:rFonts w:asciiTheme="minorHAnsi" w:hAnsiTheme="minorHAnsi"/>
              </w:rPr>
              <w:t>Lokalizacja w odniesieniu do sieci TEN-T</w:t>
            </w:r>
            <w:r>
              <w:rPr>
                <w:rFonts w:asciiTheme="minorHAnsi" w:hAnsiTheme="minorHAnsi"/>
              </w:rPr>
              <w:t>: przez linię doprowadzającą</w:t>
            </w:r>
            <w:r w:rsidRPr="00191050">
              <w:rPr>
                <w:rFonts w:asciiTheme="minorHAnsi" w:hAnsiTheme="minorHAnsi"/>
              </w:rPr>
              <w:t xml:space="preserve"> ruch bezpośrednio do sieci TEN-T</w:t>
            </w:r>
            <w:r>
              <w:rPr>
                <w:rFonts w:asciiTheme="minorHAnsi" w:hAnsiTheme="minorHAnsi"/>
              </w:rPr>
              <w:t xml:space="preserve"> należy rozumieć linię kolejową, która łączy się w sposób bezpośredni z linią znajdująca się w sieci TEN-T tj. zakładając że linia kolejowa A jest linią znajdująca się w sieci TEN-T a linia kolejowa B nie, to bezpośrednim połączeniem będzie gdy linia kolejowa B łączy się z linią kolejową A bez udział</w:t>
            </w:r>
            <w:bookmarkStart w:id="2" w:name="_GoBack"/>
            <w:bookmarkEnd w:id="2"/>
            <w:r>
              <w:rPr>
                <w:rFonts w:asciiTheme="minorHAnsi" w:hAnsiTheme="minorHAnsi"/>
              </w:rPr>
              <w:t>u linii o innych numerze.</w:t>
            </w:r>
          </w:p>
          <w:p w:rsidR="006E471F" w:rsidRDefault="006E471F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E471F" w:rsidRDefault="006E471F" w:rsidP="006E471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Mapa obrazująca linie w sieci TEN-T – rysunek 6 w „</w:t>
            </w:r>
            <w:r w:rsidRPr="004919C2">
              <w:rPr>
                <w:rFonts w:asciiTheme="minorHAnsi" w:hAnsiTheme="minorHAnsi"/>
              </w:rPr>
              <w:t>Plan</w:t>
            </w:r>
            <w:r>
              <w:rPr>
                <w:rFonts w:asciiTheme="minorHAnsi" w:hAnsiTheme="minorHAnsi"/>
              </w:rPr>
              <w:t>ie</w:t>
            </w:r>
            <w:r w:rsidRPr="004919C2">
              <w:rPr>
                <w:rFonts w:asciiTheme="minorHAnsi" w:hAnsiTheme="minorHAnsi"/>
              </w:rPr>
              <w:t xml:space="preserve"> wypełnienia warunkowości ex-</w:t>
            </w:r>
            <w:proofErr w:type="spellStart"/>
            <w:r w:rsidRPr="004919C2">
              <w:rPr>
                <w:rFonts w:asciiTheme="minorHAnsi" w:hAnsiTheme="minorHAnsi"/>
              </w:rPr>
              <w:t>ante</w:t>
            </w:r>
            <w:proofErr w:type="spellEnd"/>
            <w:r w:rsidRPr="004919C2">
              <w:rPr>
                <w:rFonts w:asciiTheme="minorHAnsi" w:hAnsiTheme="minorHAnsi"/>
              </w:rPr>
              <w:t xml:space="preserve"> w zakresie inwestycji transportowych w ramach funduszy EFRR 2014-2020 dla Województwa Dolnośląskiego</w:t>
            </w:r>
            <w:r>
              <w:rPr>
                <w:rFonts w:asciiTheme="minorHAnsi" w:hAnsiTheme="minorHAnsi"/>
              </w:rPr>
              <w:t>”.</w:t>
            </w:r>
          </w:p>
          <w:p w:rsidR="00643BF2" w:rsidRPr="0037435B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Pr="005C07F6" w:rsidRDefault="00EA5F98" w:rsidP="00725EB9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37435B">
              <w:rPr>
                <w:rFonts w:asciiTheme="minorHAnsi" w:hAnsiTheme="minorHAnsi"/>
              </w:rPr>
              <w:t>Kategorią interwencji (zakresem interwencji dominującym) dla niniejsz</w:t>
            </w:r>
            <w:r>
              <w:rPr>
                <w:rFonts w:asciiTheme="minorHAnsi" w:hAnsiTheme="minorHAnsi"/>
              </w:rPr>
              <w:t>ego</w:t>
            </w:r>
            <w:r w:rsidRPr="0037435B">
              <w:rPr>
                <w:rFonts w:asciiTheme="minorHAnsi" w:hAnsiTheme="minorHAnsi"/>
              </w:rPr>
              <w:t xml:space="preserve"> konkurs</w:t>
            </w:r>
            <w:r>
              <w:rPr>
                <w:rFonts w:asciiTheme="minorHAnsi" w:hAnsiTheme="minorHAnsi"/>
              </w:rPr>
              <w:t>u</w:t>
            </w:r>
            <w:r w:rsidRPr="0037435B">
              <w:rPr>
                <w:rFonts w:asciiTheme="minorHAnsi" w:hAnsiTheme="minorHAnsi"/>
              </w:rPr>
              <w:t xml:space="preserve"> jest kategoria </w:t>
            </w:r>
            <w:r>
              <w:rPr>
                <w:rFonts w:asciiTheme="minorHAnsi" w:hAnsiTheme="minorHAnsi"/>
              </w:rPr>
              <w:t>026 Inne koleje</w:t>
            </w:r>
            <w:r w:rsidRPr="0037435B">
              <w:rPr>
                <w:rFonts w:asciiTheme="minorHAnsi" w:hAnsiTheme="minorHAnsi"/>
              </w:rPr>
              <w:t>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</w:rPr>
              <w:t>jednostki samorządu terytorialneg</w:t>
            </w:r>
            <w:r>
              <w:rPr>
                <w:rFonts w:asciiTheme="minorHAnsi" w:eastAsia="TTE1ABE920t00" w:hAnsiTheme="minorHAnsi" w:cs="Arial"/>
              </w:rPr>
              <w:t>o ich związki i stowarzyszenia;</w:t>
            </w:r>
          </w:p>
          <w:p w:rsidR="005432CD" w:rsidRP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1526E7" w:rsidRPr="006B3AD5" w:rsidRDefault="005432CD" w:rsidP="006B3AD5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zarządcy infrastruktury (w tym dworcowej) lub przewoźnicy kolejowi zgodnie z ustawą z dnia 28 marca 2003 r. o transporcie kolejowym (Dz. U. nr 86, poz. 789 ze zmianami) – spółki akcyjne, spółki z ograniczoną odpowiedzialnością; </w:t>
            </w:r>
          </w:p>
          <w:p w:rsidR="001526E7" w:rsidRPr="00F320A5" w:rsidRDefault="001526E7" w:rsidP="00F320A5">
            <w:pPr>
              <w:pStyle w:val="Akapitzlist"/>
              <w:spacing w:before="0" w:line="240" w:lineRule="auto"/>
              <w:ind w:left="709" w:hanging="283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4407C" w:rsidRPr="00F320A5" w:rsidRDefault="001526E7" w:rsidP="001526E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F320A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BF32C7" w:rsidRDefault="001526E7" w:rsidP="001526E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F32C7">
              <w:rPr>
                <w:rFonts w:asciiTheme="minorHAnsi" w:hAnsiTheme="minorHAnsi" w:cs="Arial"/>
              </w:rPr>
              <w:t xml:space="preserve">Dla przedmiotowego konkursu ogłaszanego w ramach </w:t>
            </w:r>
            <w:r w:rsidRPr="00BF32C7">
              <w:rPr>
                <w:rFonts w:asciiTheme="minorHAnsi" w:eastAsia="Droid Sans Fallback" w:hAnsiTheme="minorHAnsi" w:cs="Calibri"/>
                <w:b/>
              </w:rPr>
              <w:t>Działania </w:t>
            </w:r>
            <w:r w:rsidR="005D723C" w:rsidRPr="00BF32C7">
              <w:rPr>
                <w:rFonts w:asciiTheme="minorHAnsi" w:eastAsia="Droid Sans Fallback" w:hAnsiTheme="minorHAnsi" w:cs="Calibri"/>
                <w:b/>
              </w:rPr>
              <w:t>5.2. System transportu kolejowego</w:t>
            </w:r>
            <w:r w:rsidRPr="00BF32C7">
              <w:rPr>
                <w:rFonts w:asciiTheme="minorHAnsi" w:hAnsiTheme="minorHAnsi" w:cs="Arial"/>
              </w:rPr>
              <w:t xml:space="preserve"> </w:t>
            </w:r>
            <w:r w:rsidRPr="00BF32C7">
              <w:rPr>
                <w:rFonts w:asciiTheme="minorHAnsi" w:hAnsiTheme="minorHAnsi" w:cs="Calibri"/>
              </w:rPr>
              <w:t xml:space="preserve">alokacja w wysokości </w:t>
            </w:r>
            <w:r w:rsidR="00BF32C7" w:rsidRPr="00BF32C7">
              <w:rPr>
                <w:rFonts w:asciiTheme="minorHAnsi" w:hAnsiTheme="minorHAnsi" w:cs="ArialMT"/>
              </w:rPr>
              <w:t xml:space="preserve">1 020 469 </w:t>
            </w:r>
            <w:r w:rsidRPr="00BF32C7">
              <w:rPr>
                <w:rFonts w:asciiTheme="minorHAnsi" w:hAnsiTheme="minorHAnsi" w:cs="ArialMT"/>
              </w:rPr>
              <w:t xml:space="preserve">euro tj.  </w:t>
            </w:r>
            <w:r w:rsidR="00BF32C7" w:rsidRPr="00BF32C7">
              <w:rPr>
                <w:rFonts w:asciiTheme="minorHAnsi" w:hAnsiTheme="minorHAnsi" w:cs="ArialMT"/>
              </w:rPr>
              <w:t>4 419 345,10</w:t>
            </w:r>
            <w:r w:rsidRPr="00BF32C7">
              <w:rPr>
                <w:rFonts w:asciiTheme="minorHAnsi" w:hAnsiTheme="minorHAnsi" w:cs="ArialMT"/>
              </w:rPr>
              <w:t xml:space="preserve"> zł</w:t>
            </w:r>
          </w:p>
          <w:p w:rsidR="001526E7" w:rsidRPr="00BF32C7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r w:rsidRPr="00BF32C7">
              <w:rPr>
                <w:rFonts w:asciiTheme="minorHAnsi" w:hAnsiTheme="minorHAnsi" w:cs="MS Sans Serif"/>
              </w:rPr>
              <w:t xml:space="preserve">Alokacja przeliczona po kursie Europejskiego Banku Centralnego (EBC) obowiązującym w </w:t>
            </w:r>
            <w:r w:rsidR="00BF32C7" w:rsidRPr="00BF32C7">
              <w:rPr>
                <w:rFonts w:asciiTheme="minorHAnsi" w:hAnsiTheme="minorHAnsi" w:cs="MS Sans Serif"/>
              </w:rPr>
              <w:t>listopadzie</w:t>
            </w:r>
            <w:r w:rsidRPr="00BF32C7">
              <w:rPr>
                <w:rFonts w:asciiTheme="minorHAnsi" w:hAnsiTheme="minorHAnsi" w:cs="MS Sans Serif"/>
              </w:rPr>
              <w:t xml:space="preserve">  2016 r. – 1 euro = </w:t>
            </w:r>
            <w:r w:rsidR="00BF32C7" w:rsidRPr="00BF32C7">
              <w:rPr>
                <w:rFonts w:asciiTheme="minorHAnsi" w:hAnsiTheme="minorHAnsi"/>
              </w:rPr>
              <w:t xml:space="preserve">4,3307 </w:t>
            </w:r>
            <w:r w:rsidRPr="00BF32C7">
              <w:rPr>
                <w:rFonts w:asciiTheme="minorHAnsi" w:hAnsiTheme="minorHAnsi" w:cs="MS Sans Serif"/>
              </w:rPr>
              <w:t>zł.</w:t>
            </w:r>
          </w:p>
          <w:p w:rsidR="001526E7" w:rsidRPr="00BF32C7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  <w:shd w:val="clear" w:color="auto" w:fill="FFFF00"/>
              </w:rPr>
            </w:pPr>
          </w:p>
          <w:p w:rsidR="0094407C" w:rsidRPr="00BF32C7" w:rsidRDefault="001526E7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  <w:r w:rsidRPr="00BF32C7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BF32C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BF32C7">
              <w:rPr>
                <w:rFonts w:asciiTheme="minorHAnsi" w:hAnsiTheme="minorHAnsi" w:cs="Arial"/>
              </w:rPr>
              <w:t xml:space="preserve">500 000 </w:t>
            </w:r>
            <w:r w:rsidR="001526E7" w:rsidRPr="00F320A5">
              <w:rPr>
                <w:rFonts w:asciiTheme="minorHAnsi" w:hAnsiTheme="minorHAnsi" w:cs="Arial"/>
              </w:rPr>
              <w:t>zł (wydatki całkowite)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75551F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dotyczy</w:t>
            </w:r>
          </w:p>
        </w:tc>
      </w:tr>
      <w:tr w:rsidR="00EA5F98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F320A5" w:rsidRDefault="00EA5F98" w:rsidP="00F320A5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D10320" w:rsidRDefault="00EA5F98" w:rsidP="00725EB9">
            <w:pPr>
              <w:spacing w:after="0" w:line="240" w:lineRule="auto"/>
              <w:jc w:val="both"/>
              <w:rPr>
                <w:rFonts w:asciiTheme="minorHAnsi" w:eastAsia="Droid Sans Fallback" w:hAnsiTheme="minorHAnsi" w:cs="Calibri"/>
              </w:rPr>
            </w:pPr>
            <w:r w:rsidRPr="00BA22E9">
              <w:rPr>
                <w:rFonts w:asciiTheme="minorHAnsi" w:eastAsia="Droid Sans Fallback" w:hAnsiTheme="minorHAnsi" w:cs="Calibri"/>
              </w:rPr>
              <w:t>Maksymalny poziom dofinansowania U</w:t>
            </w:r>
            <w:r>
              <w:rPr>
                <w:rFonts w:asciiTheme="minorHAnsi" w:eastAsia="Droid Sans Fallback" w:hAnsiTheme="minorHAnsi" w:cs="Calibri"/>
              </w:rPr>
              <w:t xml:space="preserve">E na poziomie projektu wynosi: 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nie generujących dochodu – 85%;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generujących dochód – zgodnie z wyliczeniami luki finansowej ale nie więcej niż 85%</w:t>
            </w:r>
          </w:p>
          <w:p w:rsidR="00EA5F98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/pomocą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mis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/rekompensatą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w wysokości wynikającej z reguł pomocy public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nej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/pomocy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/rekompensaty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ale nie więcej niż 85%;</w:t>
            </w: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36BD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</w:t>
            </w:r>
            <w:r w:rsidRPr="00BC36BD">
              <w:rPr>
                <w:rFonts w:asciiTheme="minorHAnsi" w:hAnsiTheme="minorHAnsi"/>
                <w:color w:val="auto"/>
                <w:sz w:val="22"/>
                <w:szCs w:val="22"/>
              </w:rPr>
              <w:t>k</w:t>
            </w:r>
            <w:r w:rsidRPr="00BC36BD">
              <w:rPr>
                <w:rFonts w:asciiTheme="minorHAnsi" w:hAnsiTheme="minorHAnsi"/>
                <w:color w:val="auto"/>
                <w:sz w:val="22"/>
                <w:szCs w:val="22"/>
              </w:rPr>
              <w:t>symalnego dofinansowania w projekcie może być wyższy niż wynikający z reguł pomocy publicznej (ale nie więcej niż 85%).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EA5F98" w:rsidRPr="00AE62A8" w:rsidRDefault="00EA5F98" w:rsidP="00725EB9">
            <w:pPr>
              <w:pStyle w:val="Default"/>
              <w:suppressAutoHyphens w:val="0"/>
              <w:autoSpaceDE w:val="0"/>
              <w:adjustRightInd w:val="0"/>
              <w:ind w:left="36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5F98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BA22E9" w:rsidRDefault="00EA5F98" w:rsidP="00725EB9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sz w:val="22"/>
                <w:szCs w:val="22"/>
              </w:rPr>
              <w:t xml:space="preserve">Minimalny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C478DB">
              <w:rPr>
                <w:rFonts w:asciiTheme="minorHAnsi" w:hAnsiTheme="minorHAnsi"/>
                <w:sz w:val="22"/>
                <w:szCs w:val="22"/>
              </w:rPr>
              <w:t>kład własny beneficjenta na poziomie projektu  wynosi co najmniej 15%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 forma składania wniosków o dofinansowanie projektu:</w:t>
            </w:r>
          </w:p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Wnioskodawca wypełnia wniosek o dofinansowanie za pośrednictwem aplikacji – 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Generator wniosków o dofinansowanie EFRR – dostępny na stronie https://snow-umwd.dolnyslask.pl/ i przesyła do IOK w ramach niniejszego konkursu w terminie </w:t>
            </w:r>
            <w:r w:rsidRPr="00EA5F98">
              <w:rPr>
                <w:rFonts w:asciiTheme="minorHAnsi" w:hAnsiTheme="minorHAnsi" w:cs="Arial"/>
                <w:b/>
                <w:sz w:val="22"/>
                <w:szCs w:val="22"/>
              </w:rPr>
              <w:t>od godz. 8:00 dnia 09 stycznia 2017 r. do godz. 15:00 dnia 07 lutego 2017 r.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 15:00 dnia </w:t>
            </w:r>
            <w:r>
              <w:rPr>
                <w:rFonts w:asciiTheme="minorHAnsi" w:hAnsiTheme="minorHAnsi" w:cs="Arial"/>
                <w:sz w:val="22"/>
                <w:szCs w:val="22"/>
              </w:rPr>
              <w:t>07 lutego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2017 r.) do siedziby IOK należy dostarczyć jeden egzemplarz wydrukowanej z aplikacji Generator wniosków papierowej wersji wniosku o dofinansowanie, opatrzonej czytelnym podpisem/-</w:t>
            </w:r>
            <w:proofErr w:type="spellStart"/>
            <w:r w:rsidRPr="005D438D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5D438D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5D438D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Za datę wpływu wniosku o dofinansowanie do IOK uznaje się datę wpływu wersji papierowej. Papierowa wersja wniosku może zostać dostarczona: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 w rozumieniu ustawy z dnia 23 listopada 2012 r. – Prawo pocztowe, na adres: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pełna nazwa Wnioskodawcy wraz z adresem;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wniosek o dofinansowanie projektu w ramach naboru nr (…);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tytuł projektu;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„Nie otwierać przed wpływem do Wydziału Wdrażania EFRR”.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5D438D" w:rsidP="005D438D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D438D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 innej, niż wyżej opisana formie. Decyzja w powyższej kwestii zostanie przedstawiona w formie komunikatu we wszystkich miejscach, gdzie opublikowano ogłoszenie.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5D438D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5D438D">
              <w:rPr>
                <w:rFonts w:asciiTheme="minorHAnsi" w:hAnsiTheme="minorHAnsi" w:cs="Calibri"/>
              </w:rPr>
              <w:t>Wszystkie kwestie dotyczące naboru opisane zostały w Regulaminie, który dostępny jest wraz z załącznikami poniżej w ramach dokumentacji konkursowej oraz na portalu Funduszy Europejskich (www.funduszeeuropejskie.gov.pl) i na www.zitwrof.pl.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0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E4" w:rsidRDefault="006C2AE4" w:rsidP="0094407C">
      <w:pPr>
        <w:spacing w:after="0" w:line="240" w:lineRule="auto"/>
      </w:pPr>
      <w:r>
        <w:separator/>
      </w:r>
    </w:p>
  </w:endnote>
  <w:end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1E" w:rsidRDefault="00F320A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6E471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E4" w:rsidRDefault="006C2AE4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A505E7"/>
    <w:multiLevelType w:val="hybridMultilevel"/>
    <w:tmpl w:val="435EF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C73680"/>
    <w:multiLevelType w:val="hybridMultilevel"/>
    <w:tmpl w:val="F988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6519"/>
    <w:multiLevelType w:val="multilevel"/>
    <w:tmpl w:val="742E70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3760A13"/>
    <w:multiLevelType w:val="hybridMultilevel"/>
    <w:tmpl w:val="521C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7AE6B2F"/>
    <w:multiLevelType w:val="hybridMultilevel"/>
    <w:tmpl w:val="596883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051ACB"/>
    <w:multiLevelType w:val="hybridMultilevel"/>
    <w:tmpl w:val="3FC844CE"/>
    <w:lvl w:ilvl="0" w:tplc="D336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73B0B37"/>
    <w:multiLevelType w:val="hybridMultilevel"/>
    <w:tmpl w:val="BF16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AA14446"/>
    <w:multiLevelType w:val="hybridMultilevel"/>
    <w:tmpl w:val="0018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30"/>
  </w:num>
  <w:num w:numId="3">
    <w:abstractNumId w:val="53"/>
  </w:num>
  <w:num w:numId="4">
    <w:abstractNumId w:val="28"/>
  </w:num>
  <w:num w:numId="5">
    <w:abstractNumId w:val="2"/>
  </w:num>
  <w:num w:numId="6">
    <w:abstractNumId w:val="46"/>
  </w:num>
  <w:num w:numId="7">
    <w:abstractNumId w:val="9"/>
  </w:num>
  <w:num w:numId="8">
    <w:abstractNumId w:val="60"/>
  </w:num>
  <w:num w:numId="9">
    <w:abstractNumId w:val="38"/>
  </w:num>
  <w:num w:numId="10">
    <w:abstractNumId w:val="59"/>
  </w:num>
  <w:num w:numId="11">
    <w:abstractNumId w:val="1"/>
  </w:num>
  <w:num w:numId="12">
    <w:abstractNumId w:val="4"/>
  </w:num>
  <w:num w:numId="13">
    <w:abstractNumId w:val="54"/>
  </w:num>
  <w:num w:numId="14">
    <w:abstractNumId w:val="7"/>
  </w:num>
  <w:num w:numId="15">
    <w:abstractNumId w:val="49"/>
  </w:num>
  <w:num w:numId="16">
    <w:abstractNumId w:val="42"/>
  </w:num>
  <w:num w:numId="17">
    <w:abstractNumId w:val="24"/>
  </w:num>
  <w:num w:numId="18">
    <w:abstractNumId w:val="31"/>
  </w:num>
  <w:num w:numId="19">
    <w:abstractNumId w:val="58"/>
  </w:num>
  <w:num w:numId="20">
    <w:abstractNumId w:val="27"/>
  </w:num>
  <w:num w:numId="21">
    <w:abstractNumId w:val="65"/>
  </w:num>
  <w:num w:numId="22">
    <w:abstractNumId w:val="44"/>
  </w:num>
  <w:num w:numId="23">
    <w:abstractNumId w:val="21"/>
  </w:num>
  <w:num w:numId="24">
    <w:abstractNumId w:val="39"/>
  </w:num>
  <w:num w:numId="25">
    <w:abstractNumId w:val="26"/>
  </w:num>
  <w:num w:numId="26">
    <w:abstractNumId w:val="16"/>
  </w:num>
  <w:num w:numId="27">
    <w:abstractNumId w:val="18"/>
  </w:num>
  <w:num w:numId="28">
    <w:abstractNumId w:val="8"/>
  </w:num>
  <w:num w:numId="29">
    <w:abstractNumId w:val="63"/>
  </w:num>
  <w:num w:numId="30">
    <w:abstractNumId w:val="48"/>
  </w:num>
  <w:num w:numId="31">
    <w:abstractNumId w:val="14"/>
  </w:num>
  <w:num w:numId="32">
    <w:abstractNumId w:val="25"/>
  </w:num>
  <w:num w:numId="33">
    <w:abstractNumId w:val="0"/>
  </w:num>
  <w:num w:numId="34">
    <w:abstractNumId w:val="61"/>
  </w:num>
  <w:num w:numId="35">
    <w:abstractNumId w:val="50"/>
  </w:num>
  <w:num w:numId="36">
    <w:abstractNumId w:val="55"/>
  </w:num>
  <w:num w:numId="37">
    <w:abstractNumId w:val="11"/>
  </w:num>
  <w:num w:numId="38">
    <w:abstractNumId w:val="32"/>
  </w:num>
  <w:num w:numId="39">
    <w:abstractNumId w:val="19"/>
  </w:num>
  <w:num w:numId="40">
    <w:abstractNumId w:val="13"/>
  </w:num>
  <w:num w:numId="41">
    <w:abstractNumId w:val="56"/>
  </w:num>
  <w:num w:numId="42">
    <w:abstractNumId w:val="62"/>
  </w:num>
  <w:num w:numId="43">
    <w:abstractNumId w:val="29"/>
  </w:num>
  <w:num w:numId="44">
    <w:abstractNumId w:val="47"/>
  </w:num>
  <w:num w:numId="45">
    <w:abstractNumId w:val="10"/>
  </w:num>
  <w:num w:numId="46">
    <w:abstractNumId w:val="12"/>
  </w:num>
  <w:num w:numId="47">
    <w:abstractNumId w:val="34"/>
  </w:num>
  <w:num w:numId="48">
    <w:abstractNumId w:val="20"/>
  </w:num>
  <w:num w:numId="49">
    <w:abstractNumId w:val="35"/>
  </w:num>
  <w:num w:numId="50">
    <w:abstractNumId w:val="41"/>
  </w:num>
  <w:num w:numId="51">
    <w:abstractNumId w:val="15"/>
  </w:num>
  <w:num w:numId="52">
    <w:abstractNumId w:val="33"/>
  </w:num>
  <w:num w:numId="5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36"/>
  </w:num>
  <w:num w:numId="56">
    <w:abstractNumId w:val="22"/>
  </w:num>
  <w:num w:numId="57">
    <w:abstractNumId w:val="17"/>
  </w:num>
  <w:num w:numId="58">
    <w:abstractNumId w:val="64"/>
  </w:num>
  <w:num w:numId="59">
    <w:abstractNumId w:val="5"/>
  </w:num>
  <w:num w:numId="60">
    <w:abstractNumId w:val="51"/>
  </w:num>
  <w:num w:numId="61">
    <w:abstractNumId w:val="3"/>
  </w:num>
  <w:num w:numId="62">
    <w:abstractNumId w:val="6"/>
  </w:num>
  <w:num w:numId="63">
    <w:abstractNumId w:val="43"/>
  </w:num>
  <w:num w:numId="64">
    <w:abstractNumId w:val="52"/>
  </w:num>
  <w:num w:numId="65">
    <w:abstractNumId w:val="45"/>
  </w:num>
  <w:num w:numId="6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C"/>
    <w:rsid w:val="00031E50"/>
    <w:rsid w:val="00057E78"/>
    <w:rsid w:val="000C3255"/>
    <w:rsid w:val="001526E7"/>
    <w:rsid w:val="00155B35"/>
    <w:rsid w:val="001754BF"/>
    <w:rsid w:val="00185C9E"/>
    <w:rsid w:val="0022784B"/>
    <w:rsid w:val="002D183A"/>
    <w:rsid w:val="00334CFE"/>
    <w:rsid w:val="0038741A"/>
    <w:rsid w:val="003A73C4"/>
    <w:rsid w:val="003D211E"/>
    <w:rsid w:val="004A0431"/>
    <w:rsid w:val="00525E73"/>
    <w:rsid w:val="005432CD"/>
    <w:rsid w:val="005C7DF7"/>
    <w:rsid w:val="005D438D"/>
    <w:rsid w:val="005D723C"/>
    <w:rsid w:val="00604E84"/>
    <w:rsid w:val="00643BF2"/>
    <w:rsid w:val="006545B9"/>
    <w:rsid w:val="0068622F"/>
    <w:rsid w:val="006B3AD5"/>
    <w:rsid w:val="006C2AE4"/>
    <w:rsid w:val="006E471F"/>
    <w:rsid w:val="00773748"/>
    <w:rsid w:val="007C6E76"/>
    <w:rsid w:val="007D5FDD"/>
    <w:rsid w:val="00816E55"/>
    <w:rsid w:val="00862222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D6163"/>
    <w:rsid w:val="00BF32C7"/>
    <w:rsid w:val="00C1317D"/>
    <w:rsid w:val="00C243A8"/>
    <w:rsid w:val="00C3296F"/>
    <w:rsid w:val="00C63B93"/>
    <w:rsid w:val="00C930F2"/>
    <w:rsid w:val="00D74D57"/>
    <w:rsid w:val="00D80756"/>
    <w:rsid w:val="00D87449"/>
    <w:rsid w:val="00DA40D9"/>
    <w:rsid w:val="00DD0771"/>
    <w:rsid w:val="00E10AA7"/>
    <w:rsid w:val="00E55D92"/>
    <w:rsid w:val="00E64E65"/>
    <w:rsid w:val="00E821D2"/>
    <w:rsid w:val="00EA573E"/>
    <w:rsid w:val="00EA5F98"/>
    <w:rsid w:val="00ED2483"/>
    <w:rsid w:val="00ED4EA3"/>
    <w:rsid w:val="00EE2E34"/>
    <w:rsid w:val="00F320A5"/>
    <w:rsid w:val="00F66719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2259-EEE8-448B-B572-D6CA19C2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Elżbieta Cupiał-Smyk</cp:lastModifiedBy>
  <cp:revision>4</cp:revision>
  <cp:lastPrinted>2016-09-21T14:43:00Z</cp:lastPrinted>
  <dcterms:created xsi:type="dcterms:W3CDTF">2016-11-21T11:53:00Z</dcterms:created>
  <dcterms:modified xsi:type="dcterms:W3CDTF">2016-11-23T07:01:00Z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