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7C" w:rsidRPr="00ED2483" w:rsidRDefault="00D80756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bookmarkStart w:id="0" w:name="_GoBack"/>
      <w:bookmarkEnd w:id="0"/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Nagwek1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Nagwek1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 xml:space="preserve">Zarząd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br/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Nagwek1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</w:t>
      </w:r>
      <w:r w:rsidR="001526E7">
        <w:rPr>
          <w:rFonts w:cs="Arial"/>
          <w:b/>
          <w:sz w:val="32"/>
          <w:szCs w:val="32"/>
        </w:rPr>
        <w:t>4 Środowisko i zasoby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Nagwek1"/>
        <w:jc w:val="center"/>
        <w:rPr>
          <w:rFonts w:cs="Arial"/>
          <w:b/>
          <w:sz w:val="32"/>
          <w:szCs w:val="32"/>
        </w:rPr>
      </w:pPr>
      <w:bookmarkStart w:id="1" w:name="_Toc430826812"/>
      <w:bookmarkStart w:id="2" w:name="_Toc422949625"/>
      <w:r w:rsidRPr="00ED2483">
        <w:rPr>
          <w:rFonts w:cs="Arial"/>
          <w:b/>
          <w:sz w:val="32"/>
          <w:szCs w:val="32"/>
        </w:rPr>
        <w:t xml:space="preserve">Działanie </w:t>
      </w:r>
      <w:r w:rsidR="001526E7">
        <w:rPr>
          <w:rFonts w:cs="Arial"/>
          <w:b/>
          <w:sz w:val="32"/>
          <w:szCs w:val="32"/>
        </w:rPr>
        <w:t>4</w:t>
      </w:r>
      <w:r w:rsidRPr="00ED2483">
        <w:rPr>
          <w:rFonts w:cs="Arial"/>
          <w:b/>
          <w:sz w:val="32"/>
          <w:szCs w:val="32"/>
        </w:rPr>
        <w:t xml:space="preserve">.1 </w:t>
      </w:r>
      <w:r w:rsidR="001526E7">
        <w:rPr>
          <w:rFonts w:cs="Arial"/>
          <w:b/>
          <w:sz w:val="32"/>
          <w:szCs w:val="32"/>
        </w:rPr>
        <w:t>Gospodarka odpadami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bookmarkEnd w:id="1"/>
    <w:bookmarkEnd w:id="2"/>
    <w:p w:rsidR="00ED2483" w:rsidRPr="009D0E4F" w:rsidRDefault="00ED2483" w:rsidP="009D0E4F">
      <w:pPr>
        <w:pStyle w:val="Nagwek1"/>
        <w:jc w:val="center"/>
        <w:rPr>
          <w:rFonts w:cs="Arial"/>
          <w:b/>
          <w:sz w:val="24"/>
          <w:szCs w:val="24"/>
        </w:rPr>
      </w:pPr>
    </w:p>
    <w:p w:rsidR="00AB4722" w:rsidRDefault="00AB4722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  <w:r>
        <w:rPr>
          <w:rFonts w:eastAsia="Droid Sans Fallback" w:cs="Calibri"/>
          <w:b/>
          <w:color w:val="00000A"/>
          <w:sz w:val="32"/>
          <w:szCs w:val="32"/>
        </w:rPr>
        <w:t>A </w:t>
      </w:r>
      <w:r w:rsidR="001526E7" w:rsidRPr="001526E7">
        <w:rPr>
          <w:rFonts w:eastAsia="Droid Sans Fallback" w:cs="Calibri"/>
          <w:b/>
          <w:color w:val="00000A"/>
          <w:sz w:val="32"/>
          <w:szCs w:val="32"/>
        </w:rPr>
        <w:t>Projekty dot. Punktów Selektywnego Zbierania Odpadów Komunalnych (PSZOK)</w:t>
      </w: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Pr="00AB4722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sz w:val="32"/>
          <w:szCs w:val="32"/>
        </w:rPr>
      </w:pPr>
    </w:p>
    <w:p w:rsidR="0094407C" w:rsidRPr="00ED2483" w:rsidRDefault="0094407C" w:rsidP="009D0E4F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ED2483" w:rsidRDefault="001526E7" w:rsidP="009D0E4F">
      <w:pPr>
        <w:spacing w:after="0"/>
        <w:jc w:val="center"/>
        <w:rPr>
          <w:b/>
          <w:sz w:val="32"/>
          <w:szCs w:val="32"/>
        </w:rPr>
      </w:pPr>
      <w:r w:rsidRPr="001526E7">
        <w:rPr>
          <w:b/>
          <w:sz w:val="32"/>
          <w:szCs w:val="32"/>
        </w:rPr>
        <w:t>Nr naboru RPDS.04.01.00-IZ.00-02-188/16</w:t>
      </w:r>
      <w:r w:rsidR="00ED2483" w:rsidRPr="00ED2483">
        <w:rPr>
          <w:b/>
          <w:sz w:val="32"/>
          <w:szCs w:val="32"/>
        </w:rPr>
        <w:br w:type="page"/>
      </w: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7495"/>
      </w:tblGrid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Nagwek1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AF2445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F320A5" w:rsidRDefault="00D80756" w:rsidP="00ED2483">
            <w:pPr>
              <w:pStyle w:val="Nagwek1"/>
              <w:spacing w:after="60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</w:t>
            </w:r>
            <w:r w:rsidR="001526E7" w:rsidRPr="00F320A5">
              <w:rPr>
                <w:rFonts w:asciiTheme="minorHAnsi" w:eastAsia="Droid Sans Fallback" w:hAnsiTheme="minorHAnsi" w:cs="Calibri"/>
                <w:color w:val="00000A"/>
              </w:rPr>
              <w:t>4 Środowisko i zasoby Dz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iałanie </w:t>
            </w:r>
            <w:r w:rsidR="001526E7" w:rsidRPr="00F320A5">
              <w:rPr>
                <w:rFonts w:asciiTheme="minorHAnsi" w:eastAsia="Droid Sans Fallback" w:hAnsiTheme="minorHAnsi" w:cs="Calibri"/>
                <w:color w:val="00000A"/>
              </w:rPr>
              <w:t>4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.1 </w:t>
            </w:r>
            <w:r w:rsidR="001526E7" w:rsidRPr="00F320A5">
              <w:rPr>
                <w:rFonts w:asciiTheme="minorHAnsi" w:eastAsia="Droid Sans Fallback" w:hAnsiTheme="minorHAnsi" w:cs="Calibri"/>
                <w:color w:val="00000A"/>
              </w:rPr>
              <w:t xml:space="preserve"> Gospodarka odpadami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 –</w:t>
            </w:r>
          </w:p>
          <w:p w:rsidR="0094407C" w:rsidRPr="00F320A5" w:rsidRDefault="001526E7" w:rsidP="00DA40D9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F320A5">
              <w:rPr>
                <w:rFonts w:asciiTheme="minorHAnsi" w:hAnsiTheme="minorHAnsi"/>
                <w:b/>
              </w:rPr>
              <w:t>Typ projektu 4.1.A Projekty dot. Punktów Selektywnego Zbierania Odpadów Komunalnych (PSZOK)</w:t>
            </w:r>
          </w:p>
          <w:p w:rsidR="0094407C" w:rsidRPr="00F320A5" w:rsidRDefault="001526E7" w:rsidP="00F320A5">
            <w:pPr>
              <w:pStyle w:val="Nagwek10"/>
              <w:spacing w:before="120" w:after="120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b/>
                <w:color w:val="000000"/>
              </w:rPr>
              <w:t>Nabór</w:t>
            </w:r>
            <w:r w:rsidR="00D80756" w:rsidRPr="00F320A5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Pr="00F320A5">
              <w:rPr>
                <w:rFonts w:asciiTheme="minorHAnsi" w:hAnsiTheme="minorHAnsi" w:cs="Calibri"/>
                <w:b/>
                <w:color w:val="000000"/>
              </w:rPr>
              <w:t>horyzontalny, ukierunkowany na obszar całego województwa.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AF2445">
              <w:rPr>
                <w:rFonts w:asciiTheme="minorHAnsi" w:hAnsiTheme="minorHAnsi"/>
                <w:b/>
              </w:rPr>
              <w:t xml:space="preserve"> organizujących konkursy</w:t>
            </w: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F320A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Konkurs ogłasza Instytucja Zarządzająca Regionalnym Programem Operacyjnym Województwa Dolnośląskiego 2014-2020</w:t>
            </w:r>
            <w:r w:rsidR="007D5FDD" w:rsidRPr="00F320A5">
              <w:rPr>
                <w:rFonts w:asciiTheme="minorHAnsi" w:hAnsiTheme="minorHAnsi"/>
              </w:rPr>
              <w:t xml:space="preserve"> </w:t>
            </w:r>
            <w:r w:rsidRPr="00F320A5">
              <w:rPr>
                <w:rFonts w:asciiTheme="minorHAnsi" w:hAnsiTheme="minorHAnsi"/>
              </w:rPr>
              <w:t>–</w:t>
            </w:r>
            <w:r w:rsidR="003A73C4" w:rsidRPr="00F320A5">
              <w:rPr>
                <w:rFonts w:asciiTheme="minorHAnsi" w:hAnsiTheme="minorHAnsi"/>
              </w:rPr>
              <w:t xml:space="preserve"> </w:t>
            </w:r>
            <w:r w:rsidRPr="00F320A5">
              <w:rPr>
                <w:rFonts w:asciiTheme="minorHAnsi" w:hAnsiTheme="minorHAnsi"/>
              </w:rPr>
              <w:t>jako Instytucja Organizująca Konkurs.</w:t>
            </w:r>
          </w:p>
          <w:p w:rsidR="0094407C" w:rsidRPr="00F320A5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320A5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F320A5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320A5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F320A5" w:rsidRDefault="00D80756" w:rsidP="007D5FDD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320A5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  <w:r w:rsidR="007D5FDD" w:rsidRPr="00F320A5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Standard"/>
              <w:tabs>
                <w:tab w:val="left" w:pos="2835"/>
              </w:tabs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 xml:space="preserve">Przedmiotem konkursu jest typ projektów określony 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4 Środowisko i zasoby </w:t>
            </w:r>
            <w:r w:rsidRPr="00F320A5">
              <w:rPr>
                <w:rFonts w:asciiTheme="minorHAnsi" w:hAnsiTheme="minorHAnsi" w:cs="Calibri"/>
                <w:color w:val="000000"/>
              </w:rPr>
              <w:t xml:space="preserve">dla Działania 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>4.1 Gospodarka odpadami tj.</w:t>
            </w:r>
            <w:r w:rsidRPr="00F320A5">
              <w:rPr>
                <w:rFonts w:asciiTheme="minorHAnsi" w:hAnsiTheme="minorHAnsi" w:cs="Calibri"/>
                <w:color w:val="000000"/>
              </w:rPr>
              <w:t>:</w:t>
            </w:r>
          </w:p>
          <w:p w:rsidR="001526E7" w:rsidRPr="00F320A5" w:rsidRDefault="001526E7" w:rsidP="001526E7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  <w:r w:rsidRPr="00F320A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 4.1.A Projekty dot. Punktów Selektywnego Zbierania Odpadów Komunalnych (PSZOK)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W ramach konkursu wspierane będą projekty dotyczące przedsięwzięć skierowanych na rozwój infrastruktury selektywnego systemu zbierania odpadów komunalnych, budowy, rozbudowy lub modernizacji Punktów Selektywnego Zbierania Odpadów Komunalnych (PSZOK).</w:t>
            </w:r>
            <w:r w:rsidR="00D87449">
              <w:t xml:space="preserve"> </w:t>
            </w:r>
            <w:r w:rsidR="00D87449" w:rsidRPr="00D87449">
              <w:rPr>
                <w:rFonts w:asciiTheme="minorHAnsi" w:hAnsiTheme="minorHAnsi"/>
              </w:rPr>
              <w:t>Wyposażenie – jedynie jako element projektu infrastrukturalnego dot. PSZOK lub jako odrębny projekt jeśli stanowi uzupełnienie infrastruktury już istniejącej.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Zgodnie zapisami ustawy z dnia 13 września 1996 r. o utrzymaniu czystości i porządku w gminach PSZOK musi spełniać minimum dwa warunki: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zapewniać łatwy dostęp dla wszystkich mieszkańców gminy,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zapewniać musi przyjmowanie co najmniej takich odpadów komunalnych jak: przeterminowane leki i chemikalia, zużyte baterie i akumulatory, zużyty sprzęt elektryczny i elektroniczny, meble i inne odpady wielkogabarytowe, zużyte opony, odpady zielone oraz odpady budowlane i rozbiórkowe stanowiące odpady komunalne, a także odpadów komunalnych określonych w przepisach wydanych na podstawie art. 4a;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  <w:u w:val="single"/>
              </w:rPr>
              <w:t>W ramach RPO WD finansowane będą projekty</w:t>
            </w:r>
            <w:r w:rsidR="00592E9E">
              <w:rPr>
                <w:rFonts w:asciiTheme="minorHAnsi" w:hAnsiTheme="minorHAnsi"/>
                <w:u w:val="single"/>
              </w:rPr>
              <w:t xml:space="preserve">, w których </w:t>
            </w:r>
            <w:r w:rsidRPr="00F320A5">
              <w:rPr>
                <w:rFonts w:asciiTheme="minorHAnsi" w:hAnsiTheme="minorHAnsi"/>
                <w:u w:val="single"/>
              </w:rPr>
              <w:t>wartoś</w:t>
            </w:r>
            <w:r w:rsidR="00592E9E">
              <w:rPr>
                <w:rFonts w:asciiTheme="minorHAnsi" w:hAnsiTheme="minorHAnsi"/>
                <w:u w:val="single"/>
              </w:rPr>
              <w:t>ć 1 PSZOK</w:t>
            </w:r>
            <w:r w:rsidRPr="00F320A5">
              <w:rPr>
                <w:rFonts w:asciiTheme="minorHAnsi" w:hAnsiTheme="minorHAnsi"/>
                <w:u w:val="single"/>
              </w:rPr>
              <w:t xml:space="preserve"> </w:t>
            </w:r>
            <w:r w:rsidR="00592E9E">
              <w:rPr>
                <w:rFonts w:asciiTheme="minorHAnsi" w:hAnsiTheme="minorHAnsi"/>
                <w:u w:val="single"/>
              </w:rPr>
              <w:t xml:space="preserve">nie przekroczy kwoty </w:t>
            </w:r>
            <w:r w:rsidRPr="00F320A5">
              <w:rPr>
                <w:rFonts w:asciiTheme="minorHAnsi" w:hAnsiTheme="minorHAnsi"/>
                <w:u w:val="single"/>
              </w:rPr>
              <w:t xml:space="preserve">2 mln zł kosztów kwalifikowalnych i w których PSZOK </w:t>
            </w:r>
            <w:r w:rsidR="00592E9E">
              <w:rPr>
                <w:rFonts w:asciiTheme="minorHAnsi" w:hAnsiTheme="minorHAnsi"/>
                <w:u w:val="single"/>
              </w:rPr>
              <w:t xml:space="preserve">1 </w:t>
            </w:r>
            <w:r w:rsidRPr="00F320A5">
              <w:rPr>
                <w:rFonts w:asciiTheme="minorHAnsi" w:hAnsiTheme="minorHAnsi"/>
                <w:u w:val="single"/>
              </w:rPr>
              <w:t>obsługuje do 20 000 mieszkańców (warunek weryfikowany na podstawie oświadczenia i regulaminu funkcjonowania PSZOK)</w:t>
            </w:r>
            <w:r w:rsidRPr="00F320A5">
              <w:rPr>
                <w:rFonts w:asciiTheme="minorHAnsi" w:hAnsiTheme="minorHAnsi"/>
              </w:rPr>
              <w:t xml:space="preserve">. Warunki należy spełnić łącznie. W przypadku gdy jeden z ww. parametrów zostanie przekroczony, inwestycja nie kwalifikuje się do wsparcia w ramach RPO WD. 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Ponadto w ramach projektu finansowane mogą być również inne działania (inwestycyjne oraz działania informacyjne i edukacyjne) związane z zapobieganiem powstawania odpadów oraz selektywnym zbieraniem odpadów.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 xml:space="preserve">Kategorią interwencji (zakresem interwencji dominującym) dla niniejszego konkursu jest kategoria 017 gospodarowanie odpadami z gospodarstw </w:t>
            </w:r>
            <w:r w:rsidRPr="00F320A5">
              <w:rPr>
                <w:rFonts w:asciiTheme="minorHAnsi" w:hAnsiTheme="minorHAnsi"/>
              </w:rPr>
              <w:lastRenderedPageBreak/>
              <w:t>domowych (w tym działania  w  zakresie: minimalizacji,  segregacji,  recyklingu).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 xml:space="preserve">Z uwagi na zapisy Umowy Partnerstwa: </w:t>
            </w:r>
            <w:r w:rsidRPr="00F320A5">
              <w:rPr>
                <w:rFonts w:asciiTheme="minorHAnsi" w:hAnsiTheme="minorHAnsi"/>
                <w:i/>
              </w:rPr>
              <w:t>„Realizacja zadań współfinasowanych ze środków unijnych w sektorze odpadów będzie ukierunkowana na obowiązki jednostek samorządowych wynikające z ustawy o utrzymaniu czystości i porządku w gminach oraz ustawy o odpadach”</w:t>
            </w:r>
            <w:r w:rsidRPr="00F320A5">
              <w:rPr>
                <w:rFonts w:asciiTheme="minorHAnsi" w:hAnsiTheme="minorHAnsi"/>
              </w:rPr>
              <w:t xml:space="preserve"> w niniejszym naborze o dofinansowanie mogą ubiegać samorządy gmin lub inne podmioty, które w imieniu samorządu gminy świadczą usługi w ogólnym interesie gospodarczym w ramach zadań własnych samorządu gminy w gospodarce odpadami komunalnymi.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Zgodnie z zapisami „</w:t>
            </w:r>
            <w:r w:rsidRPr="00F320A5">
              <w:rPr>
                <w:rFonts w:asciiTheme="minorHAnsi" w:hAnsiTheme="minorHAnsi"/>
                <w:i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komunalnymi”</w:t>
            </w:r>
            <w:r w:rsidRPr="00F320A5">
              <w:rPr>
                <w:rFonts w:asciiTheme="minorHAnsi" w:hAnsiTheme="minorHAnsi"/>
              </w:rPr>
              <w:t xml:space="preserve"> z dnia 22 września 2015 r., wydanych przez Ministra Infrastruktury i Rozwoju: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 xml:space="preserve">Usługi polegające na prowadzeniu punktu selektywnego zbierania odpadów komunalnych (PSZOK) stanowią usługi w ogólnym interesie gospodarczym wykonywane w ramach zadań własnych samorządu gminy. Zgodnie z art. 3 ust. 2 pkt 6 Ustawy o utrzymaniu czystości i porządku w gminach, zapewnienie utworzenia i prowadzenia PSZOK jest zadaniem własnym gminy. Gmina jest obowiązana utworzyć co najmniej jeden stacjonarny punkt selektywnego zbierania odpadów komunalnych, samodzielnie lub wspólnie z inną gminą lub gminami. Koszty tworzenia i utrzymania punktów selektywnego zbierania odpadów komunalnych pokrywane są z opłat za gospodarowanie odpadami komunalnymi. Gminy mogą tworzyć takie punkty z wykorzystaniem wszelkich  form dopuszczalnych w świetle przepisów Ustawy o gospodarce komunalnej. </w:t>
            </w:r>
            <w:r w:rsidRPr="00F320A5">
              <w:rPr>
                <w:rFonts w:asciiTheme="minorHAnsi" w:hAnsiTheme="minorHAnsi"/>
                <w:u w:val="single"/>
              </w:rPr>
              <w:t>Podmiot  eksploatujący PSZOK należy uznać za operatora, a przekazywane mu środki traktować jako rekompensatę z tytułu świadczenia usług w ogólnym interesie gospodarczym</w:t>
            </w:r>
            <w:r w:rsidRPr="00F320A5">
              <w:rPr>
                <w:rFonts w:asciiTheme="minorHAnsi" w:hAnsiTheme="minorHAnsi"/>
              </w:rPr>
              <w:t>.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Przez operatora należy rozumieć jednostkę budżetową lub samorządowy zakład budżetowy gminy, spółkę komunalną albo przedsiębiorcę zewnętrznego.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Pod pojęciem rekompensaty należy rozumieć wszelkie przysporzenia, w dowolnej formie (np. dotacje, dokapitalizowanie, zwolnienie podatkowe lub wynagrodzenie), otrzymywane przez operatora w celu pokrycia kosztów związanych ze świadczeniem usług w ogólnym interesie gospodarczym.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  <w:u w:val="single"/>
              </w:rPr>
              <w:t>Dofinansowanie ze środków funduszy UE może zostać udzielone wyłącznie wówczas, gdy stanowi element rekompensaty z tytułu świadczenia usług w ogólnym interesie gospodarczym w zakresie gospodarki odpadami skalkulowanej zgodnie z odpowiednimi przepisami prawa UE</w:t>
            </w:r>
            <w:r w:rsidRPr="00F320A5">
              <w:rPr>
                <w:rFonts w:asciiTheme="minorHAnsi" w:hAnsiTheme="minorHAnsi"/>
              </w:rPr>
              <w:t xml:space="preserve"> (omówionymi w  Rozdziale 8 powyższych Wytycznych).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  <w:u w:val="single"/>
              </w:rPr>
              <w:t>Wielkość rekompensaty powinna być weryfikowana przez gminę powierzającą usługi w ogólnym interesie gospodarczym nie rzadziej niż co roku, w oparciu o dane finansowe roku poprzedniego.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W związku z powyższym do wniosku o dofinansowanie należy dodatkowo dołączyć: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lastRenderedPageBreak/>
              <w:t xml:space="preserve">komplet dokumentów na podstawie, których świadczona jest usługa w ogólnym interesie gospodarczym tj. np. 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umowa o świadczenie usług w ogólnym interesie gospodarczym,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uchwały organu stanowiącego gminy, umowy wykonawczej (umowie regulującej szczegółowe kwestie związane z realizacja zobowiązania do świadczenia usług w ogólnym interesie gospodarczym określonego w innym dokumencie, np. uchwale organu stanowiącego gminy), umowy spółki (statut spółki) lub aktu wewnętrznego (planu, regulaminu itp.)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kalkulację rekompensaty, uwzględniającą środki RPO WD. Model finansowy wykazujący, iż w wyniku otrzymania środków z RPO WD rekompensata nie przekroczy dopuszczalnej kwoty rekompensaty (zgodnie z rozdziałem 8 w/w Wytycznych);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94407C" w:rsidRPr="00F320A5" w:rsidRDefault="001526E7" w:rsidP="001526E7">
            <w:pPr>
              <w:pStyle w:val="Standard"/>
              <w:spacing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W przypadku gdy umowa o świadczenie usług w ogólnym interesie gospodarczym nie została jeszcze zawarta do wniosku o dofinansowanie należy dołączyć dokument odzwierciedlający podstawowe założenia umowy o usług w ogólnym interesie gospodarczym publicznych oraz harmonogram działań związanych z jej zawarciem. Po zawarciu umowy należy do wniosku o dofinansowanie dołączyć jej kserokopię. Nie mniej jednak należy podkreślić, że w takiej sytuacji o dofinansowanie ubiegać się może tylko gmina, która wybuduje/utworzy PSZOK. Ponadto na etapie wniosku o dofinansowanie należy wyjaśnić w jaki sposób zostanie wybrany operator (wewnętrzny/zewnętrzny) oraz na jakich warunkach (w jakiej formie) zostanie przekazana infrastruktura.</w:t>
            </w:r>
          </w:p>
        </w:tc>
      </w:tr>
      <w:tr w:rsidR="0094407C" w:rsidRPr="00AF2445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F320A5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F320A5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podmioty świadczące usługi w zakresie gospodarki odpadami w ramach realizacji zadań jednostek samorządu terytorialnego;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organizacje pozarządowe;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LGD;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spółdzielnie i wspólnoty mieszkaniowe;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MŚP;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organizacje badawcze i konsorcja naukowe</w:t>
            </w:r>
            <w:r w:rsidRPr="00F320A5">
              <w:rPr>
                <w:rFonts w:asciiTheme="minorHAnsi" w:hAnsiTheme="minorHAnsi"/>
                <w:color w:val="000000"/>
                <w:szCs w:val="22"/>
              </w:rPr>
              <w:t>.</w:t>
            </w:r>
          </w:p>
          <w:p w:rsidR="001526E7" w:rsidRPr="00F320A5" w:rsidRDefault="001526E7" w:rsidP="00F320A5">
            <w:pPr>
              <w:pStyle w:val="Akapitzlist"/>
              <w:spacing w:before="0" w:line="240" w:lineRule="auto"/>
              <w:ind w:left="709" w:hanging="283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94407C" w:rsidRPr="00F320A5" w:rsidRDefault="001526E7" w:rsidP="001526E7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F320A5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AF2445" w:rsidTr="00C3296F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Arial"/>
              </w:rPr>
              <w:t xml:space="preserve">Dla przedmiotowego konkursu ogłaszanego w ramach </w:t>
            </w:r>
            <w:r w:rsidRPr="00F320A5">
              <w:rPr>
                <w:rFonts w:asciiTheme="minorHAnsi" w:eastAsia="Droid Sans Fallback" w:hAnsiTheme="minorHAnsi" w:cs="Calibri"/>
                <w:b/>
                <w:color w:val="00000A"/>
              </w:rPr>
              <w:t>Działania 4.1 Gospodarka odpadami</w:t>
            </w:r>
            <w:r w:rsidRPr="00F320A5">
              <w:rPr>
                <w:rFonts w:asciiTheme="minorHAnsi" w:hAnsiTheme="minorHAnsi" w:cs="Arial"/>
              </w:rPr>
              <w:t xml:space="preserve"> </w:t>
            </w:r>
            <w:r w:rsidRPr="00F320A5">
              <w:rPr>
                <w:rFonts w:asciiTheme="minorHAnsi" w:hAnsiTheme="minorHAnsi" w:cs="Calibri"/>
                <w:color w:val="000000"/>
              </w:rPr>
              <w:t xml:space="preserve">alokacja w wysokości </w:t>
            </w:r>
            <w:r w:rsidRPr="00F320A5">
              <w:rPr>
                <w:rFonts w:asciiTheme="minorHAnsi" w:hAnsiTheme="minorHAnsi" w:cs="ArialMT"/>
              </w:rPr>
              <w:t>10 000 000 euro tj.  43 065 000 zł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  <w:r w:rsidRPr="00F320A5">
              <w:rPr>
                <w:rFonts w:asciiTheme="minorHAnsi" w:hAnsiTheme="minorHAnsi" w:cs="MS Sans Serif"/>
              </w:rPr>
              <w:t xml:space="preserve">Alokacja przeliczona po kursie Europejskiego Banku Centralnego (EBC) obowiązującym w październiku  2016 r. – 1 euro = </w:t>
            </w:r>
            <w:r w:rsidRPr="00F320A5">
              <w:rPr>
                <w:rFonts w:asciiTheme="minorHAnsi" w:hAnsiTheme="minorHAnsi"/>
              </w:rPr>
              <w:t>4.3065</w:t>
            </w:r>
            <w:r w:rsidRPr="00F320A5">
              <w:rPr>
                <w:rFonts w:asciiTheme="minorHAnsi" w:hAnsiTheme="minorHAnsi" w:cs="MS Sans Serif"/>
              </w:rPr>
              <w:t xml:space="preserve"> zł.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  <w:shd w:val="clear" w:color="auto" w:fill="FFFF00"/>
              </w:rPr>
            </w:pPr>
          </w:p>
          <w:p w:rsidR="0094407C" w:rsidRPr="00F320A5" w:rsidRDefault="001526E7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  <w:r w:rsidRPr="00F320A5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75551F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F320A5">
              <w:rPr>
                <w:rFonts w:asciiTheme="minorHAnsi" w:hAnsiTheme="minorHAnsi" w:cs="Arial"/>
              </w:rPr>
              <w:t>100 000 zł (wydatki całkowite)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592E9E" w:rsidP="0075551F">
            <w:pPr>
              <w:pStyle w:val="Standard"/>
              <w:spacing w:before="120"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 dotyczy</w:t>
            </w:r>
          </w:p>
        </w:tc>
      </w:tr>
      <w:tr w:rsidR="0094407C" w:rsidRPr="00AF2445" w:rsidTr="00AF2445">
        <w:trPr>
          <w:trHeight w:val="21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F320A5" w:rsidRDefault="00D80756" w:rsidP="00F320A5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spacing w:after="0" w:line="240" w:lineRule="auto"/>
              <w:jc w:val="both"/>
              <w:rPr>
                <w:rFonts w:asciiTheme="minorHAnsi" w:eastAsia="Droid Sans Fallback" w:hAnsiTheme="minorHAnsi" w:cs="Calibri"/>
              </w:rPr>
            </w:pPr>
            <w:r w:rsidRPr="00F320A5">
              <w:rPr>
                <w:rFonts w:asciiTheme="minorHAnsi" w:eastAsia="Droid Sans Fallback" w:hAnsiTheme="minorHAnsi" w:cs="Calibri"/>
              </w:rPr>
              <w:t xml:space="preserve">Maksymalny poziom dofinansowania UE na poziomie projektu wynosi: </w:t>
            </w:r>
          </w:p>
          <w:p w:rsidR="001526E7" w:rsidRPr="00F320A5" w:rsidRDefault="001526E7" w:rsidP="00F320A5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ind w:hanging="294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nie generujących dochodu – 85%;</w:t>
            </w:r>
          </w:p>
          <w:p w:rsidR="001526E7" w:rsidRPr="00F320A5" w:rsidRDefault="001526E7" w:rsidP="00F320A5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ind w:hanging="294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generujących dochód – zgodnie z wyliczeniami luki finansowej ale nie więcej niż 85%</w:t>
            </w:r>
          </w:p>
          <w:p w:rsidR="0094407C" w:rsidRPr="00F320A5" w:rsidRDefault="001526E7" w:rsidP="00F320A5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ind w:hanging="294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publiczną/pomocą de </w:t>
            </w:r>
            <w:proofErr w:type="spellStart"/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min</w:t>
            </w: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mis</w:t>
            </w:r>
            <w:proofErr w:type="spellEnd"/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/rekompensatą – w wysokości wynikającej z reguł pomocy public</w:t>
            </w: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nej/pomocy de </w:t>
            </w:r>
            <w:proofErr w:type="spellStart"/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/rekompensaty ale nie więcej niż 85%;</w:t>
            </w:r>
          </w:p>
        </w:tc>
      </w:tr>
      <w:tr w:rsidR="0094407C" w:rsidRPr="00AF2445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wynosi: </w:t>
            </w:r>
          </w:p>
          <w:p w:rsidR="001526E7" w:rsidRPr="00F320A5" w:rsidRDefault="001526E7" w:rsidP="00F320A5">
            <w:pPr>
              <w:pStyle w:val="Default"/>
              <w:ind w:left="709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F320A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320A5">
              <w:rPr>
                <w:rFonts w:asciiTheme="minorHAnsi" w:hAnsiTheme="minorHAnsi"/>
                <w:sz w:val="22"/>
                <w:szCs w:val="22"/>
              </w:rPr>
              <w:t>w przypadku projektów nie generujących dochodu – 15%;</w:t>
            </w:r>
          </w:p>
          <w:p w:rsidR="001526E7" w:rsidRPr="00F320A5" w:rsidRDefault="001526E7" w:rsidP="00F320A5">
            <w:pPr>
              <w:pStyle w:val="Default"/>
              <w:ind w:left="709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F320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20A5">
              <w:rPr>
                <w:rFonts w:asciiTheme="minorHAnsi" w:hAnsiTheme="minorHAnsi"/>
                <w:sz w:val="22"/>
                <w:szCs w:val="22"/>
              </w:rPr>
              <w:t>w przypadku projektów generujących dochód – zgodnie z wyliczeniami luki finansowej ale nie mniej niż 15%;</w:t>
            </w:r>
          </w:p>
          <w:p w:rsidR="0094407C" w:rsidRPr="00F320A5" w:rsidRDefault="001526E7" w:rsidP="00F320A5">
            <w:pPr>
              <w:pStyle w:val="Default"/>
              <w:ind w:left="709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>•</w:t>
            </w:r>
            <w:r w:rsidR="00F320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20A5">
              <w:rPr>
                <w:rFonts w:asciiTheme="minorHAnsi" w:hAnsiTheme="minorHAnsi"/>
                <w:sz w:val="22"/>
                <w:szCs w:val="22"/>
              </w:rPr>
              <w:t xml:space="preserve">w przypadku projektu objętego pomocą publiczną/pomocą de </w:t>
            </w:r>
            <w:proofErr w:type="spellStart"/>
            <w:r w:rsidRPr="00F320A5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F320A5">
              <w:rPr>
                <w:rFonts w:asciiTheme="minorHAnsi" w:hAnsiTheme="minorHAnsi"/>
                <w:sz w:val="22"/>
                <w:szCs w:val="22"/>
              </w:rPr>
              <w:t xml:space="preserve">/rekompensatą – w wysokości wynikającej z reguł pomocy publicznej/pomocy de </w:t>
            </w:r>
            <w:proofErr w:type="spellStart"/>
            <w:r w:rsidRPr="00F320A5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F320A5">
              <w:rPr>
                <w:rFonts w:asciiTheme="minorHAnsi" w:hAnsiTheme="minorHAnsi"/>
                <w:sz w:val="22"/>
                <w:szCs w:val="22"/>
              </w:rPr>
              <w:t>/rekompensaty ale nie mniej niż 15%;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Wnioskodawca wypełnia wniosek o dofinansowanie za pośrednictwem aplikacji – Generator wniosków o dofinansowanie EFRR – dostępny na stronie </w:t>
            </w:r>
            <w:r w:rsidRPr="00F320A5">
              <w:rPr>
                <w:rFonts w:asciiTheme="minorHAnsi" w:hAnsiTheme="minorHAnsi"/>
                <w:sz w:val="22"/>
                <w:szCs w:val="22"/>
              </w:rPr>
              <w:t>https://snow</w:t>
            </w:r>
            <w:r w:rsidR="00592E9E">
              <w:rPr>
                <w:rFonts w:asciiTheme="minorHAnsi" w:hAnsiTheme="minorHAnsi"/>
                <w:sz w:val="22"/>
                <w:szCs w:val="22"/>
              </w:rPr>
              <w:t>-umwd</w:t>
            </w:r>
            <w:r w:rsidRPr="00F320A5">
              <w:rPr>
                <w:rFonts w:asciiTheme="minorHAnsi" w:hAnsiTheme="minorHAnsi"/>
                <w:sz w:val="22"/>
                <w:szCs w:val="22"/>
              </w:rPr>
              <w:t xml:space="preserve">.dolnyslask.pl 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14 listopada 2016 r.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15 grudnia 2016 r.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15 grudnia 2016 r.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F320A5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F320A5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F320A5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1526E7" w:rsidRPr="00F320A5" w:rsidRDefault="001526E7" w:rsidP="0075551F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1526E7" w:rsidRPr="00F320A5" w:rsidRDefault="001526E7" w:rsidP="0075551F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lastRenderedPageBreak/>
              <w:t>b) za pośrednictwem polskiego operatora wyznaczonego  w rozumieniu ustawy z dnia 23 listopada 2012 r. – Prawo pocztowe, na adres: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Suma kontrolna wersji elektronicznej wniosku (w aplikacji) musi być identyczna z sumą kontrolną papierowej wersji wniosku.</w:t>
            </w:r>
          </w:p>
          <w:p w:rsidR="001526E7" w:rsidRPr="00F320A5" w:rsidRDefault="001526E7" w:rsidP="0075551F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kopercie, której opis zawiera następujące informacje:</w:t>
            </w:r>
          </w:p>
          <w:p w:rsidR="001526E7" w:rsidRPr="00F320A5" w:rsidRDefault="001526E7" w:rsidP="001526E7">
            <w:pPr>
              <w:pStyle w:val="xl33"/>
              <w:numPr>
                <w:ilvl w:val="0"/>
                <w:numId w:val="18"/>
              </w:numPr>
              <w:spacing w:before="0" w:after="0"/>
              <w:ind w:left="285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pełna nazwa Wnioskodawcy wraz z adresem;</w:t>
            </w:r>
          </w:p>
          <w:p w:rsidR="001526E7" w:rsidRPr="00F320A5" w:rsidRDefault="001526E7" w:rsidP="0075551F">
            <w:pPr>
              <w:pStyle w:val="xl33"/>
              <w:numPr>
                <w:ilvl w:val="0"/>
                <w:numId w:val="18"/>
              </w:numPr>
              <w:spacing w:before="0" w:after="0"/>
              <w:ind w:left="285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wniosek o dofinansowanie projektu w ramach naboru nr (…);</w:t>
            </w:r>
          </w:p>
          <w:p w:rsidR="001526E7" w:rsidRPr="00F320A5" w:rsidRDefault="001526E7" w:rsidP="0075551F">
            <w:pPr>
              <w:pStyle w:val="xl33"/>
              <w:numPr>
                <w:ilvl w:val="0"/>
                <w:numId w:val="18"/>
              </w:numPr>
              <w:spacing w:before="0" w:after="0"/>
              <w:ind w:left="285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tytuł projektu;</w:t>
            </w:r>
          </w:p>
          <w:p w:rsidR="001526E7" w:rsidRPr="00F320A5" w:rsidRDefault="001526E7" w:rsidP="0075551F">
            <w:pPr>
              <w:pStyle w:val="xl33"/>
              <w:numPr>
                <w:ilvl w:val="0"/>
                <w:numId w:val="18"/>
              </w:numPr>
              <w:spacing w:before="0" w:after="0"/>
              <w:ind w:left="285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„Nie otwierać przed wpływem do Wydziału Wdrażania EFRR”.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 w:rsidRPr="00F320A5">
              <w:rPr>
                <w:rFonts w:asciiTheme="minorHAnsi" w:eastAsia="SimSun" w:hAnsiTheme="minorHAnsi" w:cs="Tahoma"/>
                <w:sz w:val="22"/>
                <w:szCs w:val="22"/>
                <w:lang w:eastAsia="en-US"/>
              </w:rPr>
              <w:t xml:space="preserve"> 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Wnioskodawca zobowiązany jest do złożenia do wniosku o dofinansowanie oświadczenia zawierającego klauzulę o następującej treści: „Jestem świadomy odpowiedzialności karnej za podanie fałszywych danych lub złożenie fałszywych oświadczeń”. 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1526E7" w:rsidRPr="00F320A5" w:rsidRDefault="001526E7" w:rsidP="0075551F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F320A5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E55D92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F320A5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0" w:history="1">
              <w:r w:rsidRPr="00F320A5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F320A5">
              <w:rPr>
                <w:rFonts w:asciiTheme="minorHAnsi" w:hAnsiTheme="minorHAnsi" w:cs="Calibri"/>
              </w:rPr>
              <w:t xml:space="preserve"> oraz na portalu Funduszy Europejskich </w:t>
            </w:r>
            <w:hyperlink r:id="rId11" w:history="1">
              <w:r w:rsidRPr="00F320A5">
                <w:rPr>
                  <w:rStyle w:val="Hipercze"/>
                  <w:rFonts w:asciiTheme="minorHAnsi" w:hAnsiTheme="minorHAnsi" w:cs="Calibri"/>
                </w:rPr>
                <w:t>www.funduszeeuropejskie.gov.pl</w:t>
              </w:r>
            </w:hyperlink>
            <w:r w:rsidRPr="00F320A5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2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C5" w:rsidRDefault="002852C5" w:rsidP="0094407C">
      <w:pPr>
        <w:spacing w:after="0" w:line="240" w:lineRule="auto"/>
      </w:pPr>
      <w:r>
        <w:separator/>
      </w:r>
    </w:p>
  </w:endnote>
  <w:endnote w:type="continuationSeparator" w:id="0">
    <w:p w:rsidR="002852C5" w:rsidRDefault="002852C5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1E" w:rsidRDefault="00F320A5">
    <w:pPr>
      <w:pStyle w:val="Stopka1"/>
    </w:pPr>
    <w:r>
      <w:fldChar w:fldCharType="begin"/>
    </w:r>
    <w:r>
      <w:instrText xml:space="preserve"> PAGE </w:instrText>
    </w:r>
    <w:r>
      <w:fldChar w:fldCharType="separate"/>
    </w:r>
    <w:r w:rsidR="00B54A4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C5" w:rsidRDefault="002852C5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2852C5" w:rsidRDefault="002852C5" w:rsidP="0094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6A505E7"/>
    <w:multiLevelType w:val="hybridMultilevel"/>
    <w:tmpl w:val="435EF4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C73680"/>
    <w:multiLevelType w:val="hybridMultilevel"/>
    <w:tmpl w:val="F988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16519"/>
    <w:multiLevelType w:val="multilevel"/>
    <w:tmpl w:val="742E70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AE04BB"/>
    <w:multiLevelType w:val="multilevel"/>
    <w:tmpl w:val="35FEBBD2"/>
    <w:styleLink w:val="WWNum7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4A1209B"/>
    <w:multiLevelType w:val="hybridMultilevel"/>
    <w:tmpl w:val="1E0CFE2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3DEC40CF"/>
    <w:multiLevelType w:val="multilevel"/>
    <w:tmpl w:val="0758FDAC"/>
    <w:styleLink w:val="WWNum7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4B94240"/>
    <w:multiLevelType w:val="multilevel"/>
    <w:tmpl w:val="93A8FC98"/>
    <w:styleLink w:val="WWNum131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7E0748A"/>
    <w:multiLevelType w:val="multilevel"/>
    <w:tmpl w:val="46DCF1E4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62051ACB"/>
    <w:multiLevelType w:val="hybridMultilevel"/>
    <w:tmpl w:val="3FC844CE"/>
    <w:lvl w:ilvl="0" w:tplc="D336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7AA14446"/>
    <w:multiLevelType w:val="hybridMultilevel"/>
    <w:tmpl w:val="0018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3"/>
  </w:num>
  <w:num w:numId="2">
    <w:abstractNumId w:val="30"/>
  </w:num>
  <w:num w:numId="3">
    <w:abstractNumId w:val="50"/>
  </w:num>
  <w:num w:numId="4">
    <w:abstractNumId w:val="28"/>
  </w:num>
  <w:num w:numId="5">
    <w:abstractNumId w:val="2"/>
  </w:num>
  <w:num w:numId="6">
    <w:abstractNumId w:val="44"/>
  </w:num>
  <w:num w:numId="7">
    <w:abstractNumId w:val="9"/>
  </w:num>
  <w:num w:numId="8">
    <w:abstractNumId w:val="57"/>
  </w:num>
  <w:num w:numId="9">
    <w:abstractNumId w:val="38"/>
  </w:num>
  <w:num w:numId="10">
    <w:abstractNumId w:val="56"/>
  </w:num>
  <w:num w:numId="11">
    <w:abstractNumId w:val="1"/>
  </w:num>
  <w:num w:numId="12">
    <w:abstractNumId w:val="4"/>
  </w:num>
  <w:num w:numId="13">
    <w:abstractNumId w:val="51"/>
  </w:num>
  <w:num w:numId="14">
    <w:abstractNumId w:val="7"/>
  </w:num>
  <w:num w:numId="15">
    <w:abstractNumId w:val="47"/>
  </w:num>
  <w:num w:numId="16">
    <w:abstractNumId w:val="41"/>
  </w:num>
  <w:num w:numId="17">
    <w:abstractNumId w:val="24"/>
  </w:num>
  <w:num w:numId="18">
    <w:abstractNumId w:val="31"/>
  </w:num>
  <w:num w:numId="19">
    <w:abstractNumId w:val="55"/>
  </w:num>
  <w:num w:numId="20">
    <w:abstractNumId w:val="27"/>
  </w:num>
  <w:num w:numId="21">
    <w:abstractNumId w:val="62"/>
  </w:num>
  <w:num w:numId="22">
    <w:abstractNumId w:val="43"/>
  </w:num>
  <w:num w:numId="23">
    <w:abstractNumId w:val="21"/>
  </w:num>
  <w:num w:numId="24">
    <w:abstractNumId w:val="39"/>
  </w:num>
  <w:num w:numId="25">
    <w:abstractNumId w:val="26"/>
  </w:num>
  <w:num w:numId="26">
    <w:abstractNumId w:val="16"/>
  </w:num>
  <w:num w:numId="27">
    <w:abstractNumId w:val="18"/>
  </w:num>
  <w:num w:numId="28">
    <w:abstractNumId w:val="8"/>
  </w:num>
  <w:num w:numId="29">
    <w:abstractNumId w:val="60"/>
  </w:num>
  <w:num w:numId="30">
    <w:abstractNumId w:val="46"/>
  </w:num>
  <w:num w:numId="31">
    <w:abstractNumId w:val="14"/>
  </w:num>
  <w:num w:numId="32">
    <w:abstractNumId w:val="25"/>
  </w:num>
  <w:num w:numId="33">
    <w:abstractNumId w:val="0"/>
  </w:num>
  <w:num w:numId="34">
    <w:abstractNumId w:val="58"/>
  </w:num>
  <w:num w:numId="35">
    <w:abstractNumId w:val="48"/>
  </w:num>
  <w:num w:numId="36">
    <w:abstractNumId w:val="52"/>
  </w:num>
  <w:num w:numId="37">
    <w:abstractNumId w:val="11"/>
  </w:num>
  <w:num w:numId="38">
    <w:abstractNumId w:val="32"/>
  </w:num>
  <w:num w:numId="39">
    <w:abstractNumId w:val="19"/>
  </w:num>
  <w:num w:numId="40">
    <w:abstractNumId w:val="13"/>
  </w:num>
  <w:num w:numId="41">
    <w:abstractNumId w:val="53"/>
  </w:num>
  <w:num w:numId="42">
    <w:abstractNumId w:val="59"/>
  </w:num>
  <w:num w:numId="43">
    <w:abstractNumId w:val="29"/>
  </w:num>
  <w:num w:numId="44">
    <w:abstractNumId w:val="45"/>
  </w:num>
  <w:num w:numId="45">
    <w:abstractNumId w:val="10"/>
  </w:num>
  <w:num w:numId="46">
    <w:abstractNumId w:val="12"/>
  </w:num>
  <w:num w:numId="47">
    <w:abstractNumId w:val="34"/>
  </w:num>
  <w:num w:numId="48">
    <w:abstractNumId w:val="20"/>
  </w:num>
  <w:num w:numId="49">
    <w:abstractNumId w:val="35"/>
  </w:num>
  <w:num w:numId="50">
    <w:abstractNumId w:val="40"/>
  </w:num>
  <w:num w:numId="51">
    <w:abstractNumId w:val="15"/>
  </w:num>
  <w:num w:numId="52">
    <w:abstractNumId w:val="33"/>
  </w:num>
  <w:num w:numId="5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36"/>
  </w:num>
  <w:num w:numId="56">
    <w:abstractNumId w:val="22"/>
  </w:num>
  <w:num w:numId="57">
    <w:abstractNumId w:val="17"/>
  </w:num>
  <w:num w:numId="58">
    <w:abstractNumId w:val="61"/>
  </w:num>
  <w:num w:numId="59">
    <w:abstractNumId w:val="5"/>
  </w:num>
  <w:num w:numId="60">
    <w:abstractNumId w:val="49"/>
  </w:num>
  <w:num w:numId="61">
    <w:abstractNumId w:val="3"/>
  </w:num>
  <w:num w:numId="62">
    <w:abstractNumId w:val="6"/>
  </w:num>
  <w:num w:numId="63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07C"/>
    <w:rsid w:val="00031E50"/>
    <w:rsid w:val="001526E7"/>
    <w:rsid w:val="00155B35"/>
    <w:rsid w:val="00185C9E"/>
    <w:rsid w:val="002852C5"/>
    <w:rsid w:val="002D183A"/>
    <w:rsid w:val="00334CFE"/>
    <w:rsid w:val="0038741A"/>
    <w:rsid w:val="003A73C4"/>
    <w:rsid w:val="003D211E"/>
    <w:rsid w:val="004A0431"/>
    <w:rsid w:val="00592E9E"/>
    <w:rsid w:val="00604E84"/>
    <w:rsid w:val="006545B9"/>
    <w:rsid w:val="0068622F"/>
    <w:rsid w:val="00773748"/>
    <w:rsid w:val="007D5FDD"/>
    <w:rsid w:val="00816E55"/>
    <w:rsid w:val="008A5849"/>
    <w:rsid w:val="00915C8F"/>
    <w:rsid w:val="0094407C"/>
    <w:rsid w:val="009B2014"/>
    <w:rsid w:val="009D0E4F"/>
    <w:rsid w:val="009F5D55"/>
    <w:rsid w:val="00A529AB"/>
    <w:rsid w:val="00AB4722"/>
    <w:rsid w:val="00AF2445"/>
    <w:rsid w:val="00B070F9"/>
    <w:rsid w:val="00B54A41"/>
    <w:rsid w:val="00BD6163"/>
    <w:rsid w:val="00C243A8"/>
    <w:rsid w:val="00C3296F"/>
    <w:rsid w:val="00C63B93"/>
    <w:rsid w:val="00C930F2"/>
    <w:rsid w:val="00D74D57"/>
    <w:rsid w:val="00D80756"/>
    <w:rsid w:val="00D87449"/>
    <w:rsid w:val="00DA40D9"/>
    <w:rsid w:val="00DD0771"/>
    <w:rsid w:val="00E10AA7"/>
    <w:rsid w:val="00E55D92"/>
    <w:rsid w:val="00E821D2"/>
    <w:rsid w:val="00EA573E"/>
    <w:rsid w:val="00ED2483"/>
    <w:rsid w:val="00ED4EA3"/>
    <w:rsid w:val="00EE2E34"/>
    <w:rsid w:val="00F320A5"/>
    <w:rsid w:val="00F66719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Legenda1">
    <w:name w:val="Legenda1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Num131">
    <w:name w:val="WWNum131"/>
    <w:basedOn w:val="Bezlisty"/>
    <w:rsid w:val="00AF2445"/>
    <w:pPr>
      <w:numPr>
        <w:numId w:val="55"/>
      </w:numPr>
    </w:pPr>
  </w:style>
  <w:style w:type="numbering" w:customStyle="1" w:styleId="WWNum72">
    <w:name w:val="WWNum72"/>
    <w:basedOn w:val="Bezlisty"/>
    <w:rsid w:val="00AF244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33"/>
    <w:pPr>
      <w:numPr>
        <w:numId w:val="33"/>
      </w:numPr>
    </w:pPr>
  </w:style>
  <w:style w:type="numbering" w:customStyle="1" w:styleId="Heading">
    <w:name w:val="WWNum11"/>
    <w:pPr>
      <w:numPr>
        <w:numId w:val="11"/>
      </w:numPr>
    </w:pPr>
  </w:style>
  <w:style w:type="numbering" w:customStyle="1" w:styleId="Textbody">
    <w:name w:val="WWNum5"/>
    <w:pPr>
      <w:numPr>
        <w:numId w:val="5"/>
      </w:numPr>
    </w:pPr>
  </w:style>
  <w:style w:type="numbering" w:customStyle="1" w:styleId="Lista">
    <w:name w:val="WWNum12"/>
    <w:pPr>
      <w:numPr>
        <w:numId w:val="12"/>
      </w:numPr>
    </w:pPr>
  </w:style>
  <w:style w:type="numbering" w:customStyle="1" w:styleId="Legenda1">
    <w:name w:val="WWNum14"/>
    <w:pPr>
      <w:numPr>
        <w:numId w:val="14"/>
      </w:numPr>
    </w:pPr>
  </w:style>
  <w:style w:type="numbering" w:customStyle="1" w:styleId="Index">
    <w:name w:val="WWNum28"/>
    <w:pPr>
      <w:numPr>
        <w:numId w:val="28"/>
      </w:numPr>
    </w:pPr>
  </w:style>
  <w:style w:type="numbering" w:customStyle="1" w:styleId="Nagwek11">
    <w:name w:val="WWNum72"/>
    <w:pPr>
      <w:numPr>
        <w:numId w:val="7"/>
      </w:numPr>
    </w:pPr>
  </w:style>
  <w:style w:type="numbering" w:customStyle="1" w:styleId="Nagwek21">
    <w:name w:val="WWNum45"/>
    <w:pPr>
      <w:numPr>
        <w:numId w:val="45"/>
      </w:numPr>
    </w:pPr>
  </w:style>
  <w:style w:type="numbering" w:customStyle="1" w:styleId="Nagwek31">
    <w:name w:val="WWNum37"/>
    <w:pPr>
      <w:numPr>
        <w:numId w:val="37"/>
      </w:numPr>
    </w:pPr>
  </w:style>
  <w:style w:type="numbering" w:customStyle="1" w:styleId="Tekstdymka">
    <w:name w:val="WWNum46"/>
    <w:pPr>
      <w:numPr>
        <w:numId w:val="46"/>
      </w:numPr>
    </w:pPr>
  </w:style>
  <w:style w:type="numbering" w:customStyle="1" w:styleId="Nagwek1">
    <w:name w:val="WWNum40"/>
    <w:pPr>
      <w:numPr>
        <w:numId w:val="40"/>
      </w:numPr>
    </w:pPr>
  </w:style>
  <w:style w:type="numbering" w:customStyle="1" w:styleId="Stopka1">
    <w:name w:val="WWNum31"/>
    <w:pPr>
      <w:numPr>
        <w:numId w:val="31"/>
      </w:numPr>
    </w:pPr>
  </w:style>
  <w:style w:type="numbering" w:customStyle="1" w:styleId="Default">
    <w:name w:val="WWNum26"/>
    <w:pPr>
      <w:numPr>
        <w:numId w:val="26"/>
      </w:numPr>
    </w:pPr>
  </w:style>
  <w:style w:type="numbering" w:customStyle="1" w:styleId="Akapitzlist">
    <w:name w:val="WWNum27"/>
    <w:pPr>
      <w:numPr>
        <w:numId w:val="27"/>
      </w:numPr>
    </w:pPr>
  </w:style>
  <w:style w:type="numbering" w:customStyle="1" w:styleId="Poprawka">
    <w:name w:val="WWNum39"/>
    <w:pPr>
      <w:numPr>
        <w:numId w:val="39"/>
      </w:numPr>
    </w:pPr>
  </w:style>
  <w:style w:type="numbering" w:customStyle="1" w:styleId="Tekstprzypisudolnego">
    <w:name w:val="WWNum23"/>
    <w:pPr>
      <w:numPr>
        <w:numId w:val="23"/>
      </w:numPr>
    </w:pPr>
  </w:style>
  <w:style w:type="numbering" w:customStyle="1" w:styleId="Tekstkomentarza">
    <w:name w:val="WWNum1"/>
    <w:pPr>
      <w:numPr>
        <w:numId w:val="1"/>
      </w:numPr>
    </w:pPr>
  </w:style>
  <w:style w:type="numbering" w:customStyle="1" w:styleId="bodytext">
    <w:name w:val="WWNum17"/>
    <w:pPr>
      <w:numPr>
        <w:numId w:val="17"/>
      </w:numPr>
    </w:pPr>
  </w:style>
  <w:style w:type="numbering" w:customStyle="1" w:styleId="CM1">
    <w:name w:val="WWNum32"/>
    <w:pPr>
      <w:numPr>
        <w:numId w:val="32"/>
      </w:numPr>
    </w:pPr>
  </w:style>
  <w:style w:type="numbering" w:customStyle="1" w:styleId="CM3">
    <w:name w:val="WWNum25"/>
    <w:pPr>
      <w:numPr>
        <w:numId w:val="25"/>
      </w:numPr>
    </w:pPr>
  </w:style>
  <w:style w:type="numbering" w:customStyle="1" w:styleId="CM4">
    <w:name w:val="WWNum20"/>
    <w:pPr>
      <w:numPr>
        <w:numId w:val="20"/>
      </w:numPr>
    </w:pPr>
  </w:style>
  <w:style w:type="numbering" w:customStyle="1" w:styleId="Tematkomentarza">
    <w:name w:val="WWNum4"/>
    <w:pPr>
      <w:numPr>
        <w:numId w:val="4"/>
      </w:numPr>
    </w:pPr>
  </w:style>
  <w:style w:type="numbering" w:customStyle="1" w:styleId="NormalnyWeb">
    <w:name w:val="WWNum43"/>
    <w:pPr>
      <w:numPr>
        <w:numId w:val="43"/>
      </w:numPr>
    </w:pPr>
  </w:style>
  <w:style w:type="numbering" w:customStyle="1" w:styleId="Gwka">
    <w:name w:val="WWNum2"/>
    <w:pPr>
      <w:numPr>
        <w:numId w:val="2"/>
      </w:numPr>
    </w:pPr>
  </w:style>
  <w:style w:type="numbering" w:customStyle="1" w:styleId="xl33">
    <w:name w:val="WWNum18"/>
    <w:pPr>
      <w:numPr>
        <w:numId w:val="18"/>
      </w:numPr>
    </w:pPr>
  </w:style>
  <w:style w:type="numbering" w:customStyle="1" w:styleId="Footnote">
    <w:name w:val="WWNum38"/>
    <w:pPr>
      <w:numPr>
        <w:numId w:val="38"/>
      </w:numPr>
    </w:pPr>
  </w:style>
  <w:style w:type="numbering" w:customStyle="1" w:styleId="Nagwek10">
    <w:name w:val="WWNum71"/>
    <w:pPr>
      <w:numPr>
        <w:numId w:val="52"/>
      </w:numPr>
    </w:pPr>
  </w:style>
  <w:style w:type="numbering" w:customStyle="1" w:styleId="TekstdymkaZnak">
    <w:name w:val="WWNum47"/>
    <w:pPr>
      <w:numPr>
        <w:numId w:val="47"/>
      </w:numPr>
    </w:pPr>
  </w:style>
  <w:style w:type="numbering" w:customStyle="1" w:styleId="NagwekZnak">
    <w:name w:val="WWNum181"/>
    <w:pPr>
      <w:numPr>
        <w:numId w:val="49"/>
      </w:numPr>
    </w:pPr>
  </w:style>
  <w:style w:type="numbering" w:customStyle="1" w:styleId="StopkaZnak">
    <w:name w:val="WWNum131"/>
    <w:pPr>
      <w:numPr>
        <w:numId w:val="55"/>
      </w:numPr>
    </w:pPr>
  </w:style>
  <w:style w:type="numbering" w:customStyle="1" w:styleId="AkapitzlistZnak">
    <w:name w:val="WWNum9"/>
    <w:pPr>
      <w:numPr>
        <w:numId w:val="9"/>
      </w:numPr>
    </w:pPr>
  </w:style>
  <w:style w:type="numbering" w:customStyle="1" w:styleId="TekstprzypisudolnegoZnak">
    <w:name w:val="WWNum24"/>
    <w:pPr>
      <w:numPr>
        <w:numId w:val="24"/>
      </w:numPr>
    </w:pPr>
  </w:style>
  <w:style w:type="numbering" w:customStyle="1" w:styleId="Odwoanieprzypisudolnego">
    <w:name w:val="WWNum16"/>
    <w:pPr>
      <w:numPr>
        <w:numId w:val="16"/>
      </w:numPr>
    </w:pPr>
  </w:style>
  <w:style w:type="numbering" w:customStyle="1" w:styleId="TekstkomentarzaZnak">
    <w:name w:val="WWNum22"/>
    <w:pPr>
      <w:numPr>
        <w:numId w:val="22"/>
      </w:numPr>
    </w:pPr>
  </w:style>
  <w:style w:type="numbering" w:customStyle="1" w:styleId="Internetlink">
    <w:name w:val="WWNum6"/>
    <w:pPr>
      <w:numPr>
        <w:numId w:val="6"/>
      </w:numPr>
    </w:pPr>
  </w:style>
  <w:style w:type="numbering" w:customStyle="1" w:styleId="Nagwek1Znak">
    <w:name w:val="WWNum44"/>
    <w:pPr>
      <w:numPr>
        <w:numId w:val="44"/>
      </w:numPr>
    </w:pPr>
  </w:style>
  <w:style w:type="numbering" w:customStyle="1" w:styleId="h2">
    <w:name w:val="WWNum30"/>
    <w:pPr>
      <w:numPr>
        <w:numId w:val="30"/>
      </w:numPr>
    </w:pPr>
  </w:style>
  <w:style w:type="numbering" w:customStyle="1" w:styleId="Odwoaniedokomentarza">
    <w:name w:val="WWNum15"/>
    <w:pPr>
      <w:numPr>
        <w:numId w:val="15"/>
      </w:numPr>
    </w:pPr>
  </w:style>
  <w:style w:type="numbering" w:customStyle="1" w:styleId="TematkomentarzaZnak">
    <w:name w:val="WWNum35"/>
    <w:pPr>
      <w:numPr>
        <w:numId w:val="35"/>
      </w:numPr>
    </w:pPr>
  </w:style>
  <w:style w:type="numbering" w:customStyle="1" w:styleId="TekstpodstawowyZnak">
    <w:name w:val="WWNum3"/>
    <w:pPr>
      <w:numPr>
        <w:numId w:val="3"/>
      </w:numPr>
    </w:pPr>
  </w:style>
  <w:style w:type="numbering" w:customStyle="1" w:styleId="Nagwek3Znak">
    <w:name w:val="WWNum13"/>
    <w:pPr>
      <w:numPr>
        <w:numId w:val="13"/>
      </w:numPr>
    </w:pPr>
  </w:style>
  <w:style w:type="numbering" w:customStyle="1" w:styleId="Nagwek2Znak">
    <w:name w:val="WWNum36"/>
    <w:pPr>
      <w:numPr>
        <w:numId w:val="36"/>
      </w:numPr>
    </w:pPr>
  </w:style>
  <w:style w:type="numbering" w:customStyle="1" w:styleId="StrongEmphasis">
    <w:name w:val="WWNum41"/>
    <w:pPr>
      <w:numPr>
        <w:numId w:val="41"/>
      </w:numPr>
    </w:pPr>
  </w:style>
  <w:style w:type="numbering" w:customStyle="1" w:styleId="tabulatory">
    <w:name w:val="WWNum19"/>
    <w:pPr>
      <w:numPr>
        <w:numId w:val="19"/>
      </w:numPr>
    </w:pPr>
  </w:style>
  <w:style w:type="numbering" w:customStyle="1" w:styleId="ListLabel1">
    <w:name w:val="WWNum10"/>
    <w:pPr>
      <w:numPr>
        <w:numId w:val="10"/>
      </w:numPr>
    </w:pPr>
  </w:style>
  <w:style w:type="numbering" w:customStyle="1" w:styleId="ListLabel2">
    <w:name w:val="WWNum8"/>
    <w:pPr>
      <w:numPr>
        <w:numId w:val="8"/>
      </w:numPr>
    </w:pPr>
  </w:style>
  <w:style w:type="numbering" w:customStyle="1" w:styleId="ListLabel3">
    <w:name w:val="WWNum34"/>
    <w:pPr>
      <w:numPr>
        <w:numId w:val="34"/>
      </w:numPr>
    </w:pPr>
  </w:style>
  <w:style w:type="numbering" w:customStyle="1" w:styleId="ListLabel4">
    <w:name w:val="WWNum42"/>
    <w:pPr>
      <w:numPr>
        <w:numId w:val="42"/>
      </w:numPr>
    </w:pPr>
  </w:style>
  <w:style w:type="numbering" w:customStyle="1" w:styleId="ListLabel5">
    <w:name w:val="WWNum29"/>
    <w:pPr>
      <w:numPr>
        <w:numId w:val="29"/>
      </w:numPr>
    </w:pPr>
  </w:style>
  <w:style w:type="numbering" w:customStyle="1" w:styleId="FootnoteSymbol">
    <w:name w:val="WWNum2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85AA-5454-459D-AF06-64D71472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Elżbieta Cupiał-Smyk</cp:lastModifiedBy>
  <cp:revision>29</cp:revision>
  <cp:lastPrinted>2016-09-21T14:43:00Z</cp:lastPrinted>
  <dcterms:created xsi:type="dcterms:W3CDTF">2016-09-19T07:00:00Z</dcterms:created>
  <dcterms:modified xsi:type="dcterms:W3CDTF">2016-11-17T12:40:00Z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