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34CF6956" w14:textId="77777777" w:rsidR="00AB703A" w:rsidRPr="009F5A11" w:rsidRDefault="00AB703A" w:rsidP="00AB703A">
      <w:pPr>
        <w:spacing w:after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716EBF7" w14:textId="77777777" w:rsidR="00AB703A" w:rsidRPr="009F5A11" w:rsidRDefault="00AB703A" w:rsidP="00AB703A">
      <w:pPr>
        <w:autoSpaceDE w:val="0"/>
        <w:spacing w:after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Miasto Jelenia Góra </w:t>
      </w:r>
    </w:p>
    <w:p w14:paraId="35671EAD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pełniące funkcję Instytucji Pośredniczącej</w:t>
      </w:r>
    </w:p>
    <w:p w14:paraId="50109250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14:paraId="26C9DB22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14:paraId="519DB844" w14:textId="3F54013B" w:rsidR="0063427E" w:rsidRDefault="00AB703A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8D10DFE" w14:textId="77777777" w:rsidR="004737EC" w:rsidRDefault="004737EC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777777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0529A" w:rsidRPr="00E0529A">
        <w:rPr>
          <w:rFonts w:cs="Arial"/>
          <w:b/>
          <w:sz w:val="32"/>
          <w:szCs w:val="36"/>
        </w:rPr>
        <w:t xml:space="preserve">.3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0529A" w:rsidRPr="00E0529A">
        <w:rPr>
          <w:rFonts w:cs="Arial"/>
          <w:b/>
          <w:sz w:val="32"/>
          <w:szCs w:val="36"/>
        </w:rPr>
        <w:t>– ZIT AJ</w:t>
      </w:r>
    </w:p>
    <w:p w14:paraId="0BEC34F3" w14:textId="77777777" w:rsidR="00AB703A" w:rsidRDefault="00AB703A" w:rsidP="00E0529A">
      <w:pPr>
        <w:spacing w:after="0"/>
        <w:jc w:val="center"/>
      </w:pPr>
    </w:p>
    <w:p w14:paraId="3A3094F0" w14:textId="77777777" w:rsidR="00116E8E" w:rsidRDefault="00116E8E" w:rsidP="00AB703A">
      <w:pPr>
        <w:spacing w:after="0"/>
        <w:jc w:val="center"/>
        <w:rPr>
          <w:b/>
          <w:sz w:val="28"/>
          <w:szCs w:val="28"/>
        </w:rPr>
      </w:pPr>
    </w:p>
    <w:p w14:paraId="75118EF4" w14:textId="77777777" w:rsidR="00E0529A" w:rsidRPr="00AB703A" w:rsidRDefault="00E0529A" w:rsidP="00AB703A">
      <w:pPr>
        <w:spacing w:after="0"/>
        <w:jc w:val="center"/>
        <w:rPr>
          <w:b/>
          <w:sz w:val="28"/>
          <w:szCs w:val="28"/>
        </w:rPr>
      </w:pPr>
      <w:r w:rsidRPr="00AB703A">
        <w:rPr>
          <w:b/>
          <w:sz w:val="28"/>
          <w:szCs w:val="28"/>
        </w:rPr>
        <w:t>RPDS.06.03.03-IZ.00-02-</w:t>
      </w:r>
      <w:r w:rsidR="00C14D22" w:rsidRPr="00AB703A">
        <w:rPr>
          <w:b/>
          <w:sz w:val="28"/>
          <w:szCs w:val="28"/>
        </w:rPr>
        <w:t>143</w:t>
      </w:r>
      <w:r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7777777" w:rsidR="00E0529A" w:rsidRPr="00E0529A" w:rsidRDefault="00E0529A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 w:rsidRPr="00E0529A">
              <w:rPr>
                <w:rFonts w:cs="Arial"/>
                <w:b/>
              </w:rPr>
              <w:t>Poddziałanie 6.3.3 Rewitalizacja zdegradowanych obszarów – ZIT AJ</w:t>
            </w:r>
          </w:p>
          <w:p w14:paraId="0F16E184" w14:textId="77777777" w:rsidR="00E0529A" w:rsidRPr="003A1BD4" w:rsidRDefault="00E0529A" w:rsidP="003A1B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</w:rPr>
            </w:pPr>
            <w:r w:rsidRPr="003A1BD4">
              <w:rPr>
                <w:rFonts w:cs="Arial"/>
                <w:b/>
              </w:rPr>
              <w:t xml:space="preserve">Nabór w trybie konkursowym – </w:t>
            </w:r>
            <w:r w:rsidRPr="003A1BD4">
              <w:rPr>
                <w:rFonts w:cs="Arial"/>
                <w:b/>
                <w:u w:val="single"/>
              </w:rPr>
              <w:t>dla beneficjentów realizujących przedsięwzięcia na terenie Aglomeracji Jeleniogórskiej określonej w Strategii ZIT AJ</w:t>
            </w:r>
            <w:r w:rsidRPr="003A1BD4">
              <w:rPr>
                <w:rFonts w:cs="Arial"/>
                <w:b/>
                <w:u w:val="single"/>
                <w:vertAlign w:val="superscript"/>
              </w:rPr>
              <w:footnoteReference w:id="1"/>
            </w:r>
            <w:r w:rsidRPr="003A1BD4">
              <w:rPr>
                <w:rFonts w:cs="Arial"/>
                <w:b/>
                <w:u w:val="single"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49557322" w14:textId="77777777" w:rsidR="00B52E05" w:rsidRPr="00151119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0F3618FD" w14:textId="77777777" w:rsidR="00B52E05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296955D6" w14:textId="77777777" w:rsidR="00B52E05" w:rsidRPr="00336740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14:paraId="09AC4B53" w14:textId="490EC7DC" w:rsidR="0063427E" w:rsidRPr="00231404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B52E05">
              <w:rPr>
                <w:rFonts w:asciiTheme="minorHAnsi" w:hAnsiTheme="minorHAnsi"/>
                <w:bCs/>
              </w:rPr>
              <w:t>Miastem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3201C428" w14:textId="17F0426C" w:rsidR="006B0C9F" w:rsidRPr="00151119" w:rsidRDefault="00B52E0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6B0C9F">
              <w:rPr>
                <w:rFonts w:cs="Calibri"/>
                <w:color w:val="000000"/>
              </w:rPr>
              <w:t xml:space="preserve">jest </w:t>
            </w:r>
            <w:r w:rsidR="006B0C9F" w:rsidRPr="00151119">
              <w:rPr>
                <w:rFonts w:cs="Calibri"/>
                <w:color w:val="000000"/>
              </w:rPr>
              <w:t>typ projekt</w:t>
            </w:r>
            <w:r w:rsidR="006B0C9F">
              <w:rPr>
                <w:rFonts w:cs="Calibri"/>
                <w:color w:val="000000"/>
              </w:rPr>
              <w:t>u</w:t>
            </w:r>
            <w:r w:rsidR="006B0C9F" w:rsidRPr="00151119">
              <w:rPr>
                <w:rFonts w:cs="Calibri"/>
                <w:color w:val="000000"/>
              </w:rPr>
              <w:t xml:space="preserve"> określon</w:t>
            </w:r>
            <w:r w:rsidR="006B0C9F">
              <w:rPr>
                <w:rFonts w:cs="Calibri"/>
                <w:color w:val="000000"/>
              </w:rPr>
              <w:t>y</w:t>
            </w:r>
            <w:r w:rsidR="00C14D22">
              <w:rPr>
                <w:rFonts w:cs="Calibri"/>
                <w:color w:val="000000"/>
              </w:rPr>
              <w:t xml:space="preserve"> dla działania 6</w:t>
            </w:r>
            <w:r w:rsidR="006B0C9F" w:rsidRPr="00151119">
              <w:rPr>
                <w:rFonts w:cs="Calibri"/>
                <w:color w:val="000000"/>
              </w:rPr>
              <w:t>.</w:t>
            </w:r>
            <w:r w:rsidR="00C14D22">
              <w:rPr>
                <w:rFonts w:cs="Calibri"/>
                <w:color w:val="000000"/>
              </w:rPr>
              <w:t>3.B Rewitalizacja zdegradowanych obszarów</w:t>
            </w:r>
            <w:r w:rsidR="006B0C9F" w:rsidRPr="00574124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w osi priorytetowej 6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Infrastruktura spójności społecznej</w:t>
            </w:r>
            <w:r w:rsidR="006B0C9F" w:rsidRPr="00151119">
              <w:rPr>
                <w:rFonts w:cs="Calibri"/>
                <w:color w:val="000000"/>
              </w:rPr>
              <w:t>, tj.:</w:t>
            </w:r>
          </w:p>
          <w:p w14:paraId="08CEFC1D" w14:textId="77777777" w:rsidR="006B0C9F" w:rsidRPr="00151119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7AAA640" w14:textId="77777777" w:rsidR="006B0C9F" w:rsidRPr="00DB1BCB" w:rsidRDefault="00C14D22" w:rsidP="00C14D2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1BCB">
              <w:rPr>
                <w:rFonts w:asciiTheme="minorHAnsi" w:hAnsiTheme="minorHAnsi"/>
                <w:b/>
                <w:sz w:val="22"/>
                <w:szCs w:val="22"/>
              </w:rPr>
              <w:t>6.3.B</w:t>
            </w:r>
            <w:r w:rsidRPr="00DB1B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>Remont, odnowa części wspólnych wielorodzinnych budynków</w:t>
            </w:r>
            <w:r w:rsidR="00DB1BCB" w:rsidRPr="00DB1BCB">
              <w:rPr>
                <w:rStyle w:val="Odwoanieprzypisudolnego"/>
                <w:rFonts w:eastAsia="Times New Roman" w:cs="Arial"/>
                <w:sz w:val="22"/>
                <w:szCs w:val="22"/>
                <w:lang w:eastAsia="pl-PL"/>
              </w:rPr>
              <w:footnoteReference w:id="2"/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 xml:space="preserve"> mieszkalnych (nie ma możliwości budowy nowych obiektów).</w:t>
            </w:r>
          </w:p>
          <w:p w14:paraId="38B8A431" w14:textId="77777777" w:rsidR="006B0C9F" w:rsidRDefault="006B0C9F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51F9EA0A" w14:textId="3FA8E336" w:rsidR="00DB1BCB" w:rsidRDefault="00B52E05" w:rsidP="00B52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Dla konkursu </w:t>
            </w:r>
            <w:r w:rsidR="00DB1BCB" w:rsidRPr="00DB1BCB">
              <w:rPr>
                <w:rFonts w:asciiTheme="minorHAnsi" w:hAnsiTheme="minorHAnsi"/>
                <w:sz w:val="22"/>
                <w:szCs w:val="22"/>
              </w:rPr>
              <w:t xml:space="preserve"> w ramach poddziałania 6.3.3 Rewitalizacja zdegradowanych obszarów - ZIT Aglomeracji Jeleniogórskiej (RPDS.06.03.03-IZ.00-02-143/16), ww. typ projektu musi być realizowany na obszarze ZIT AJ.</w:t>
            </w:r>
          </w:p>
          <w:p w14:paraId="7B9473E5" w14:textId="77777777" w:rsidR="00DB1BCB" w:rsidRPr="00C52BEB" w:rsidRDefault="00DB1BCB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092F1879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Części  wspólne  budynku – części 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</w:t>
            </w:r>
            <w:r w:rsidRPr="00FC1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CA8C3B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72AF10" w14:textId="77777777" w:rsidR="00DB1BCB" w:rsidRPr="00712AEE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IZ RPO WD nie określa zamkniętego katalogu części wspólnych budynku, o tym co jest częścią wspólną decydują w dużej mierze postanowienia umów o ustanowieniu odrębnej własności lokalu.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2EDED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505E7357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527BAD11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6DAB448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2048E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572596EC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81BC5A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</w:p>
          <w:p w14:paraId="3C7B9E45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7392C8" w14:textId="77777777" w:rsidR="009A68AD" w:rsidRDefault="009A68AD" w:rsidP="00DB1BCB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D2FB12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3"/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 w:cs="Arial"/>
                <w:sz w:val="22"/>
                <w:szCs w:val="22"/>
              </w:rPr>
              <w:t>(dokument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9F6911F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2A12D9" w14:textId="77777777" w:rsidR="00DB1BCB" w:rsidRPr="00104938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IZ RPO WD będzie prowadzić wykaz dla wszystkich pozytywnie zweryfikowanych programów rewitalizacji.</w:t>
            </w:r>
          </w:p>
          <w:p w14:paraId="1021FEB4" w14:textId="77777777" w:rsidR="00DB1BCB" w:rsidRPr="00CD7243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334FA23" w14:textId="77777777" w:rsidR="00DB1BCB" w:rsidRDefault="00DB1BCB" w:rsidP="00DB1BCB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14:paraId="226CD3C7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CD7243">
              <w:rPr>
                <w:rFonts w:ascii="Calibri" w:hAnsi="Calibri" w:cs="Arial"/>
                <w:szCs w:val="22"/>
              </w:rPr>
              <w:t>dotyczące zabytków wpisanych do rejestru prowadzonego przez Wojewódzkiego Konserwatora Zabytków we Wrocławiu lub obiektów wpisanyc</w:t>
            </w:r>
            <w:r>
              <w:rPr>
                <w:rFonts w:ascii="Calibri" w:hAnsi="Calibri" w:cs="Arial"/>
                <w:szCs w:val="22"/>
              </w:rPr>
              <w:t>h do Gminnej Ewidencji Zabytków;</w:t>
            </w:r>
          </w:p>
          <w:p w14:paraId="44054293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BA7DB6">
              <w:rPr>
                <w:rFonts w:ascii="Calibri" w:hAnsi="Calibri" w:cs="Arial"/>
                <w:szCs w:val="22"/>
              </w:rPr>
              <w:t>realizowane w partnerstwie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14:paraId="18D7E49C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2D69FB08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55D02AE3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2E0A1D29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usługowej, produkcyjnej itp., związanej z prowadzeniem działalności gospodarczej we wspieranych w projekcie budynkach</w:t>
            </w:r>
            <w:r w:rsidRPr="00E316D7">
              <w:rPr>
                <w:rFonts w:asciiTheme="minorHAnsi" w:hAnsiTheme="minorHAnsi"/>
                <w:szCs w:val="22"/>
                <w:vertAlign w:val="superscript"/>
              </w:rPr>
              <w:footnoteReference w:id="4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550D6770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związanej z prowadzeniem działalności administracyjnej we wspieranych w projekcie budynkach</w:t>
            </w:r>
            <w:r w:rsidRPr="00E316D7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7E4620B4" w14:textId="77777777" w:rsidR="00DB1BCB" w:rsidRPr="0039520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projekcie.</w:t>
            </w:r>
          </w:p>
          <w:p w14:paraId="6361A49B" w14:textId="77777777" w:rsidR="00DB1BCB" w:rsidRDefault="00DB1BCB" w:rsidP="00DB1BCB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3F4BB08" w14:textId="77777777" w:rsidR="006B0C9F" w:rsidRPr="009A68AD" w:rsidRDefault="00DB1BCB" w:rsidP="009A68A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F61">
              <w:rPr>
                <w:rFonts w:asciiTheme="minorHAnsi" w:hAnsiTheme="minorHAnsi"/>
                <w:sz w:val="22"/>
                <w:szCs w:val="22"/>
              </w:rPr>
              <w:t>K</w:t>
            </w:r>
            <w:r w:rsidRPr="00893058">
              <w:rPr>
                <w:rFonts w:asciiTheme="minorHAnsi" w:hAnsiTheme="minorHAnsi"/>
                <w:sz w:val="22"/>
                <w:szCs w:val="22"/>
              </w:rPr>
              <w:t>ategorią interwencji  (zakresem interwencji dominującym) dla niniejszych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konkursów jest kategoria </w:t>
            </w:r>
            <w:r w:rsidRPr="00E316D7">
              <w:rPr>
                <w:rFonts w:asciiTheme="minorHAnsi" w:hAnsiTheme="minorHAnsi"/>
                <w:b/>
                <w:sz w:val="22"/>
                <w:szCs w:val="22"/>
              </w:rPr>
              <w:t>054 Infrastruktura mieszkalnictwa</w:t>
            </w:r>
            <w:r w:rsidRPr="00E316D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9A68AD">
        <w:trPr>
          <w:trHeight w:val="3987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627E9E" w:rsidRPr="00B27059" w14:paraId="7F9287F2" w14:textId="77777777" w:rsidTr="00673E98">
        <w:trPr>
          <w:trHeight w:val="739"/>
        </w:trPr>
        <w:tc>
          <w:tcPr>
            <w:tcW w:w="534" w:type="dxa"/>
            <w:vMerge w:val="restart"/>
          </w:tcPr>
          <w:p w14:paraId="0D7D5E9D" w14:textId="51C4E6A6" w:rsidR="00627E9E" w:rsidRPr="00B27059" w:rsidRDefault="003A1BD4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vMerge w:val="restart"/>
          </w:tcPr>
          <w:p w14:paraId="692BD630" w14:textId="77777777" w:rsidR="003A1BD4" w:rsidRDefault="003A1BD4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8C7589" w:rsidRDefault="008C7589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268F00B" w14:textId="77777777" w:rsidR="008C7589" w:rsidRPr="00211EA8" w:rsidRDefault="008C7589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b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927EF0">
              <w:rPr>
                <w:rFonts w:cs="ArialMT"/>
                <w:b/>
              </w:rPr>
              <w:t xml:space="preserve">2 932 800 </w:t>
            </w:r>
            <w:r w:rsidRPr="0057791F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UR</w:t>
            </w:r>
            <w:r w:rsidRPr="0057791F">
              <w:rPr>
                <w:rFonts w:eastAsia="Droid Sans Fallback" w:cs="Calibri"/>
                <w:b/>
              </w:rPr>
              <w:t>, tj</w:t>
            </w:r>
            <w:r w:rsidRPr="001A43A7">
              <w:rPr>
                <w:rFonts w:eastAsia="Droid Sans Fallback" w:cs="Calibri"/>
                <w:b/>
              </w:rPr>
              <w:t>. 12 886 723 PLN</w:t>
            </w:r>
          </w:p>
          <w:p w14:paraId="0ECD9324" w14:textId="77777777"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</w:tc>
      </w:tr>
      <w:tr w:rsidR="00627E9E" w:rsidRPr="00B27059" w14:paraId="4475CFD7" w14:textId="77777777" w:rsidTr="00673E98">
        <w:trPr>
          <w:trHeight w:val="1935"/>
        </w:trPr>
        <w:tc>
          <w:tcPr>
            <w:tcW w:w="534" w:type="dxa"/>
            <w:vMerge/>
          </w:tcPr>
          <w:p w14:paraId="337644C7" w14:textId="77777777"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14:paraId="5B39557E" w14:textId="77777777" w:rsidR="00627E9E" w:rsidRPr="00B27059" w:rsidRDefault="00627E9E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41919C63" w14:textId="77777777"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A296519" w14:textId="77777777" w:rsidR="00627E9E" w:rsidRPr="00AC214A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 w:rsidR="0039499E">
              <w:rPr>
                <w:rFonts w:cs="MS Sans Serif"/>
              </w:rPr>
              <w:t>czerwcu</w:t>
            </w:r>
            <w:r>
              <w:rPr>
                <w:rFonts w:cs="MS Sans Serif"/>
              </w:rPr>
              <w:t xml:space="preserve"> </w:t>
            </w:r>
            <w:r w:rsidRPr="00B27059">
              <w:rPr>
                <w:rFonts w:cs="MS Sans Serif"/>
              </w:rPr>
              <w:t xml:space="preserve">2016  r. 1 euro = </w:t>
            </w:r>
            <w:r w:rsidR="00A20784" w:rsidRPr="001A43A7">
              <w:rPr>
                <w:color w:val="000000" w:themeColor="text1"/>
              </w:rPr>
              <w:t xml:space="preserve">4,3940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71182F78" w14:textId="77777777" w:rsidR="00627E9E" w:rsidRPr="00B27059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47E2020F" w14:textId="77777777" w:rsidR="00627E9E" w:rsidRDefault="00627E9E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77777777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5C9E1D62" w14:textId="77777777" w:rsidR="00ED1E9F" w:rsidRPr="00AB5956" w:rsidRDefault="004C499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44755F" w:rsidRPr="00231404" w14:paraId="44A297C9" w14:textId="77777777" w:rsidTr="00A9400A">
        <w:trPr>
          <w:trHeight w:val="7713"/>
        </w:trPr>
        <w:tc>
          <w:tcPr>
            <w:tcW w:w="534" w:type="dxa"/>
          </w:tcPr>
          <w:p w14:paraId="205E7219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44755F" w:rsidRPr="00231404" w:rsidRDefault="004475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3EB78598" w14:textId="77777777" w:rsidR="0044755F" w:rsidRPr="008C7589" w:rsidRDefault="0044755F" w:rsidP="008C7589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8C7589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218CE34D" w14:textId="77777777" w:rsidR="0044755F" w:rsidRPr="008C7589" w:rsidRDefault="0044755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4F8B499" w14:textId="77777777" w:rsidR="0044755F" w:rsidRPr="008C7589" w:rsidRDefault="0044755F" w:rsidP="008C75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7589">
              <w:rPr>
                <w:rFonts w:ascii="Calibri" w:hAnsi="Calibri" w:cs="Calibri"/>
              </w:rPr>
              <w:t>w przypadku projektu nieobjętego pomocą publiczną – maksymalnie 60% kosztów kwalifikowalnych;</w:t>
            </w:r>
          </w:p>
          <w:p w14:paraId="44353131" w14:textId="77777777" w:rsidR="0044755F" w:rsidRPr="008C7589" w:rsidRDefault="0044755F" w:rsidP="008C758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47ACF5F3" w14:textId="77777777" w:rsidR="0044755F" w:rsidRPr="008C7589" w:rsidRDefault="0044755F" w:rsidP="008C75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7589">
              <w:rPr>
                <w:rFonts w:cs="Calibri"/>
              </w:rPr>
              <w:t xml:space="preserve">w przypadku projektu objętego pomocą publiczną </w:t>
            </w:r>
            <w:r w:rsidRPr="008C7589">
              <w:rPr>
                <w:rFonts w:cs="Calibri"/>
                <w:color w:val="000000"/>
              </w:rPr>
              <w:t xml:space="preserve">– </w:t>
            </w:r>
            <w:r w:rsidRPr="008C7589">
              <w:rPr>
                <w:rFonts w:ascii="Calibri" w:hAnsi="Calibri" w:cs="Calibri"/>
                <w:color w:val="000000"/>
              </w:rPr>
              <w:t>w wysokości wynikającej z reguł pomocy publicznej ale nie więcej niż 60%;</w:t>
            </w:r>
          </w:p>
          <w:p w14:paraId="51643A40" w14:textId="77777777" w:rsidR="0044755F" w:rsidRPr="008C7589" w:rsidRDefault="0044755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D1B9453" w14:textId="77777777" w:rsidR="0044755F" w:rsidRPr="008C7589" w:rsidRDefault="0044755F" w:rsidP="008C75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C7589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60% ale nie więcej niż równowartość 200 000 euro dla podmiotu na 3 lata podatkowe.</w:t>
            </w:r>
          </w:p>
          <w:p w14:paraId="700032DB" w14:textId="77777777" w:rsidR="0044755F" w:rsidRDefault="0044755F" w:rsidP="008C7589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8C7589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60%).</w:t>
            </w:r>
          </w:p>
          <w:p w14:paraId="3218CCEB" w14:textId="77777777" w:rsidR="0044755F" w:rsidRPr="00263BF7" w:rsidRDefault="0044755F" w:rsidP="008C7589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  <w:p w14:paraId="7C7A2E2E" w14:textId="77777777" w:rsidR="0044755F" w:rsidRDefault="0044755F" w:rsidP="00007A03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  <w:p w14:paraId="764AA09B" w14:textId="77777777" w:rsidR="0044755F" w:rsidRDefault="0044755F" w:rsidP="008C7589">
            <w:pPr>
              <w:spacing w:line="240" w:lineRule="auto"/>
              <w:contextualSpacing/>
              <w:jc w:val="both"/>
              <w:rPr>
                <w:rFonts w:cs="Calibri"/>
              </w:rPr>
            </w:pPr>
            <w:r w:rsidRPr="00893058">
              <w:rPr>
                <w:rFonts w:cs="Calibri"/>
              </w:rPr>
              <w:t>Na podstawie zapisów Kontraktu Terytorialnego, projekty rewitalizacyjne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</w:p>
          <w:p w14:paraId="7615FD48" w14:textId="52ABFC82" w:rsidR="0044755F" w:rsidRPr="00263BF7" w:rsidRDefault="0044755F" w:rsidP="00007A03">
            <w:pPr>
              <w:contextualSpacing/>
              <w:jc w:val="both"/>
              <w:rPr>
                <w:rFonts w:cs="Calibri"/>
              </w:rPr>
            </w:pP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2DF6F6" w14:textId="77777777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 projektu  wynosi co najmniej 40%.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2B102A10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E57E32">
              <w:rPr>
                <w:b/>
                <w:bCs/>
                <w:u w:val="single"/>
              </w:rPr>
              <w:t xml:space="preserve">od godz. 8.00 dnia 01 sierpnia 2016 r. do godz. 15.00 dnia 30 </w:t>
            </w:r>
            <w:r w:rsidR="00117138">
              <w:rPr>
                <w:b/>
                <w:bCs/>
                <w:u w:val="single"/>
              </w:rPr>
              <w:t xml:space="preserve">grudnia </w:t>
            </w:r>
            <w:r w:rsidRPr="00E57E32">
              <w:rPr>
                <w:b/>
                <w:bCs/>
                <w:u w:val="single"/>
              </w:rPr>
              <w:t xml:space="preserve"> 2016 r.</w:t>
            </w:r>
            <w:r w:rsidRPr="00E57E32">
              <w:rPr>
                <w:u w:val="single"/>
              </w:rPr>
              <w:t xml:space="preserve"> </w:t>
            </w:r>
          </w:p>
          <w:p w14:paraId="431B0D72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Logowanie do Generatora Wniosków w celu wypełnienia i złożenia wniosku </w:t>
            </w:r>
            <w:r w:rsidRPr="00E57E32"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 w:rsidRPr="00E57E32">
              <w:br/>
              <w:t xml:space="preserve">o dofinansowanie, a także zapewnia możliwość ich złożenia do właściwej instytucji. </w:t>
            </w:r>
          </w:p>
          <w:p w14:paraId="7FDF9538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Ponadto do siedziby IOK należy dostarczyć jeden egzemplarz wydrukowanej </w:t>
            </w:r>
            <w:r w:rsidRPr="00E57E32">
              <w:br/>
              <w:t>z aplikacji generator wniosków papierowej wersji wniosku, opatrzonej czytelnym podpisem/</w:t>
            </w:r>
            <w:proofErr w:type="spellStart"/>
            <w:r w:rsidRPr="00E57E32">
              <w:t>ami</w:t>
            </w:r>
            <w:proofErr w:type="spellEnd"/>
            <w:r w:rsidRPr="00E57E32">
              <w:t xml:space="preserve"> lub parafą i z pieczęcią imienną osoby/</w:t>
            </w:r>
            <w:proofErr w:type="spellStart"/>
            <w:r w:rsidRPr="00E57E32">
              <w:t>ób</w:t>
            </w:r>
            <w:proofErr w:type="spellEnd"/>
            <w:r w:rsidRPr="00E57E32">
              <w:t xml:space="preserve"> uprawnionej/</w:t>
            </w:r>
            <w:proofErr w:type="spellStart"/>
            <w:r w:rsidRPr="00E57E32">
              <w:t>ych</w:t>
            </w:r>
            <w:proofErr w:type="spellEnd"/>
            <w:r w:rsidRPr="00E57E32">
              <w:t xml:space="preserve"> do reprezentowania Wnioskodawcy (wraz z podpisanymi załącznikami). </w:t>
            </w:r>
          </w:p>
          <w:p w14:paraId="3F6C7822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3F4994A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14:paraId="04D9B95F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a) osobiście do kancelarii Departamentu Funduszy Europejskich mieszczącej się pod adresem:</w:t>
            </w:r>
          </w:p>
          <w:p w14:paraId="2FA9230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06B212F3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88D9F5C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ul. Mazowiecka 17</w:t>
            </w:r>
          </w:p>
          <w:p w14:paraId="6C277744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50-412 Wrocław</w:t>
            </w:r>
          </w:p>
          <w:p w14:paraId="41176CC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II piętro, pokój nr 2020</w:t>
            </w:r>
          </w:p>
          <w:p w14:paraId="664BF505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 xml:space="preserve">b) za pośrednictwem polskiego operatora wyznaczonego,  w rozumieniu ustawy </w:t>
            </w:r>
          </w:p>
          <w:p w14:paraId="0B03B615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z dnia 23 listopada 2012 r. - Prawo pocztowe, na adres:</w:t>
            </w:r>
          </w:p>
          <w:p w14:paraId="286D015F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78DA66C2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6DA52B17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ul. Mazowiecka 17</w:t>
            </w:r>
          </w:p>
          <w:p w14:paraId="747312E7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50-412 Wrocław</w:t>
            </w:r>
          </w:p>
          <w:p w14:paraId="7DA92A5D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II piętro, pokój nr 2020</w:t>
            </w:r>
          </w:p>
          <w:p w14:paraId="5DCB3B21" w14:textId="77777777" w:rsidR="00117138" w:rsidRPr="00117138" w:rsidRDefault="00117138" w:rsidP="0011713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</w:p>
          <w:p w14:paraId="489AEC0D" w14:textId="77777777" w:rsidR="00117138" w:rsidRDefault="00117138" w:rsidP="0011713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117138">
              <w:rPr>
                <w:rFonts w:eastAsia="Times New Roman" w:cs="Arial"/>
                <w:lang w:eastAsia="pl-PL"/>
              </w:rPr>
              <w:t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</w:t>
            </w:r>
            <w:bookmarkStart w:id="2" w:name="_GoBack"/>
            <w:bookmarkEnd w:id="2"/>
          </w:p>
          <w:p w14:paraId="1B5737CB" w14:textId="7A5E802B" w:rsidR="00E57E32" w:rsidRPr="00E57E32" w:rsidRDefault="00E57E32" w:rsidP="00117138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Times New Roman"/>
                <w:lang w:eastAsia="pl-PL"/>
              </w:rPr>
              <w:t xml:space="preserve">Suma kontrolna wersji elektronicznej wniosku (w systemie) musi być identyczna z sumą kontrolną papierowej wersji wniosku. </w:t>
            </w:r>
            <w:r w:rsidRPr="00E57E32">
              <w:rPr>
                <w:rFonts w:eastAsia="Times New Roman" w:cs="Arial"/>
                <w:lang w:eastAsia="pl-PL"/>
              </w:rPr>
              <w:t xml:space="preserve">Wniosek wraz z załącznikami (jeśli dotyczy) należy złożyć w zamkniętej kopercie </w:t>
            </w:r>
            <w:r w:rsidRPr="00E57E32">
              <w:rPr>
                <w:rFonts w:eastAsia="Times New Roman" w:cs="Times New Roman"/>
                <w:lang w:eastAsia="pl-PL"/>
              </w:rPr>
              <w:t>(lub innym opakowaniu np. pudełku),</w:t>
            </w:r>
            <w:r w:rsidRPr="00E57E32">
              <w:rPr>
                <w:rFonts w:eastAsia="Times New Roman" w:cs="Arial"/>
                <w:lang w:eastAsia="pl-PL"/>
              </w:rPr>
              <w:t xml:space="preserve"> której opis zawiera następujące informacje: </w:t>
            </w:r>
          </w:p>
          <w:p w14:paraId="7C04213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pełna nazwa Wnioskodawcy wraz z adresem</w:t>
            </w:r>
          </w:p>
          <w:p w14:paraId="457A225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wniosek o dofinansowanie projektu w ramach naboru nr …………..</w:t>
            </w:r>
          </w:p>
          <w:p w14:paraId="7984B088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tytuł projektu</w:t>
            </w:r>
          </w:p>
          <w:p w14:paraId="7275497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„Nie otwierać przed wpływem do Wydziału Wdrażania EFRR”.</w:t>
            </w:r>
          </w:p>
          <w:p w14:paraId="188F4D98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CA07617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42DF4133" w14:textId="41336992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09D50A23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4CF29491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3A4CD4" w14:textId="77777777" w:rsidR="008C7589" w:rsidRPr="00ED6F0D" w:rsidRDefault="00E57E32" w:rsidP="00E57E32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formie komunikatu we wszystkich miejscach, gdzie opublikowano ogłoszenie.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CD1A1A7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oraz na stronie </w:t>
            </w:r>
            <w:hyperlink r:id="rId13" w:history="1">
              <w:r w:rsidR="003A1BD4" w:rsidRPr="000E6CBB">
                <w:rPr>
                  <w:rStyle w:val="Hipercze"/>
                </w:rPr>
                <w:t>www.zitaj.jeleniagora.pl</w:t>
              </w:r>
            </w:hyperlink>
            <w:r w:rsidR="003A1BD4" w:rsidRPr="00231404">
              <w:t>.</w:t>
            </w:r>
            <w:hyperlink r:id="rId14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1171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60A2FCAA" w14:textId="77777777" w:rsidR="00E0529A" w:rsidRPr="00451636" w:rsidRDefault="00E0529A" w:rsidP="00E0529A">
      <w:pPr>
        <w:spacing w:after="0" w:line="240" w:lineRule="aut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FA5C18">
        <w:rPr>
          <w:sz w:val="20"/>
          <w:szCs w:val="20"/>
        </w:rPr>
        <w:t xml:space="preserve">W skład </w:t>
      </w:r>
      <w:r w:rsidRPr="00FA5C18">
        <w:rPr>
          <w:rFonts w:cs="Arial"/>
          <w:sz w:val="20"/>
          <w:szCs w:val="20"/>
          <w:u w:val="single"/>
        </w:rPr>
        <w:t>Aglomeracji Jeleniogórskiej określonej w Strategii ZIT AJ wchodzą Miasta i Gminy:</w:t>
      </w:r>
      <w:r w:rsidRPr="00FA5C18">
        <w:rPr>
          <w:sz w:val="20"/>
          <w:szCs w:val="20"/>
        </w:rPr>
        <w:t xml:space="preserve"> </w:t>
      </w:r>
      <w:r w:rsidRPr="00FA5C18">
        <w:rPr>
          <w:rFonts w:cs="Calibri"/>
          <w:sz w:val="20"/>
          <w:szCs w:val="20"/>
        </w:rPr>
        <w:t>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14:paraId="67C3DE79" w14:textId="77777777" w:rsidR="00E0529A" w:rsidRDefault="00E0529A" w:rsidP="00E0529A">
      <w:pPr>
        <w:pStyle w:val="Tekstprzypisudolnego"/>
      </w:pPr>
    </w:p>
  </w:footnote>
  <w:footnote w:id="2">
    <w:p w14:paraId="603AA431" w14:textId="77777777" w:rsidR="00DB1BCB" w:rsidRPr="00D80A4B" w:rsidRDefault="00DB1BCB" w:rsidP="00DB1BCB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D5EA6">
        <w:rPr>
          <w:rFonts w:cs="Times New Roman"/>
          <w:color w:val="000000"/>
          <w:sz w:val="20"/>
          <w:szCs w:val="20"/>
        </w:rPr>
        <w:t>Budynek – zgodnie z definicją ujętą w Art. 3 Ustawy z dnia 7 lipca 1994 r. Prawo Budowlane (</w:t>
      </w:r>
      <w:r w:rsidRPr="00AD5EA6">
        <w:rPr>
          <w:rFonts w:cs="Times New Roman"/>
          <w:bCs/>
          <w:color w:val="000000"/>
          <w:sz w:val="20"/>
          <w:szCs w:val="20"/>
        </w:rPr>
        <w:t>Dz.U. 1994 Nr 89 poz. 414 z późn. zm.</w:t>
      </w:r>
      <w:r w:rsidRPr="00AD5EA6">
        <w:rPr>
          <w:rFonts w:cs="Times New Roman"/>
          <w:color w:val="000000"/>
          <w:sz w:val="20"/>
          <w:szCs w:val="20"/>
        </w:rPr>
        <w:t xml:space="preserve">) – to obiekt budowlany, który jest trwale związany z gruntem, wydzielony z przestrzeni za pomocą przegród budowlanych oraz posiada fundamenty i dach; </w:t>
      </w:r>
    </w:p>
  </w:footnote>
  <w:footnote w:id="3">
    <w:p w14:paraId="44B9DCA5" w14:textId="77777777" w:rsidR="00DB1BCB" w:rsidRDefault="00DB1BCB" w:rsidP="00DB1B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4">
    <w:p w14:paraId="29526E8C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">
    <w:p w14:paraId="5A67CB12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33"/>
  </w:num>
  <w:num w:numId="5">
    <w:abstractNumId w:val="6"/>
  </w:num>
  <w:num w:numId="6">
    <w:abstractNumId w:val="41"/>
  </w:num>
  <w:num w:numId="7">
    <w:abstractNumId w:val="11"/>
  </w:num>
  <w:num w:numId="8">
    <w:abstractNumId w:val="16"/>
  </w:num>
  <w:num w:numId="9">
    <w:abstractNumId w:val="37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4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2"/>
  </w:num>
  <w:num w:numId="23">
    <w:abstractNumId w:val="19"/>
  </w:num>
  <w:num w:numId="24">
    <w:abstractNumId w:val="35"/>
  </w:num>
  <w:num w:numId="25">
    <w:abstractNumId w:val="40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3"/>
  </w:num>
  <w:num w:numId="33">
    <w:abstractNumId w:val="25"/>
  </w:num>
  <w:num w:numId="34">
    <w:abstractNumId w:val="5"/>
  </w:num>
  <w:num w:numId="35">
    <w:abstractNumId w:val="45"/>
  </w:num>
  <w:num w:numId="36">
    <w:abstractNumId w:val="34"/>
  </w:num>
  <w:num w:numId="37">
    <w:abstractNumId w:val="17"/>
  </w:num>
  <w:num w:numId="38">
    <w:abstractNumId w:val="21"/>
  </w:num>
  <w:num w:numId="39">
    <w:abstractNumId w:val="39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6"/>
  </w:num>
  <w:num w:numId="45">
    <w:abstractNumId w:val="12"/>
  </w:num>
  <w:num w:numId="46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17138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6585D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755F"/>
    <w:rsid w:val="00456C95"/>
    <w:rsid w:val="004640F4"/>
    <w:rsid w:val="00464E09"/>
    <w:rsid w:val="004737EC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28EC"/>
    <w:rsid w:val="008837C9"/>
    <w:rsid w:val="00890C4C"/>
    <w:rsid w:val="00891A07"/>
    <w:rsid w:val="0089254A"/>
    <w:rsid w:val="008B0CF1"/>
    <w:rsid w:val="008C3515"/>
    <w:rsid w:val="008C7589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4EFE"/>
    <w:rsid w:val="00E25638"/>
    <w:rsid w:val="00E2717D"/>
    <w:rsid w:val="00E51525"/>
    <w:rsid w:val="00E5371F"/>
    <w:rsid w:val="00E57E32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aj.jeleniagora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4597-4BCE-47E5-AD87-69FA1640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6</cp:revision>
  <cp:lastPrinted>2016-06-20T13:06:00Z</cp:lastPrinted>
  <dcterms:created xsi:type="dcterms:W3CDTF">2016-06-20T06:15:00Z</dcterms:created>
  <dcterms:modified xsi:type="dcterms:W3CDTF">2016-11-16T13:01:00Z</dcterms:modified>
</cp:coreProperties>
</file>