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DB68EB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22B87">
        <w:rPr>
          <w:rFonts w:cs="Arial"/>
          <w:b/>
          <w:sz w:val="32"/>
          <w:szCs w:val="36"/>
        </w:rPr>
        <w:t>.1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 xml:space="preserve">– </w:t>
      </w:r>
      <w:r w:rsidR="00E22B87" w:rsidRPr="00E22B87">
        <w:rPr>
          <w:rFonts w:cs="Arial"/>
          <w:b/>
          <w:sz w:val="32"/>
          <w:szCs w:val="32"/>
          <w:u w:val="single"/>
        </w:rPr>
        <w:t>konkursy horyzontalne – nabór na OSI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5752A53" w:rsidR="00E0529A" w:rsidRPr="00AB703A" w:rsidRDefault="00E22B87" w:rsidP="00E67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RPDS.06.03.</w:t>
      </w:r>
      <w:r w:rsidRPr="004A3F1A">
        <w:rPr>
          <w:b/>
          <w:sz w:val="28"/>
          <w:szCs w:val="28"/>
        </w:rPr>
        <w:t>01</w:t>
      </w:r>
      <w:r w:rsidR="00E0529A" w:rsidRPr="004A3F1A">
        <w:rPr>
          <w:b/>
          <w:sz w:val="28"/>
          <w:szCs w:val="28"/>
        </w:rPr>
        <w:t>-IZ.00-02-</w:t>
      </w:r>
      <w:r w:rsidR="004A3F1A" w:rsidRPr="004A3F1A">
        <w:rPr>
          <w:b/>
          <w:sz w:val="28"/>
          <w:szCs w:val="28"/>
        </w:rPr>
        <w:t>169</w:t>
      </w:r>
      <w:r w:rsidR="00E0529A" w:rsidRPr="004A3F1A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695547A4" w14:textId="2DC972EB" w:rsidR="00E22B87" w:rsidRPr="00E22B87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</w:t>
            </w:r>
            <w:r w:rsidRPr="00A3367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A33674">
              <w:rPr>
                <w:rFonts w:cs="Arial"/>
                <w:b/>
              </w:rPr>
              <w:t xml:space="preserve">.1 </w:t>
            </w:r>
            <w:r w:rsidRPr="0070348E">
              <w:rPr>
                <w:rFonts w:cs="Arial"/>
                <w:b/>
              </w:rPr>
              <w:t>Rewitalizacja zdegradowanych obszarów</w:t>
            </w:r>
            <w:r w:rsidRPr="00A33674">
              <w:rPr>
                <w:rFonts w:cs="Arial"/>
                <w:b/>
              </w:rPr>
              <w:t xml:space="preserve"> – konkurs horyzontalny – nabór na OSI.</w:t>
            </w:r>
          </w:p>
          <w:p w14:paraId="18B86265" w14:textId="77777777" w:rsidR="00E22B87" w:rsidRPr="007F7945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14:paraId="74A368D2" w14:textId="77777777" w:rsidR="00E22B87" w:rsidRPr="007F7945" w:rsidRDefault="00E22B87" w:rsidP="00E22B87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14:paraId="3BF93FF8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6417D459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013A5093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31BCA5" w14:textId="77777777" w:rsidR="00E22B87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14:paraId="501EC3FC" w14:textId="77777777" w:rsidR="00E22B87" w:rsidRDefault="00E22B87" w:rsidP="00E22B8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14:paraId="475168CF" w14:textId="77777777" w:rsidR="00E22B87" w:rsidRDefault="00E22B87" w:rsidP="00E22B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14:paraId="7BD62C70" w14:textId="192EAFA8" w:rsidR="001613A1" w:rsidRPr="00231404" w:rsidRDefault="00E22B87" w:rsidP="00E22B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lastRenderedPageBreak/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751FD9D7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1F51699" w14:textId="77777777" w:rsidR="00C8631E" w:rsidRPr="00151119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A865DC7" w14:textId="77777777" w:rsidR="009100B0" w:rsidRPr="00BA7DB6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6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7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8"/>
            </w:r>
            <w:r w:rsidRPr="00BA7DB6">
              <w:rPr>
                <w:rFonts w:ascii="Calibri" w:hAnsi="Calibri" w:cs="Arial"/>
              </w:rPr>
              <w:t>, zagospodarowanie terenów 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5FC85403" w14:textId="77777777" w:rsidR="009100B0" w:rsidRPr="00151119" w:rsidRDefault="009100B0" w:rsidP="00910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34BE430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317DCAE6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41DD9BA4" w14:textId="44D9E53B" w:rsidR="009100B0" w:rsidRDefault="009100B0" w:rsidP="009100B0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9C01D5">
              <w:rPr>
                <w:rStyle w:val="Odwoanieprzypisudolnego"/>
                <w:rFonts w:cs="Helv"/>
                <w:color w:val="000000" w:themeColor="text1"/>
              </w:rPr>
              <w:footnoteReference w:id="9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3F5E0E96" w14:textId="77777777" w:rsidR="009C01D5" w:rsidRPr="009C01D5" w:rsidRDefault="009C01D5" w:rsidP="009C01D5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3455506C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47FAFE8C" w14:textId="77777777" w:rsidR="00BC5953" w:rsidRPr="00BC5953" w:rsidRDefault="00BC5953" w:rsidP="00BC5953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BC5953">
              <w:rPr>
                <w:rFonts w:cs="Helv"/>
                <w:color w:val="000000" w:themeColor="text1"/>
                <w:vertAlign w:val="superscript"/>
              </w:rPr>
              <w:footnoteReference w:id="10"/>
            </w:r>
            <w:r w:rsidRPr="00BC5953">
              <w:rPr>
                <w:rFonts w:cs="Helv"/>
                <w:color w:val="000000" w:themeColor="text1"/>
              </w:rPr>
              <w:t>;</w:t>
            </w:r>
          </w:p>
          <w:p w14:paraId="03042D5C" w14:textId="77777777" w:rsidR="00BC5953" w:rsidRPr="00BC5953" w:rsidRDefault="00BC5953" w:rsidP="00BC5953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524CD67F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BC5953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68CDA931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34E0B297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1B24037A" w14:textId="77777777" w:rsidR="009A56F0" w:rsidRDefault="009A56F0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2B301303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 xml:space="preserve">Wykaz gmin zlokalizowanych w czterech miejskich obszarach funkcjonalnych: wrocławskim, legnickim, wałbrzyskim i jeleniogórskim 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BC5953">
                <w:rPr>
                  <w:rStyle w:val="Hipercze"/>
                  <w:rFonts w:cs="Helv"/>
                </w:rPr>
                <w:t>www.rpo.dolnyslask.pl</w:t>
              </w:r>
            </w:hyperlink>
            <w:r w:rsidRPr="00BC5953">
              <w:rPr>
                <w:rFonts w:cs="Helv"/>
                <w:color w:val="000000" w:themeColor="text1"/>
              </w:rPr>
              <w:t>.</w:t>
            </w:r>
          </w:p>
          <w:p w14:paraId="6DA8C45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E81D8D5" w14:textId="77777777" w:rsidR="009100B0" w:rsidRPr="00FD384A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5668544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B76B741" w14:textId="77777777" w:rsidR="009100B0" w:rsidRPr="003D2DEA" w:rsidRDefault="009100B0" w:rsidP="009100B0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B7622C9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E4FF04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3B17EC55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FD25558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320C9FD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7BF1D183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06FF904B" w14:textId="77777777" w:rsidR="009100B0" w:rsidRPr="007341E1" w:rsidRDefault="009100B0" w:rsidP="009100B0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154F50E9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EDFAEF2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06474B84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828B302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C684C70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493024" w14:textId="3D612A30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1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620A36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20A36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AC8AB8D" w14:textId="77777777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69E4DD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DC54F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70072510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25CDF2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5AB5ED" w14:textId="77777777" w:rsidR="009100B0" w:rsidRPr="00E11293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6DAC79EC" w14:textId="77777777" w:rsidR="009100B0" w:rsidRDefault="009100B0" w:rsidP="009100B0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0CCE49B9" w14:textId="77777777" w:rsidR="009100B0" w:rsidRDefault="009100B0" w:rsidP="009100B0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60EF02C4" w14:textId="77777777" w:rsidR="009100B0" w:rsidRDefault="009100B0" w:rsidP="009100B0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EE94023" w14:textId="77777777" w:rsid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4344D7B3" w14:textId="254E2B13" w:rsidR="009100B0" w:rsidRP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4313CEAF" w14:textId="77777777" w:rsidR="009100B0" w:rsidRPr="00C1553F" w:rsidRDefault="009100B0" w:rsidP="009100B0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12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9ECF58D" w14:textId="77777777" w:rsidR="009100B0" w:rsidRPr="00497A30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13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295043B" w14:textId="77777777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69D01563" w14:textId="77777777" w:rsidR="009100B0" w:rsidRPr="00620A36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12FFB3C6" w14:textId="77777777" w:rsidR="00BC5953" w:rsidRPr="00AB5F3B" w:rsidRDefault="00BC5953" w:rsidP="00BC5953">
            <w:pPr>
              <w:pStyle w:val="Akapitzlist"/>
              <w:numPr>
                <w:ilvl w:val="0"/>
                <w:numId w:val="48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6ED15B84" w14:textId="55A2B51B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70B0CE03" w14:textId="77777777" w:rsidR="009100B0" w:rsidRPr="001B1514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9DC3B0E" w14:textId="77777777" w:rsidR="009100B0" w:rsidRPr="00153C1D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20D26C91" w14:textId="77777777" w:rsidR="009100B0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9BC068" w14:textId="77777777" w:rsidR="009100B0" w:rsidRDefault="009100B0" w:rsidP="009100B0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4931256E" w14:textId="77777777" w:rsidR="009100B0" w:rsidRPr="00153C1D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7D75CA05" w14:textId="77777777" w:rsidR="009100B0" w:rsidRPr="003367C8" w:rsidRDefault="009100B0" w:rsidP="009100B0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D178A9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6FF783FC" w14:textId="77777777" w:rsidR="00E22B87" w:rsidRPr="00151119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8EF2F4" w:rsidR="009A68AD" w:rsidRPr="00D178A9" w:rsidRDefault="00D178A9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02BA9D76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4C377AA1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07684644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65C45AA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4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5CE975FB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5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420B7A52" w14:textId="77777777" w:rsidR="00D178A9" w:rsidRPr="00834F76" w:rsidRDefault="00D178A9" w:rsidP="00D178A9">
            <w:pPr>
              <w:spacing w:after="0" w:line="240" w:lineRule="auto"/>
              <w:ind w:left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4D60630C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717E2028" w14:textId="38AD55E9" w:rsidR="00E22B87" w:rsidRPr="00E22B87" w:rsidRDefault="00E22B87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ascii="Calibri" w:eastAsia="Droid Sans Fallback" w:hAnsi="Calibri" w:cs="Calibri"/>
                <w:color w:val="00000A"/>
              </w:rPr>
              <w:t xml:space="preserve">Alokacja ogółem przeznaczona na konkurs wynosi </w:t>
            </w:r>
            <w:r w:rsidR="00D178A9" w:rsidRPr="008047F6">
              <w:rPr>
                <w:rFonts w:cs="Calibri"/>
                <w:b/>
                <w:color w:val="000000"/>
              </w:rPr>
              <w:t>19 522</w:t>
            </w:r>
            <w:r w:rsidR="00D178A9">
              <w:rPr>
                <w:rFonts w:cs="Calibri"/>
                <w:b/>
                <w:color w:val="000000"/>
              </w:rPr>
              <w:t> </w:t>
            </w:r>
            <w:r w:rsidR="00D178A9" w:rsidRPr="008047F6">
              <w:rPr>
                <w:rFonts w:cs="Calibri"/>
                <w:b/>
                <w:color w:val="000000"/>
              </w:rPr>
              <w:t>050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E22B87">
              <w:rPr>
                <w:rFonts w:cs="Calibri"/>
                <w:b/>
                <w:color w:val="000000"/>
              </w:rPr>
              <w:t>EUR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="00D178A9">
              <w:rPr>
                <w:rFonts w:ascii="Calibri" w:hAnsi="Calibri"/>
                <w:b/>
                <w:color w:val="000000"/>
              </w:rPr>
              <w:t>84 795 976</w:t>
            </w:r>
            <w:r w:rsidR="00D178A9" w:rsidRPr="001A43A7">
              <w:rPr>
                <w:rFonts w:ascii="Calibri" w:hAnsi="Calibri"/>
                <w:b/>
                <w:color w:val="000000"/>
              </w:rPr>
              <w:t xml:space="preserve"> 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268419EA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19BA59" w14:textId="10FF51AB" w:rsidR="002D6F66" w:rsidRPr="00E22B87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cs="Calibri"/>
                <w:color w:val="000000"/>
              </w:rPr>
              <w:t>Alo</w:t>
            </w:r>
            <w:r w:rsidR="004A3F1A">
              <w:rPr>
                <w:rFonts w:cs="Calibri"/>
                <w:color w:val="000000"/>
              </w:rPr>
              <w:t>kacja w ramach konkursu została</w:t>
            </w:r>
            <w:r w:rsidRPr="00E22B87">
              <w:rPr>
                <w:rFonts w:cs="Calibri"/>
                <w:color w:val="000000"/>
              </w:rPr>
              <w:t xml:space="preserve"> podzielona na 5 OSI.</w:t>
            </w:r>
          </w:p>
          <w:p w14:paraId="2632DB74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CEA4C9E" w14:textId="0BD971BA" w:rsidR="00D178A9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>wynosi</w:t>
            </w:r>
            <w:r>
              <w:rPr>
                <w:color w:val="000000"/>
              </w:rPr>
              <w:t xml:space="preserve"> </w:t>
            </w:r>
            <w:r w:rsidR="00D178A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14:paraId="696A5C88" w14:textId="629FEFFF" w:rsidR="002D6F66" w:rsidRPr="002D6F66" w:rsidRDefault="00D178A9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D178A9">
              <w:rPr>
                <w:rFonts w:cs="Calibri"/>
                <w:b/>
                <w:color w:val="000000"/>
              </w:rPr>
              <w:t>3 763 873</w:t>
            </w:r>
            <w:r w:rsidR="002D6F66" w:rsidRPr="002D6F66">
              <w:rPr>
                <w:rFonts w:cs="Calibri"/>
                <w:b/>
                <w:color w:val="000000"/>
              </w:rPr>
              <w:t xml:space="preserve"> EUR tj. </w:t>
            </w:r>
            <w:r w:rsidRPr="00D178A9">
              <w:rPr>
                <w:rFonts w:cs="Calibri"/>
                <w:b/>
                <w:color w:val="000000"/>
              </w:rPr>
              <w:t>16 348 759</w:t>
            </w:r>
            <w:r>
              <w:rPr>
                <w:rFonts w:cs="Calibri"/>
                <w:color w:val="000000"/>
                <w:sz w:val="20"/>
              </w:rPr>
              <w:t xml:space="preserve">  </w:t>
            </w:r>
            <w:r w:rsidR="002D6F66" w:rsidRPr="002D6F66">
              <w:rPr>
                <w:b/>
                <w:color w:val="000000"/>
              </w:rPr>
              <w:t>PLN</w:t>
            </w:r>
            <w:r w:rsidR="002D6F66" w:rsidRPr="002D6F66">
              <w:rPr>
                <w:b/>
                <w:color w:val="000000"/>
                <w:sz w:val="20"/>
              </w:rPr>
              <w:t xml:space="preserve"> </w:t>
            </w:r>
          </w:p>
          <w:p w14:paraId="7D892427" w14:textId="65734C98" w:rsidR="002D6F66" w:rsidRPr="002D6F66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6F66">
              <w:t>Ogółem alokacja przeznaczona na Legnicko-Głogowski Obszar Interwencji (</w:t>
            </w:r>
            <w:r w:rsidRPr="002D6F66">
              <w:rPr>
                <w:rFonts w:cs="Calibri"/>
                <w:color w:val="000000"/>
              </w:rPr>
              <w:t>LGOI)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5 758 256</w:t>
            </w:r>
            <w:r w:rsidR="00D178A9">
              <w:rPr>
                <w:rFonts w:cs="Calibri"/>
                <w:b/>
                <w:color w:val="000000"/>
                <w:sz w:val="20"/>
              </w:rPr>
              <w:t xml:space="preserve"> 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>tj.</w:t>
            </w:r>
            <w:r w:rsidR="00D178A9">
              <w:rPr>
                <w:rFonts w:cs="Calibri"/>
                <w:color w:val="000000"/>
              </w:rPr>
              <w:t xml:space="preserve"> </w:t>
            </w:r>
            <w:r w:rsidR="00D178A9" w:rsidRPr="00D178A9">
              <w:rPr>
                <w:rFonts w:cs="Calibri"/>
                <w:b/>
                <w:color w:val="000000"/>
              </w:rPr>
              <w:t>25 011 561</w:t>
            </w:r>
            <w:r w:rsidR="00D178A9" w:rsidRPr="00D178A9">
              <w:rPr>
                <w:rFonts w:cs="Calibri"/>
                <w:color w:val="000000"/>
                <w:sz w:val="20"/>
              </w:rPr>
              <w:t xml:space="preserve"> </w:t>
            </w:r>
            <w:r w:rsidRPr="00C50D0E">
              <w:rPr>
                <w:b/>
                <w:color w:val="000000"/>
              </w:rPr>
              <w:t>PLN</w:t>
            </w:r>
          </w:p>
          <w:p w14:paraId="53B5E172" w14:textId="17FE1F6F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Doliny Baryczy (</w:t>
            </w:r>
            <w:r w:rsidRPr="002D6F66">
              <w:rPr>
                <w:rFonts w:cs="Calibri"/>
                <w:color w:val="000000"/>
              </w:rPr>
              <w:t>OIDB)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color w:val="000000"/>
                <w:sz w:val="20"/>
              </w:rPr>
              <w:t xml:space="preserve">    </w:t>
            </w:r>
            <w:r w:rsidR="00D178A9" w:rsidRPr="00D178A9">
              <w:rPr>
                <w:rFonts w:cs="Calibri"/>
                <w:b/>
                <w:color w:val="000000"/>
              </w:rPr>
              <w:t>3  314 510</w:t>
            </w:r>
            <w:r w:rsidR="00D178A9">
              <w:rPr>
                <w:rFonts w:cs="Calibri"/>
                <w:b/>
                <w:color w:val="000000"/>
              </w:rPr>
              <w:t xml:space="preserve"> </w:t>
            </w:r>
            <w:r w:rsidR="00D178A9" w:rsidRPr="00D178A9">
              <w:rPr>
                <w:rFonts w:cs="Calibri"/>
                <w:b/>
                <w:color w:val="000000"/>
              </w:rPr>
              <w:t xml:space="preserve"> </w:t>
            </w:r>
            <w:r w:rsidRPr="00D178A9">
              <w:rPr>
                <w:rFonts w:cs="Calibri"/>
                <w:b/>
                <w:color w:val="000000"/>
              </w:rPr>
              <w:t xml:space="preserve">EUR  tj.   </w:t>
            </w:r>
            <w:r w:rsidR="00D178A9" w:rsidRPr="00D178A9">
              <w:rPr>
                <w:rFonts w:cs="Calibri"/>
                <w:b/>
                <w:color w:val="000000"/>
              </w:rPr>
              <w:t>14  396 906</w:t>
            </w:r>
            <w:r w:rsidR="00D178A9" w:rsidRPr="00D178A9">
              <w:rPr>
                <w:rFonts w:cs="Calibri"/>
                <w:b/>
                <w:color w:val="000000"/>
                <w:sz w:val="20"/>
              </w:rPr>
              <w:t xml:space="preserve">  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0671B083" w14:textId="0202695D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Równiny Wrocławskiej (</w:t>
            </w:r>
            <w:r w:rsidRPr="002D6F66">
              <w:rPr>
                <w:rFonts w:cs="Calibri"/>
                <w:color w:val="000000"/>
              </w:rPr>
              <w:t>OIRW)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2 341 085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D178A9">
              <w:rPr>
                <w:rFonts w:cs="Calibri"/>
                <w:b/>
                <w:color w:val="000000"/>
              </w:rPr>
              <w:t>EUR tj</w:t>
            </w:r>
            <w:r w:rsidR="00D178A9" w:rsidRPr="00D178A9">
              <w:rPr>
                <w:rFonts w:cs="Calibri"/>
                <w:b/>
                <w:color w:val="000000"/>
              </w:rPr>
              <w:t xml:space="preserve">. </w:t>
            </w:r>
            <w:r w:rsidR="00D178A9" w:rsidRPr="00D178A9">
              <w:rPr>
                <w:rFonts w:cs="Calibri"/>
                <w:b/>
                <w:color w:val="000000" w:themeColor="text1"/>
              </w:rPr>
              <w:t>10 168 736</w:t>
            </w:r>
            <w:r w:rsidR="00D178A9" w:rsidRPr="00D178A9">
              <w:rPr>
                <w:rFonts w:cs="Calibri"/>
                <w:b/>
                <w:color w:val="000000" w:themeColor="text1"/>
                <w:sz w:val="20"/>
              </w:rPr>
              <w:t xml:space="preserve">   </w:t>
            </w:r>
            <w:r w:rsidRPr="002D6F66">
              <w:rPr>
                <w:rFonts w:cs="Calibri"/>
                <w:b/>
                <w:color w:val="000000" w:themeColor="text1"/>
              </w:rPr>
              <w:t>PLN</w:t>
            </w:r>
          </w:p>
          <w:p w14:paraId="4A4EEC2D" w14:textId="6AF979D1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Ziemia Dzierżoniowsko-Kłodzko-Ząbkowicka (</w:t>
            </w:r>
            <w:r w:rsidRPr="002D6F66">
              <w:rPr>
                <w:rFonts w:cs="Calibri"/>
                <w:color w:val="000000"/>
              </w:rPr>
              <w:t>ZKD)</w:t>
            </w:r>
            <w:r w:rsidRPr="002D6F66">
              <w:rPr>
                <w:color w:val="000000"/>
              </w:rPr>
              <w:t xml:space="preserve"> </w:t>
            </w:r>
            <w:r w:rsidRPr="00D178A9">
              <w:rPr>
                <w:color w:val="000000"/>
              </w:rPr>
              <w:t>wynosi</w:t>
            </w:r>
            <w:r w:rsidRPr="00D178A9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4 344</w:t>
            </w:r>
            <w:r w:rsidR="00D178A9">
              <w:rPr>
                <w:rFonts w:cs="Calibri"/>
                <w:b/>
                <w:color w:val="000000"/>
              </w:rPr>
              <w:t xml:space="preserve"> 326  </w:t>
            </w:r>
            <w:r w:rsidRPr="00D178A9">
              <w:rPr>
                <w:rFonts w:cs="Calibri"/>
                <w:b/>
                <w:color w:val="000000"/>
              </w:rPr>
              <w:t xml:space="preserve">EUR tj. </w:t>
            </w:r>
            <w:r w:rsidR="00D178A9" w:rsidRPr="00D178A9">
              <w:rPr>
                <w:rFonts w:cs="Calibri"/>
                <w:b/>
                <w:color w:val="000000"/>
              </w:rPr>
              <w:t>18 870 014</w:t>
            </w:r>
            <w:r w:rsidR="00D178A9" w:rsidRPr="00D178A9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1DD93B00" w14:textId="77777777" w:rsidR="00E22B87" w:rsidRPr="002D6F66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DFC2063" w14:textId="4C18FC85" w:rsidR="00E673EF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A43A7">
              <w:rPr>
                <w:rFonts w:cs="MS Sans Serif"/>
              </w:rPr>
              <w:t xml:space="preserve">Alokacje przeliczono po kursie Europejskiego Banku Centralnego (EBC) obowiązującym </w:t>
            </w:r>
            <w:r>
              <w:rPr>
                <w:rFonts w:cs="MS Sans Serif"/>
              </w:rPr>
              <w:t xml:space="preserve">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 w:rsidRPr="00B27059">
              <w:rPr>
                <w:rFonts w:cs="MS Sans Serif"/>
              </w:rPr>
              <w:t xml:space="preserve"> </w:t>
            </w:r>
          </w:p>
          <w:p w14:paraId="759C6995" w14:textId="77777777" w:rsidR="00D178A9" w:rsidRPr="00B27059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CE8FE81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620A36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196C1286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20F62A3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66E546C7" w:rsidR="00ED1E9F" w:rsidRPr="00AB5956" w:rsidRDefault="00C8631E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</w:t>
            </w:r>
            <w:r w:rsidR="0010728A"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9100B0">
              <w:rPr>
                <w:rFonts w:cs="MS Sans Serif"/>
              </w:rPr>
              <w:t xml:space="preserve"> alokację</w:t>
            </w:r>
            <w:r w:rsidR="0010728A" w:rsidRPr="001A43A7">
              <w:rPr>
                <w:rFonts w:cs="MS Sans Serif"/>
              </w:rPr>
              <w:t xml:space="preserve"> przeliczono po kursie Europejskiego Banku Centralnego (EBC) obowiązującym </w:t>
            </w:r>
            <w:r w:rsidR="0010728A">
              <w:rPr>
                <w:rFonts w:cs="MS Sans Serif"/>
              </w:rPr>
              <w:t xml:space="preserve">w momencie ogłoszenia  konkursu, we wrześniu </w:t>
            </w:r>
            <w:r w:rsidR="0010728A" w:rsidRPr="00893058">
              <w:rPr>
                <w:rFonts w:cs="MS Sans Serif"/>
              </w:rPr>
              <w:t>2016</w:t>
            </w:r>
            <w:r w:rsidR="0010728A" w:rsidRPr="001A43A7">
              <w:rPr>
                <w:rFonts w:cs="MS Sans Serif"/>
              </w:rPr>
              <w:t xml:space="preserve"> r., 1 euro = </w:t>
            </w:r>
            <w:r w:rsidR="0010728A">
              <w:rPr>
                <w:color w:val="000000" w:themeColor="text1"/>
              </w:rPr>
              <w:t>4,3436</w:t>
            </w:r>
            <w:r w:rsidR="0010728A" w:rsidRPr="001A43A7">
              <w:rPr>
                <w:color w:val="000000" w:themeColor="text1"/>
              </w:rPr>
              <w:t xml:space="preserve"> </w:t>
            </w:r>
            <w:r w:rsidR="0010728A" w:rsidRPr="001A43A7">
              <w:rPr>
                <w:rFonts w:cs="MS Sans Serif"/>
                <w:color w:val="000000" w:themeColor="text1"/>
              </w:rPr>
              <w:t>PLN</w:t>
            </w:r>
            <w:r w:rsidR="0010728A">
              <w:rPr>
                <w:rFonts w:cs="MS Sans Serif"/>
                <w:color w:val="000000" w:themeColor="text1"/>
              </w:rPr>
              <w:t>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3DB3A6D" w14:textId="77777777" w:rsidR="0010728A" w:rsidRPr="0010728A" w:rsidRDefault="0010728A" w:rsidP="0010728A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C5D2D81" w14:textId="77777777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B6587CE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36F53BC3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cs="Calibri"/>
              </w:rPr>
              <w:t xml:space="preserve">w przypadku projektu objętego pomocą publiczną </w:t>
            </w:r>
            <w:r w:rsidRPr="008D72FF">
              <w:rPr>
                <w:rFonts w:cs="Calibri"/>
                <w:color w:val="000000"/>
              </w:rPr>
              <w:t xml:space="preserve">– </w:t>
            </w:r>
            <w:r w:rsidRPr="008D72FF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7BB3BE7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5B40F704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7CC4E366" w14:textId="66512ED1" w:rsidR="0010728A" w:rsidRP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8D72FF">
              <w:rPr>
                <w:rFonts w:cs="Calibri"/>
              </w:rPr>
              <w:t xml:space="preserve">– </w:t>
            </w:r>
            <w:r w:rsidRPr="008D72FF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854C20F" w14:textId="77777777" w:rsidR="0010728A" w:rsidRPr="0010728A" w:rsidRDefault="0010728A" w:rsidP="001072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242B07F1" w14:textId="77777777" w:rsidR="0010728A" w:rsidRPr="0010728A" w:rsidRDefault="0010728A" w:rsidP="0010728A"/>
          <w:p w14:paraId="21DC7BA6" w14:textId="77777777" w:rsidR="0010728A" w:rsidRPr="0010728A" w:rsidRDefault="0010728A" w:rsidP="0010728A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228053A4" w:rsidR="003A1BD4" w:rsidRPr="00263BF7" w:rsidRDefault="0010728A" w:rsidP="0010728A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 xml:space="preserve"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 </w:t>
            </w:r>
          </w:p>
        </w:tc>
      </w:tr>
      <w:tr w:rsidR="003A1BD4" w:rsidRPr="00231404" w14:paraId="030FA43A" w14:textId="77777777" w:rsidTr="009100B0">
        <w:trPr>
          <w:trHeight w:val="113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0F44C1C6" w14:textId="6CECBCCD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 w:rsidR="00C8631E"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4A3E4D0B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D178A9"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 w:rsidR="00D178A9"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D178A9"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9100B0">
              <w:rPr>
                <w:b/>
                <w:bCs/>
                <w:u w:val="single"/>
              </w:rPr>
              <w:t>6 r. do godz. 15.00 dnia 22 lutego</w:t>
            </w:r>
            <w:r w:rsidR="00D178A9"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770DB8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6466DBB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Ponadto 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59070491" w14:textId="77777777" w:rsidR="00491988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7D4724C2" w14:textId="77777777" w:rsidR="00491988" w:rsidRPr="009B7D2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Za datę wpływu do IOK uznaje się datę wpływu wniosku w wersji papierowej </w:t>
            </w:r>
          </w:p>
          <w:p w14:paraId="2D5A30D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7811A1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Departamentu Funduszy Europejskich mieszczącej się pod adresem:</w:t>
            </w:r>
          </w:p>
          <w:p w14:paraId="5768827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5F62F277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71FC9F2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371EEBD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44E0873A" w14:textId="77777777" w:rsidR="00491988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II piętro, pokój nr 2020</w:t>
            </w:r>
          </w:p>
          <w:p w14:paraId="74B0893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338E132C" w14:textId="77777777" w:rsidR="00491988" w:rsidRPr="006323D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6C825E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606B1EC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0887AD74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5815FEB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5ED9F943" w14:textId="77777777" w:rsidR="00491988" w:rsidRPr="003332E6" w:rsidRDefault="00491988" w:rsidP="00491988">
            <w:pPr>
              <w:spacing w:after="0"/>
              <w:jc w:val="center"/>
            </w:pPr>
            <w:r w:rsidRPr="003332E6">
              <w:t>II piętro, pokój nr 2020</w:t>
            </w:r>
          </w:p>
          <w:p w14:paraId="6B3C7B6B" w14:textId="77777777" w:rsidR="00491988" w:rsidRPr="003332E6" w:rsidRDefault="00491988" w:rsidP="00491988">
            <w:pPr>
              <w:spacing w:after="0"/>
              <w:jc w:val="both"/>
            </w:pPr>
          </w:p>
          <w:p w14:paraId="0A57B049" w14:textId="77777777" w:rsidR="00491988" w:rsidRDefault="00491988" w:rsidP="00491988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61129019" w14:textId="77777777" w:rsidR="00491988" w:rsidRPr="003332E6" w:rsidRDefault="00491988" w:rsidP="00491988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202EF609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44A180C6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02D60D0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68BEFBB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01CAA4F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5626BB1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26E55AA0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7D265B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77812A82" w14:textId="77777777" w:rsidR="008D72FF" w:rsidRPr="00B45E60" w:rsidRDefault="008D72FF" w:rsidP="008D72FF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30A39D3" w14:textId="77777777" w:rsidR="00491988" w:rsidRPr="003332E6" w:rsidRDefault="00491988" w:rsidP="009100B0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37532D8E" w:rsidR="008C7589" w:rsidRPr="009100B0" w:rsidRDefault="00491988" w:rsidP="009100B0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100B0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9100B0">
              <w:rPr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9100B0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9A56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2F158D6F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 xml:space="preserve">, </w:t>
      </w:r>
      <w:r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68DFA726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671C561D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4520734C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08F3FF82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14:paraId="2AD41296" w14:textId="77777777" w:rsidR="009100B0" w:rsidRPr="004D0189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7">
    <w:p w14:paraId="24D9C635" w14:textId="77777777" w:rsidR="009100B0" w:rsidRDefault="009100B0" w:rsidP="009100B0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8">
    <w:p w14:paraId="51959E31" w14:textId="77777777" w:rsidR="009100B0" w:rsidRPr="00372EF8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9">
    <w:p w14:paraId="763BE8DE" w14:textId="4FDADC6A" w:rsidR="009C01D5" w:rsidRDefault="009C01D5" w:rsidP="00BC59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5953">
        <w:rPr>
          <w:rFonts w:asciiTheme="minorHAnsi" w:hAnsiTheme="minorHAnsi"/>
        </w:rPr>
        <w:t>Miejski obszar funkcjonalny – zgodnie z 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zurbanizowanej.</w:t>
      </w:r>
    </w:p>
  </w:footnote>
  <w:footnote w:id="10">
    <w:p w14:paraId="6E5630DB" w14:textId="77777777" w:rsidR="00BC5953" w:rsidRPr="008C3DDE" w:rsidRDefault="00BC5953" w:rsidP="00BC5953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</w:t>
      </w:r>
      <w:bookmarkStart w:id="2" w:name="_GoBack"/>
      <w:bookmarkEnd w:id="2"/>
      <w:r w:rsidRPr="008C3DDE">
        <w:rPr>
          <w:rFonts w:asciiTheme="minorHAnsi" w:hAnsiTheme="minorHAnsi"/>
        </w:rPr>
        <w:t>spodarowania Przestrzennego Województwa Dolnośląskiego, Perspektywa 2020 https://irt.wroc.pl/aktualnosc-11-108-uchwalenie_planu_zagospodarowania.html</w:t>
      </w:r>
    </w:p>
  </w:footnote>
  <w:footnote w:id="11">
    <w:p w14:paraId="73E2ADD1" w14:textId="77777777" w:rsidR="009100B0" w:rsidRDefault="009100B0" w:rsidP="009100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12">
    <w:p w14:paraId="5A3319F8" w14:textId="77777777" w:rsidR="009100B0" w:rsidRPr="00E363A5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3">
    <w:p w14:paraId="7578206C" w14:textId="77777777" w:rsidR="009100B0" w:rsidRPr="0009655D" w:rsidRDefault="009100B0" w:rsidP="009100B0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4">
    <w:p w14:paraId="035FF541" w14:textId="77777777" w:rsidR="00D178A9" w:rsidRPr="004D0189" w:rsidRDefault="00D178A9" w:rsidP="00D178A9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5">
    <w:p w14:paraId="135074A4" w14:textId="77777777" w:rsidR="00D178A9" w:rsidRDefault="00D178A9" w:rsidP="00D178A9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05E8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728A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061C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5F2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42A"/>
    <w:rsid w:val="00456C95"/>
    <w:rsid w:val="004640F4"/>
    <w:rsid w:val="00464E09"/>
    <w:rsid w:val="00474A39"/>
    <w:rsid w:val="00480411"/>
    <w:rsid w:val="00485BAF"/>
    <w:rsid w:val="004905C3"/>
    <w:rsid w:val="00491988"/>
    <w:rsid w:val="00495E4B"/>
    <w:rsid w:val="00496977"/>
    <w:rsid w:val="004A3789"/>
    <w:rsid w:val="004A3F1A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0A36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C41C3"/>
    <w:rsid w:val="006D63D6"/>
    <w:rsid w:val="006D7C1A"/>
    <w:rsid w:val="006F69DA"/>
    <w:rsid w:val="00701A7D"/>
    <w:rsid w:val="0071078C"/>
    <w:rsid w:val="00715262"/>
    <w:rsid w:val="00715D2E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D72FF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00B0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56F0"/>
    <w:rsid w:val="009A68AD"/>
    <w:rsid w:val="009A7256"/>
    <w:rsid w:val="009B14CF"/>
    <w:rsid w:val="009B3869"/>
    <w:rsid w:val="009B6DF0"/>
    <w:rsid w:val="009C01D5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2126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07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953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8631E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178A9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5AD3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po.dolnyslask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29A1-3EC5-447F-B68C-DF213D8E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Bożena Pencakowska</cp:lastModifiedBy>
  <cp:revision>16</cp:revision>
  <cp:lastPrinted>2016-11-03T07:29:00Z</cp:lastPrinted>
  <dcterms:created xsi:type="dcterms:W3CDTF">2016-06-20T06:15:00Z</dcterms:created>
  <dcterms:modified xsi:type="dcterms:W3CDTF">2016-11-03T07:33:00Z</dcterms:modified>
</cp:coreProperties>
</file>