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3841CA" w:rsidRDefault="00BB7F60" w:rsidP="0072798D">
      <w:pPr>
        <w:autoSpaceDE w:val="0"/>
        <w:autoSpaceDN w:val="0"/>
        <w:adjustRightInd w:val="0"/>
        <w:spacing w:line="240" w:lineRule="auto"/>
        <w:jc w:val="both"/>
        <w:rPr>
          <w:rFonts w:asciiTheme="minorHAnsi" w:hAnsiTheme="minorHAnsi"/>
          <w:szCs w:val="22"/>
        </w:rPr>
      </w:pPr>
      <w:bookmarkStart w:id="0" w:name="_Toc426632922"/>
      <w:bookmarkStart w:id="1" w:name="_Toc430826826"/>
      <w:bookmarkStart w:id="2" w:name="_Toc432758974"/>
      <w:bookmarkStart w:id="3" w:name="_GoBack"/>
      <w:r w:rsidRPr="003841CA">
        <w:rPr>
          <w:rFonts w:asciiTheme="minorHAnsi" w:hAnsiTheme="minorHAnsi" w:cs="Calibri"/>
          <w:color w:val="000000"/>
          <w:szCs w:val="22"/>
        </w:rPr>
        <w:t xml:space="preserve">Załącznik nr </w:t>
      </w:r>
      <w:r w:rsidR="003841CA" w:rsidRPr="003841CA">
        <w:rPr>
          <w:rFonts w:asciiTheme="minorHAnsi" w:hAnsiTheme="minorHAnsi" w:cs="Calibri"/>
          <w:color w:val="000000"/>
          <w:szCs w:val="22"/>
        </w:rPr>
        <w:t>2</w:t>
      </w:r>
      <w:r w:rsidRPr="003841CA">
        <w:rPr>
          <w:rFonts w:asciiTheme="minorHAnsi" w:hAnsiTheme="minorHAnsi" w:cs="Calibri"/>
          <w:color w:val="000000"/>
          <w:szCs w:val="22"/>
        </w:rPr>
        <w:t xml:space="preserve"> </w:t>
      </w:r>
      <w:r w:rsidR="0075174F" w:rsidRPr="003841CA">
        <w:rPr>
          <w:rFonts w:asciiTheme="minorHAnsi" w:hAnsiTheme="minorHAnsi" w:cs="Calibri"/>
          <w:color w:val="000000"/>
          <w:szCs w:val="22"/>
        </w:rPr>
        <w:t xml:space="preserve">do Regulaminu konkursu nr naboru RPDS.04.01.00-IZ.00-02-0188/16 </w:t>
      </w:r>
      <w:r w:rsidR="00E55074" w:rsidRPr="003841CA">
        <w:rPr>
          <w:rFonts w:asciiTheme="minorHAnsi" w:hAnsiTheme="minorHAnsi" w:cs="Calibri"/>
          <w:color w:val="000000"/>
          <w:szCs w:val="22"/>
        </w:rPr>
        <w:t xml:space="preserve">- </w:t>
      </w:r>
      <w:r w:rsidR="0072798D" w:rsidRPr="003841CA">
        <w:rPr>
          <w:rFonts w:asciiTheme="minorHAnsi" w:hAnsiTheme="minorHAnsi" w:cs="Calibri"/>
          <w:color w:val="000000"/>
          <w:szCs w:val="22"/>
        </w:rPr>
        <w:t xml:space="preserve">zestawienie wskaźników na poziomie projektu dla Działania </w:t>
      </w:r>
      <w:r w:rsidR="001D1CFD" w:rsidRPr="003841CA">
        <w:rPr>
          <w:rFonts w:asciiTheme="minorHAnsi" w:hAnsiTheme="minorHAnsi" w:cs="Calibri"/>
          <w:color w:val="000000"/>
          <w:szCs w:val="22"/>
        </w:rPr>
        <w:t>4</w:t>
      </w:r>
      <w:r w:rsidR="00401430" w:rsidRPr="003841CA">
        <w:rPr>
          <w:rFonts w:asciiTheme="minorHAnsi" w:hAnsiTheme="minorHAnsi" w:cs="Calibri"/>
          <w:color w:val="000000"/>
          <w:szCs w:val="22"/>
        </w:rPr>
        <w:t>.</w:t>
      </w:r>
      <w:r w:rsidR="00644174" w:rsidRPr="003841CA">
        <w:rPr>
          <w:rFonts w:asciiTheme="minorHAnsi" w:hAnsiTheme="minorHAnsi" w:cs="Calibri"/>
          <w:color w:val="000000"/>
          <w:szCs w:val="22"/>
        </w:rPr>
        <w:t>1</w:t>
      </w:r>
      <w:r w:rsidR="0072798D" w:rsidRPr="003841CA">
        <w:rPr>
          <w:rFonts w:asciiTheme="minorHAnsi" w:hAnsiTheme="minorHAnsi" w:cs="Calibri"/>
          <w:color w:val="000000"/>
          <w:szCs w:val="22"/>
        </w:rPr>
        <w:t xml:space="preserve"> </w:t>
      </w:r>
      <w:r w:rsidR="001D1CFD" w:rsidRPr="003841CA">
        <w:rPr>
          <w:rFonts w:asciiTheme="minorHAnsi" w:hAnsiTheme="minorHAnsi" w:cs="Calibri"/>
          <w:color w:val="000000"/>
          <w:szCs w:val="22"/>
        </w:rPr>
        <w:t>Gospodarka odpadami</w:t>
      </w:r>
    </w:p>
    <w:bookmarkEnd w:id="0"/>
    <w:bookmarkEnd w:id="1"/>
    <w:bookmarkEnd w:id="2"/>
    <w:bookmarkEnd w:id="3"/>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proofErr w:type="spellStart"/>
      <w:r w:rsidR="00D9587E">
        <w:rPr>
          <w:rFonts w:asciiTheme="minorHAnsi" w:hAnsiTheme="minorHAnsi"/>
          <w:b/>
          <w:sz w:val="22"/>
          <w:szCs w:val="22"/>
        </w:rPr>
        <w:t>SzOOP</w:t>
      </w:r>
      <w:proofErr w:type="spellEnd"/>
      <w:r w:rsidR="00D9587E">
        <w:rPr>
          <w:rFonts w:asciiTheme="minorHAnsi" w:hAnsiTheme="minorHAnsi"/>
          <w:b/>
          <w:sz w:val="22"/>
          <w:szCs w:val="22"/>
        </w:rPr>
        <w:t xml:space="preserve"> 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sidR="00F74161">
        <w:rPr>
          <w:rFonts w:asciiTheme="minorHAnsi" w:hAnsiTheme="minorHAnsi"/>
          <w:szCs w:val="22"/>
        </w:rPr>
        <w:t>4</w:t>
      </w:r>
      <w:r>
        <w:rPr>
          <w:rFonts w:asciiTheme="minorHAnsi" w:hAnsiTheme="minorHAnsi"/>
          <w:szCs w:val="22"/>
        </w:rPr>
        <w:t>.</w:t>
      </w:r>
      <w:r w:rsidR="00842A28">
        <w:rPr>
          <w:rFonts w:asciiTheme="minorHAnsi" w:hAnsiTheme="minorHAnsi"/>
          <w:szCs w:val="22"/>
        </w:rPr>
        <w:t>1</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EF0701" w:rsidTr="00EF0701">
        <w:trPr>
          <w:cantSplit/>
          <w:trHeight w:val="20"/>
          <w:jc w:val="center"/>
        </w:trPr>
        <w:tc>
          <w:tcPr>
            <w:tcW w:w="1184" w:type="pct"/>
            <w:shd w:val="clear" w:color="auto" w:fill="auto"/>
          </w:tcPr>
          <w:p w:rsidR="00065DCD" w:rsidRPr="00EF0701" w:rsidRDefault="00065DCD" w:rsidP="0035001C">
            <w:pPr>
              <w:spacing w:before="0" w:line="240" w:lineRule="auto"/>
              <w:jc w:val="center"/>
              <w:rPr>
                <w:rFonts w:asciiTheme="minorHAnsi" w:hAnsiTheme="minorHAnsi"/>
                <w:b/>
                <w:sz w:val="20"/>
              </w:rPr>
            </w:pPr>
            <w:r w:rsidRPr="00EF0701">
              <w:rPr>
                <w:rFonts w:asciiTheme="minorHAnsi" w:hAnsiTheme="minorHAnsi"/>
                <w:b/>
                <w:sz w:val="20"/>
              </w:rPr>
              <w:t>Nazwa wskaźnika produktu</w:t>
            </w:r>
          </w:p>
        </w:tc>
        <w:tc>
          <w:tcPr>
            <w:tcW w:w="563"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Jednostka miary</w:t>
            </w:r>
          </w:p>
        </w:tc>
        <w:tc>
          <w:tcPr>
            <w:tcW w:w="2472" w:type="pct"/>
            <w:shd w:val="clear" w:color="auto" w:fill="auto"/>
          </w:tcPr>
          <w:p w:rsidR="00065DCD" w:rsidRPr="00EF0701" w:rsidRDefault="00065DCD" w:rsidP="0035001C">
            <w:pPr>
              <w:suppressAutoHyphens/>
              <w:spacing w:before="0" w:line="240" w:lineRule="auto"/>
              <w:jc w:val="center"/>
              <w:rPr>
                <w:rFonts w:asciiTheme="minorHAnsi" w:hAnsiTheme="minorHAnsi"/>
                <w:b/>
                <w:sz w:val="20"/>
              </w:rPr>
            </w:pPr>
            <w:r w:rsidRPr="00EF0701">
              <w:rPr>
                <w:rFonts w:asciiTheme="minorHAnsi" w:hAnsiTheme="minorHAnsi"/>
                <w:b/>
                <w:bCs/>
                <w:sz w:val="20"/>
              </w:rPr>
              <w:t>Definicja wskaźnika</w:t>
            </w:r>
          </w:p>
        </w:tc>
        <w:tc>
          <w:tcPr>
            <w:tcW w:w="781"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Rodzaj dokumentu, w którym określono wskaźnik</w:t>
            </w:r>
          </w:p>
        </w:tc>
      </w:tr>
      <w:tr w:rsidR="00842A28" w:rsidRPr="00EF0701" w:rsidTr="00EF0701">
        <w:trPr>
          <w:cantSplit/>
          <w:trHeight w:val="20"/>
          <w:jc w:val="center"/>
        </w:trPr>
        <w:tc>
          <w:tcPr>
            <w:tcW w:w="1184" w:type="pct"/>
            <w:shd w:val="clear" w:color="auto" w:fill="auto"/>
          </w:tcPr>
          <w:p w:rsidR="00842A28" w:rsidRPr="00EF0701" w:rsidRDefault="00F74161" w:rsidP="00E27309">
            <w:pPr>
              <w:spacing w:before="40" w:after="40" w:line="240" w:lineRule="auto"/>
              <w:rPr>
                <w:rFonts w:asciiTheme="minorHAnsi" w:hAnsiTheme="minorHAnsi"/>
                <w:sz w:val="20"/>
              </w:rPr>
            </w:pPr>
            <w:r w:rsidRPr="00F74161">
              <w:rPr>
                <w:rFonts w:asciiTheme="minorHAnsi" w:hAnsiTheme="minorHAnsi"/>
                <w:sz w:val="20"/>
              </w:rPr>
              <w:t>Liczba wybudowanych zakładów zagospodarowania odpadów</w:t>
            </w:r>
          </w:p>
        </w:tc>
        <w:tc>
          <w:tcPr>
            <w:tcW w:w="563" w:type="pct"/>
          </w:tcPr>
          <w:p w:rsidR="00842A28" w:rsidRPr="00EF0701" w:rsidRDefault="00F74161" w:rsidP="00E27309">
            <w:pPr>
              <w:spacing w:line="240" w:lineRule="auto"/>
              <w:jc w:val="both"/>
              <w:rPr>
                <w:rFonts w:asciiTheme="minorHAnsi" w:hAnsiTheme="minorHAnsi"/>
                <w:sz w:val="20"/>
              </w:rPr>
            </w:pPr>
            <w:r w:rsidRPr="00F74161">
              <w:rPr>
                <w:rFonts w:asciiTheme="minorHAnsi" w:hAnsiTheme="minorHAnsi"/>
                <w:sz w:val="20"/>
              </w:rPr>
              <w:t>[szt.]</w:t>
            </w:r>
          </w:p>
        </w:tc>
        <w:tc>
          <w:tcPr>
            <w:tcW w:w="2472" w:type="pct"/>
            <w:shd w:val="clear" w:color="auto" w:fill="auto"/>
          </w:tcPr>
          <w:p w:rsidR="006D1C52" w:rsidRPr="006D1C52" w:rsidRDefault="006D1C52" w:rsidP="006D1C52">
            <w:pPr>
              <w:spacing w:before="40" w:after="40" w:line="240" w:lineRule="auto"/>
              <w:rPr>
                <w:rFonts w:asciiTheme="minorHAnsi" w:hAnsiTheme="minorHAnsi"/>
                <w:sz w:val="20"/>
              </w:rPr>
            </w:pPr>
            <w:r w:rsidRPr="006D1C52">
              <w:rPr>
                <w:rFonts w:asciiTheme="minorHAnsi" w:hAnsiTheme="minorHAnsi"/>
                <w:sz w:val="20"/>
              </w:rPr>
              <w:t xml:space="preserve">Liczba  obiektów wybudowanych w ramach zrealizowanych projektów. </w:t>
            </w:r>
          </w:p>
          <w:p w:rsidR="006D1C52" w:rsidRPr="006D1C52" w:rsidRDefault="006D1C52" w:rsidP="006D1C52">
            <w:pPr>
              <w:spacing w:before="40" w:after="40" w:line="240" w:lineRule="auto"/>
              <w:rPr>
                <w:rFonts w:asciiTheme="minorHAnsi" w:hAnsiTheme="minorHAnsi"/>
                <w:sz w:val="20"/>
              </w:rPr>
            </w:pPr>
            <w:r w:rsidRPr="006D1C52">
              <w:rPr>
                <w:rFonts w:asciiTheme="minorHAnsi" w:hAnsiTheme="minorHAnsi"/>
                <w:sz w:val="20"/>
              </w:rPr>
              <w:t xml:space="preserve">Przez zakład rozumie się jedną lub kilka instalacji wraz z terenem, do którego prowadzący instalacje posiada tytuł prawny, oraz znajdującymi się na nim urządzeniami. [Art. 3, pkt 48 ustawy z dn. 27 kwietnia 2001 r. Prawo ochrony środowiska]. </w:t>
            </w:r>
          </w:p>
          <w:p w:rsidR="006D1C52" w:rsidRPr="006D1C52" w:rsidRDefault="006D1C52" w:rsidP="006D1C52">
            <w:pPr>
              <w:spacing w:before="40" w:after="40" w:line="240" w:lineRule="auto"/>
              <w:rPr>
                <w:rFonts w:asciiTheme="minorHAnsi" w:hAnsiTheme="minorHAnsi"/>
                <w:sz w:val="20"/>
              </w:rPr>
            </w:pPr>
            <w:r w:rsidRPr="006D1C52">
              <w:rPr>
                <w:rFonts w:asciiTheme="minorHAnsi" w:hAnsiTheme="minorHAnsi"/>
                <w:sz w:val="20"/>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w:t>
            </w:r>
            <w:r>
              <w:rPr>
                <w:rFonts w:asciiTheme="minorHAnsi" w:hAnsiTheme="minorHAnsi"/>
                <w:sz w:val="20"/>
              </w:rPr>
              <w:t xml:space="preserve"> 14 grudnia 2012 r. o odpadach</w:t>
            </w:r>
            <w:r w:rsidRPr="006D1C52">
              <w:rPr>
                <w:rFonts w:asciiTheme="minorHAnsi" w:hAnsiTheme="minorHAnsi"/>
                <w:sz w:val="20"/>
              </w:rPr>
              <w:t xml:space="preserve">]. </w:t>
            </w:r>
          </w:p>
          <w:p w:rsidR="00842A28" w:rsidRPr="00EF0701" w:rsidRDefault="006D1C52" w:rsidP="006D1C52">
            <w:pPr>
              <w:spacing w:before="40" w:after="40" w:line="240" w:lineRule="auto"/>
              <w:rPr>
                <w:rFonts w:asciiTheme="minorHAnsi" w:hAnsiTheme="minorHAnsi"/>
                <w:sz w:val="20"/>
              </w:rPr>
            </w:pPr>
            <w:r w:rsidRPr="006D1C52">
              <w:rPr>
                <w:rFonts w:asciiTheme="minorHAnsi" w:hAnsiTheme="minorHAnsi"/>
                <w:sz w:val="20"/>
              </w:rPr>
              <w:t xml:space="preserve">Przez wybudowanie rozumie się roboty o charakterze inwestycyjnym polegające na wzniesieniu nowych obiektów wraz z wyposażeniem służącym zagospodarowaniu odpadów. O zaliczeniu do inwestycji budowlanej decydują kryteria rzeczowe a nie finansowe. </w:t>
            </w:r>
          </w:p>
        </w:tc>
        <w:tc>
          <w:tcPr>
            <w:tcW w:w="781" w:type="pct"/>
          </w:tcPr>
          <w:p w:rsidR="00842A28" w:rsidRPr="00EF0701" w:rsidRDefault="006D1C52" w:rsidP="006D1C52">
            <w:pPr>
              <w:autoSpaceDE w:val="0"/>
              <w:autoSpaceDN w:val="0"/>
              <w:adjustRightInd w:val="0"/>
              <w:spacing w:before="0" w:line="240" w:lineRule="auto"/>
              <w:jc w:val="both"/>
              <w:rPr>
                <w:rFonts w:asciiTheme="minorHAnsi" w:hAnsiTheme="minorHAnsi"/>
                <w:sz w:val="20"/>
              </w:rPr>
            </w:pPr>
            <w:r>
              <w:rPr>
                <w:rFonts w:asciiTheme="minorHAnsi" w:hAnsiTheme="minorHAnsi"/>
                <w:sz w:val="20"/>
              </w:rPr>
              <w:t xml:space="preserve">RPO WD 2014-2020 </w:t>
            </w:r>
          </w:p>
        </w:tc>
      </w:tr>
      <w:tr w:rsidR="00842A28" w:rsidRPr="00EF0701" w:rsidTr="00EF0701">
        <w:trPr>
          <w:cantSplit/>
          <w:trHeight w:val="20"/>
          <w:jc w:val="center"/>
        </w:trPr>
        <w:tc>
          <w:tcPr>
            <w:tcW w:w="1184" w:type="pct"/>
            <w:shd w:val="clear" w:color="auto" w:fill="auto"/>
          </w:tcPr>
          <w:p w:rsidR="00842A28" w:rsidRPr="00EF0701" w:rsidRDefault="00F74161" w:rsidP="00E27309">
            <w:pPr>
              <w:spacing w:before="40" w:after="40" w:line="240" w:lineRule="auto"/>
              <w:rPr>
                <w:rFonts w:asciiTheme="minorHAnsi" w:hAnsiTheme="minorHAnsi"/>
                <w:sz w:val="20"/>
              </w:rPr>
            </w:pPr>
            <w:r w:rsidRPr="00F74161">
              <w:rPr>
                <w:rFonts w:asciiTheme="minorHAnsi" w:hAnsiTheme="minorHAnsi"/>
                <w:sz w:val="20"/>
              </w:rPr>
              <w:t>Liczba przebudowanych zakładów zagospodarowania odpadów</w:t>
            </w:r>
          </w:p>
        </w:tc>
        <w:tc>
          <w:tcPr>
            <w:tcW w:w="563" w:type="pct"/>
          </w:tcPr>
          <w:p w:rsidR="00842A28" w:rsidRPr="00EF0701" w:rsidRDefault="00F74161" w:rsidP="00E27309">
            <w:pPr>
              <w:spacing w:line="240" w:lineRule="auto"/>
              <w:jc w:val="both"/>
              <w:rPr>
                <w:rFonts w:asciiTheme="minorHAnsi" w:hAnsiTheme="minorHAnsi"/>
                <w:sz w:val="20"/>
              </w:rPr>
            </w:pPr>
            <w:r w:rsidRPr="00F74161">
              <w:rPr>
                <w:rFonts w:asciiTheme="minorHAnsi" w:hAnsiTheme="minorHAnsi"/>
                <w:sz w:val="20"/>
              </w:rPr>
              <w:t>[szt.]</w:t>
            </w:r>
          </w:p>
        </w:tc>
        <w:tc>
          <w:tcPr>
            <w:tcW w:w="2472" w:type="pct"/>
            <w:shd w:val="clear" w:color="auto" w:fill="auto"/>
          </w:tcPr>
          <w:p w:rsidR="006D1C52" w:rsidRPr="006D1C52" w:rsidRDefault="006D1C52" w:rsidP="006D1C52">
            <w:pPr>
              <w:spacing w:before="40" w:after="40" w:line="240" w:lineRule="auto"/>
              <w:rPr>
                <w:rFonts w:asciiTheme="minorHAnsi" w:hAnsiTheme="minorHAnsi"/>
                <w:sz w:val="20"/>
              </w:rPr>
            </w:pPr>
            <w:r w:rsidRPr="006D1C52">
              <w:rPr>
                <w:rFonts w:asciiTheme="minorHAnsi" w:hAnsiTheme="minorHAnsi"/>
                <w:sz w:val="20"/>
              </w:rPr>
              <w:t xml:space="preserve">Liczba  obiektów przebudowanych w ramach zrealizowanych projektów. </w:t>
            </w:r>
          </w:p>
          <w:p w:rsidR="006D1C52" w:rsidRPr="006D1C52" w:rsidRDefault="006D1C52" w:rsidP="006D1C52">
            <w:pPr>
              <w:spacing w:before="40" w:after="40" w:line="240" w:lineRule="auto"/>
              <w:rPr>
                <w:rFonts w:asciiTheme="minorHAnsi" w:hAnsiTheme="minorHAnsi"/>
                <w:sz w:val="20"/>
              </w:rPr>
            </w:pPr>
            <w:r w:rsidRPr="006D1C52">
              <w:rPr>
                <w:rFonts w:asciiTheme="minorHAnsi" w:hAnsiTheme="minorHAnsi"/>
                <w:sz w:val="20"/>
              </w:rPr>
              <w:t>Przez zakład rozumie się jedną lub kilka instalacji wraz z terenem, do którego prowadzący instalacje posiada tytuł prawny, oraz znajdującymi się na nim urządzeniami. [Art. 3, pkt 48 ustawy z dn. 27 kwietnia 20</w:t>
            </w:r>
            <w:r>
              <w:rPr>
                <w:rFonts w:asciiTheme="minorHAnsi" w:hAnsiTheme="minorHAnsi"/>
                <w:sz w:val="20"/>
              </w:rPr>
              <w:t>01 r. Prawo ochrony środowiska</w:t>
            </w:r>
            <w:r w:rsidRPr="006D1C52">
              <w:rPr>
                <w:rFonts w:asciiTheme="minorHAnsi" w:hAnsiTheme="minorHAnsi"/>
                <w:sz w:val="20"/>
              </w:rPr>
              <w:t xml:space="preserve">]. </w:t>
            </w:r>
          </w:p>
          <w:p w:rsidR="00842A28" w:rsidRPr="00EF0701" w:rsidRDefault="006D1C52" w:rsidP="006D1C52">
            <w:pPr>
              <w:spacing w:before="40" w:after="40" w:line="240" w:lineRule="auto"/>
              <w:rPr>
                <w:rFonts w:asciiTheme="minorHAnsi" w:hAnsiTheme="minorHAnsi"/>
                <w:sz w:val="20"/>
              </w:rPr>
            </w:pPr>
            <w:r w:rsidRPr="006D1C52">
              <w:rPr>
                <w:rFonts w:asciiTheme="minorHAnsi" w:hAnsiTheme="minorHAnsi"/>
                <w:sz w:val="20"/>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 14 grudnia 2012 r. o odpadach].</w:t>
            </w:r>
          </w:p>
        </w:tc>
        <w:tc>
          <w:tcPr>
            <w:tcW w:w="781" w:type="pct"/>
          </w:tcPr>
          <w:p w:rsidR="00842A28" w:rsidRPr="00EF0701" w:rsidRDefault="006D1C52" w:rsidP="006D1C52">
            <w:pPr>
              <w:autoSpaceDE w:val="0"/>
              <w:autoSpaceDN w:val="0"/>
              <w:adjustRightInd w:val="0"/>
              <w:spacing w:before="0" w:line="240" w:lineRule="auto"/>
              <w:jc w:val="both"/>
              <w:rPr>
                <w:rFonts w:asciiTheme="minorHAnsi" w:hAnsiTheme="minorHAnsi"/>
                <w:sz w:val="20"/>
              </w:rPr>
            </w:pPr>
            <w:r>
              <w:rPr>
                <w:rFonts w:asciiTheme="minorHAnsi" w:hAnsiTheme="minorHAnsi"/>
                <w:sz w:val="20"/>
              </w:rPr>
              <w:t xml:space="preserve">RPO WD 2014-2020 </w:t>
            </w:r>
          </w:p>
        </w:tc>
      </w:tr>
      <w:tr w:rsidR="00EF0701" w:rsidRPr="00EF0701" w:rsidTr="00EF0701">
        <w:trPr>
          <w:cantSplit/>
          <w:trHeight w:val="20"/>
          <w:jc w:val="center"/>
        </w:trPr>
        <w:tc>
          <w:tcPr>
            <w:tcW w:w="1184" w:type="pct"/>
            <w:shd w:val="clear" w:color="auto" w:fill="auto"/>
          </w:tcPr>
          <w:p w:rsidR="00EF0701" w:rsidRPr="00EF0701" w:rsidRDefault="00F74161" w:rsidP="00F74161">
            <w:pPr>
              <w:spacing w:before="40" w:after="40" w:line="240" w:lineRule="auto"/>
              <w:rPr>
                <w:rFonts w:asciiTheme="minorHAnsi" w:hAnsiTheme="minorHAnsi"/>
                <w:sz w:val="20"/>
              </w:rPr>
            </w:pPr>
            <w:r w:rsidRPr="00F74161">
              <w:rPr>
                <w:rFonts w:asciiTheme="minorHAnsi" w:hAnsiTheme="minorHAnsi"/>
                <w:sz w:val="20"/>
              </w:rPr>
              <w:t xml:space="preserve">Masa wycofanych z użytkowania i unieszkodliwionych wyrobów zawierających azbest </w:t>
            </w:r>
          </w:p>
        </w:tc>
        <w:tc>
          <w:tcPr>
            <w:tcW w:w="563" w:type="pct"/>
          </w:tcPr>
          <w:p w:rsidR="00EF0701" w:rsidRPr="00EF0701" w:rsidRDefault="00F74161" w:rsidP="00E27309">
            <w:pPr>
              <w:spacing w:line="240" w:lineRule="auto"/>
              <w:jc w:val="both"/>
              <w:rPr>
                <w:rFonts w:asciiTheme="minorHAnsi" w:hAnsiTheme="minorHAnsi"/>
                <w:sz w:val="20"/>
              </w:rPr>
            </w:pPr>
            <w:r w:rsidRPr="00F74161">
              <w:rPr>
                <w:rFonts w:asciiTheme="minorHAnsi" w:hAnsiTheme="minorHAnsi"/>
                <w:sz w:val="20"/>
              </w:rPr>
              <w:t>[Mg]</w:t>
            </w:r>
          </w:p>
        </w:tc>
        <w:tc>
          <w:tcPr>
            <w:tcW w:w="2472" w:type="pct"/>
            <w:shd w:val="clear" w:color="auto" w:fill="auto"/>
          </w:tcPr>
          <w:p w:rsidR="00DE68AF" w:rsidRPr="00DE68AF" w:rsidRDefault="00DE68AF" w:rsidP="00DE68AF">
            <w:pPr>
              <w:spacing w:before="40" w:after="40" w:line="240" w:lineRule="auto"/>
              <w:rPr>
                <w:rFonts w:asciiTheme="minorHAnsi" w:hAnsiTheme="minorHAnsi"/>
                <w:sz w:val="20"/>
              </w:rPr>
            </w:pPr>
            <w:r w:rsidRPr="00DE68AF">
              <w:rPr>
                <w:rFonts w:asciiTheme="minorHAnsi" w:hAnsiTheme="minorHAnsi"/>
                <w:sz w:val="20"/>
              </w:rPr>
              <w:t xml:space="preserve">Łączna masa odpadów zawierających azbest, które zostały wycofane z użytkowania i unieszkodliwione w ramach dofinansowanego projektu. </w:t>
            </w:r>
          </w:p>
          <w:p w:rsidR="00EF0701" w:rsidRPr="00DE68AF" w:rsidRDefault="00DE68AF" w:rsidP="00DE68AF">
            <w:pPr>
              <w:spacing w:before="40" w:after="40" w:line="240" w:lineRule="auto"/>
              <w:rPr>
                <w:rFonts w:asciiTheme="minorHAnsi" w:hAnsiTheme="minorHAnsi"/>
                <w:i/>
                <w:sz w:val="20"/>
              </w:rPr>
            </w:pPr>
            <w:r w:rsidRPr="00DE68AF">
              <w:rPr>
                <w:rFonts w:asciiTheme="minorHAnsi" w:hAnsiTheme="minorHAnsi"/>
                <w:i/>
                <w:sz w:val="20"/>
              </w:rPr>
              <w:t xml:space="preserve">Unieszkodliwianie polega na składowaniu odpadów bądź biodegradacji, obróbce fizyko-chemicznej i innych procesach zwiększenie bezpieczeństwa przechowywania.  </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r w:rsidR="00DE68AF">
              <w:rPr>
                <w:rFonts w:asciiTheme="minorHAnsi" w:hAnsiTheme="minorHAnsi"/>
                <w:sz w:val="20"/>
              </w:rPr>
              <w:t xml:space="preserve"> RPO WD 2014-2020</w:t>
            </w:r>
          </w:p>
        </w:tc>
      </w:tr>
      <w:tr w:rsidR="00EF0701" w:rsidRPr="00EF0701" w:rsidTr="00EF0701">
        <w:trPr>
          <w:cantSplit/>
          <w:trHeight w:val="20"/>
          <w:jc w:val="center"/>
        </w:trPr>
        <w:tc>
          <w:tcPr>
            <w:tcW w:w="1184" w:type="pct"/>
            <w:shd w:val="clear" w:color="auto" w:fill="auto"/>
          </w:tcPr>
          <w:p w:rsidR="00EF0701" w:rsidRPr="00EF0701" w:rsidRDefault="00F74161" w:rsidP="00F74161">
            <w:pPr>
              <w:spacing w:before="40" w:after="40" w:line="240" w:lineRule="auto"/>
              <w:rPr>
                <w:rFonts w:asciiTheme="minorHAnsi" w:hAnsiTheme="minorHAnsi"/>
                <w:sz w:val="20"/>
              </w:rPr>
            </w:pPr>
            <w:r w:rsidRPr="00F74161">
              <w:rPr>
                <w:rFonts w:asciiTheme="minorHAnsi" w:hAnsiTheme="minorHAnsi"/>
                <w:sz w:val="20"/>
              </w:rPr>
              <w:lastRenderedPageBreak/>
              <w:t xml:space="preserve">Masa odpadów zebranych z likwidowanych dzikich wysypisk </w:t>
            </w:r>
          </w:p>
        </w:tc>
        <w:tc>
          <w:tcPr>
            <w:tcW w:w="563" w:type="pct"/>
          </w:tcPr>
          <w:p w:rsidR="00EF0701" w:rsidRPr="00EF0701" w:rsidRDefault="00F74161" w:rsidP="00E27309">
            <w:pPr>
              <w:spacing w:line="240" w:lineRule="auto"/>
              <w:jc w:val="both"/>
              <w:rPr>
                <w:rFonts w:asciiTheme="minorHAnsi" w:hAnsiTheme="minorHAnsi"/>
                <w:sz w:val="20"/>
              </w:rPr>
            </w:pPr>
            <w:r w:rsidRPr="00F74161">
              <w:rPr>
                <w:rFonts w:asciiTheme="minorHAnsi" w:hAnsiTheme="minorHAnsi"/>
                <w:sz w:val="20"/>
              </w:rPr>
              <w:t>[Mg]</w:t>
            </w:r>
          </w:p>
        </w:tc>
        <w:tc>
          <w:tcPr>
            <w:tcW w:w="2472" w:type="pct"/>
            <w:shd w:val="clear" w:color="auto" w:fill="auto"/>
          </w:tcPr>
          <w:p w:rsidR="00DE68AF" w:rsidRPr="00DE68AF" w:rsidRDefault="00DE68AF" w:rsidP="00DE68AF">
            <w:pPr>
              <w:spacing w:before="40" w:after="40" w:line="240" w:lineRule="auto"/>
              <w:rPr>
                <w:rFonts w:asciiTheme="minorHAnsi" w:hAnsiTheme="minorHAnsi"/>
                <w:sz w:val="20"/>
              </w:rPr>
            </w:pPr>
            <w:r w:rsidRPr="00DE68AF">
              <w:rPr>
                <w:rFonts w:asciiTheme="minorHAnsi" w:hAnsiTheme="minorHAnsi"/>
                <w:sz w:val="20"/>
              </w:rPr>
              <w:t xml:space="preserve">Masa odpadów, które zostały zebrane z likwidowanych dzikich wysypisk i poddane utylizacji w ramach zrealizowanych projektów. </w:t>
            </w:r>
          </w:p>
          <w:p w:rsidR="00EF0701" w:rsidRDefault="00DE68AF" w:rsidP="00DE68AF">
            <w:pPr>
              <w:spacing w:before="40" w:after="40" w:line="240" w:lineRule="auto"/>
              <w:rPr>
                <w:rFonts w:asciiTheme="minorHAnsi" w:hAnsiTheme="minorHAnsi"/>
                <w:i/>
                <w:sz w:val="20"/>
              </w:rPr>
            </w:pPr>
            <w:r w:rsidRPr="00DE68AF">
              <w:rPr>
                <w:rFonts w:asciiTheme="minorHAnsi" w:hAnsiTheme="minorHAnsi"/>
                <w:i/>
                <w:sz w:val="20"/>
              </w:rPr>
              <w:t xml:space="preserve">Przez dzikie wysypiska należy rozumieć nie tylko miejsca nagromadzenia znacznej masy odpadów, do tego celu nie przeznaczone, ale również rozproszone odpady znajdujące się na większej przestrzeni.  </w:t>
            </w:r>
          </w:p>
          <w:p w:rsidR="00DE68AF" w:rsidRPr="00DE68AF" w:rsidRDefault="00DE68AF" w:rsidP="00DE68AF">
            <w:pPr>
              <w:spacing w:before="40" w:after="40" w:line="240" w:lineRule="auto"/>
              <w:rPr>
                <w:rFonts w:asciiTheme="minorHAnsi" w:hAnsiTheme="minorHAnsi"/>
                <w:i/>
                <w:sz w:val="20"/>
              </w:rPr>
            </w:pPr>
            <w:r w:rsidRPr="00DE68AF">
              <w:rPr>
                <w:rFonts w:asciiTheme="minorHAnsi" w:hAnsiTheme="minorHAnsi"/>
                <w:i/>
                <w:sz w:val="20"/>
              </w:rPr>
              <w:t>Masę odpadów należy mierzyć na wejściu do zakładu utylizacyjnego</w:t>
            </w:r>
            <w:r>
              <w:rPr>
                <w:rFonts w:asciiTheme="minorHAnsi" w:hAnsiTheme="minorHAnsi"/>
                <w:i/>
                <w:sz w:val="20"/>
              </w:rPr>
              <w:t>.</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r w:rsidR="00DE68AF">
              <w:rPr>
                <w:rFonts w:asciiTheme="minorHAnsi" w:hAnsiTheme="minorHAnsi"/>
                <w:sz w:val="20"/>
              </w:rPr>
              <w:t xml:space="preserve"> RPO WD 2014-2020</w:t>
            </w:r>
          </w:p>
        </w:tc>
      </w:tr>
      <w:tr w:rsidR="00F74161" w:rsidRPr="00EF0701" w:rsidTr="00EF0701">
        <w:trPr>
          <w:cantSplit/>
          <w:trHeight w:val="20"/>
          <w:jc w:val="center"/>
        </w:trPr>
        <w:tc>
          <w:tcPr>
            <w:tcW w:w="1184" w:type="pct"/>
            <w:shd w:val="clear" w:color="auto" w:fill="auto"/>
          </w:tcPr>
          <w:p w:rsidR="00F74161" w:rsidRPr="00F74161" w:rsidRDefault="00F74161" w:rsidP="00F74161">
            <w:pPr>
              <w:spacing w:before="40" w:after="40" w:line="240" w:lineRule="auto"/>
              <w:rPr>
                <w:rFonts w:asciiTheme="minorHAnsi" w:hAnsiTheme="minorHAnsi"/>
                <w:sz w:val="20"/>
              </w:rPr>
            </w:pPr>
            <w:r w:rsidRPr="00F74161">
              <w:rPr>
                <w:rFonts w:asciiTheme="minorHAnsi" w:hAnsiTheme="minorHAnsi"/>
                <w:sz w:val="20"/>
              </w:rPr>
              <w:t xml:space="preserve">Liczba wspartych Punktów Selektywnego Zbierania Odpadów Komunalnych </w:t>
            </w:r>
          </w:p>
        </w:tc>
        <w:tc>
          <w:tcPr>
            <w:tcW w:w="563" w:type="pct"/>
          </w:tcPr>
          <w:p w:rsidR="00F74161" w:rsidRPr="00F74161" w:rsidRDefault="00F74161" w:rsidP="00E27309">
            <w:pPr>
              <w:spacing w:line="240" w:lineRule="auto"/>
              <w:jc w:val="both"/>
              <w:rPr>
                <w:rFonts w:asciiTheme="minorHAnsi" w:hAnsiTheme="minorHAnsi"/>
                <w:sz w:val="20"/>
              </w:rPr>
            </w:pPr>
            <w:r w:rsidRPr="00F74161">
              <w:rPr>
                <w:rFonts w:asciiTheme="minorHAnsi" w:hAnsiTheme="minorHAnsi"/>
                <w:sz w:val="20"/>
              </w:rPr>
              <w:t>[szt.]</w:t>
            </w:r>
          </w:p>
        </w:tc>
        <w:tc>
          <w:tcPr>
            <w:tcW w:w="2472" w:type="pct"/>
            <w:shd w:val="clear" w:color="auto" w:fill="auto"/>
          </w:tcPr>
          <w:p w:rsidR="00DE68AF" w:rsidRPr="00DE68AF" w:rsidRDefault="00DE68AF" w:rsidP="00DE68AF">
            <w:pPr>
              <w:spacing w:before="40" w:after="40" w:line="240" w:lineRule="auto"/>
              <w:rPr>
                <w:rFonts w:asciiTheme="minorHAnsi" w:hAnsiTheme="minorHAnsi"/>
                <w:sz w:val="20"/>
              </w:rPr>
            </w:pPr>
            <w:r w:rsidRPr="00DE68AF">
              <w:rPr>
                <w:rFonts w:asciiTheme="minorHAnsi" w:hAnsiTheme="minorHAnsi"/>
                <w:sz w:val="20"/>
              </w:rPr>
              <w:t xml:space="preserve">Liczba Punktów Selektywnego Zbierania Odpadów Komunalnych [Ustawa z dnia 13 września 1996r. o utrzymaniu </w:t>
            </w:r>
            <w:r>
              <w:rPr>
                <w:rFonts w:asciiTheme="minorHAnsi" w:hAnsiTheme="minorHAnsi"/>
                <w:sz w:val="20"/>
              </w:rPr>
              <w:t>czystości i porządku w gminach</w:t>
            </w:r>
            <w:r w:rsidRPr="00DE68AF">
              <w:rPr>
                <w:rFonts w:asciiTheme="minorHAnsi" w:hAnsiTheme="minorHAnsi"/>
                <w:sz w:val="20"/>
              </w:rPr>
              <w:t xml:space="preserve">.], które otrzymały wsparcie w ramach zrealizowanych projektów. </w:t>
            </w:r>
          </w:p>
          <w:p w:rsidR="00F74161" w:rsidRPr="00EF0701" w:rsidRDefault="00DE68AF" w:rsidP="00DE68AF">
            <w:pPr>
              <w:spacing w:before="40" w:after="40" w:line="240" w:lineRule="auto"/>
              <w:rPr>
                <w:rFonts w:asciiTheme="minorHAnsi" w:hAnsiTheme="minorHAnsi"/>
                <w:sz w:val="20"/>
              </w:rPr>
            </w:pPr>
            <w:r w:rsidRPr="00DE68AF">
              <w:rPr>
                <w:rFonts w:asciiTheme="minorHAnsi" w:hAnsiTheme="minorHAnsi"/>
                <w:sz w:val="20"/>
              </w:rPr>
              <w:t>Wsparcie może polegać na budowie, przebudowie, rozbudowie, remoncie lub wyposażeniu obiektu.</w:t>
            </w:r>
            <w:r w:rsidRPr="00127979">
              <w:rPr>
                <w:rFonts w:ascii="Arial Narrow" w:hAnsi="Arial Narrow"/>
                <w:color w:val="333399"/>
                <w:sz w:val="18"/>
                <w:szCs w:val="18"/>
              </w:rPr>
              <w:t xml:space="preserve"> </w:t>
            </w:r>
            <w:r w:rsidRPr="00127979">
              <w:rPr>
                <w:rFonts w:ascii="Arial Narrow" w:hAnsi="Arial Narrow" w:cs="Helv"/>
                <w:color w:val="333399"/>
                <w:sz w:val="18"/>
                <w:szCs w:val="18"/>
              </w:rPr>
              <w:t xml:space="preserve"> </w:t>
            </w:r>
          </w:p>
        </w:tc>
        <w:tc>
          <w:tcPr>
            <w:tcW w:w="781" w:type="pct"/>
          </w:tcPr>
          <w:p w:rsidR="00F74161" w:rsidRPr="00EF0701" w:rsidRDefault="00F74161" w:rsidP="00E27309">
            <w:pPr>
              <w:autoSpaceDE w:val="0"/>
              <w:autoSpaceDN w:val="0"/>
              <w:adjustRightInd w:val="0"/>
              <w:spacing w:before="0" w:line="240" w:lineRule="auto"/>
              <w:jc w:val="both"/>
              <w:rPr>
                <w:rFonts w:asciiTheme="minorHAnsi" w:hAnsiTheme="minorHAnsi"/>
                <w:sz w:val="20"/>
              </w:rPr>
            </w:pPr>
            <w:proofErr w:type="spellStart"/>
            <w:r>
              <w:rPr>
                <w:rFonts w:asciiTheme="minorHAnsi" w:hAnsiTheme="minorHAnsi"/>
                <w:sz w:val="20"/>
              </w:rPr>
              <w:t>SzOOP</w:t>
            </w:r>
            <w:proofErr w:type="spellEnd"/>
            <w:r w:rsidR="00DE68AF">
              <w:rPr>
                <w:rFonts w:asciiTheme="minorHAnsi" w:hAnsiTheme="minorHAnsi"/>
                <w:sz w:val="20"/>
              </w:rPr>
              <w:t xml:space="preserve"> RPO WD 2014-2020</w:t>
            </w:r>
          </w:p>
        </w:tc>
      </w:tr>
      <w:tr w:rsidR="00497586" w:rsidRPr="00EF0701" w:rsidTr="00EF0701">
        <w:trPr>
          <w:cantSplit/>
          <w:trHeight w:val="20"/>
          <w:jc w:val="center"/>
        </w:trPr>
        <w:tc>
          <w:tcPr>
            <w:tcW w:w="1184" w:type="pct"/>
            <w:shd w:val="clear" w:color="auto" w:fill="auto"/>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obiektów dostosowanych do potrzeb osób z niepełnosprawnościami</w:t>
            </w:r>
          </w:p>
        </w:tc>
        <w:tc>
          <w:tcPr>
            <w:tcW w:w="563" w:type="pct"/>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EF070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Należy podać liczbę obiektów, a nie sprzętów, urządzeń itp., w które obiekty zaopatrzono.</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lastRenderedPageBreak/>
              <w:t>Liczba podmiotów wykorzystujących technologie informacyjno-komunikacyjne (TIK)</w:t>
            </w:r>
          </w:p>
        </w:tc>
        <w:tc>
          <w:tcPr>
            <w:tcW w:w="563" w:type="pct"/>
          </w:tcPr>
          <w:p w:rsidR="00497586" w:rsidRPr="00EF0701" w:rsidRDefault="00497586" w:rsidP="00CE32DE">
            <w:pPr>
              <w:spacing w:before="0" w:line="240" w:lineRule="auto"/>
              <w:jc w:val="center"/>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os.</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0701">
              <w:rPr>
                <w:rFonts w:asciiTheme="minorHAnsi" w:eastAsiaTheme="minorHAnsi" w:hAnsiTheme="minorHAnsi"/>
                <w:sz w:val="20"/>
                <w:lang w:eastAsia="en-US"/>
              </w:rPr>
              <w:t>internetu</w:t>
            </w:r>
            <w:proofErr w:type="spellEnd"/>
            <w:r w:rsidRPr="00EF070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EF0701">
              <w:rPr>
                <w:rFonts w:asciiTheme="minorHAnsi" w:eastAsiaTheme="minorHAnsi" w:hAnsiTheme="minorHAnsi"/>
                <w:sz w:val="20"/>
                <w:lang w:eastAsia="en-US"/>
              </w:rPr>
              <w:t>financingu</w:t>
            </w:r>
            <w:proofErr w:type="spellEnd"/>
            <w:r w:rsidRPr="00EF0701">
              <w:rPr>
                <w:rFonts w:asciiTheme="minorHAnsi" w:eastAsiaTheme="minorHAnsi" w:hAnsiTheme="minorHAnsi"/>
                <w:sz w:val="20"/>
                <w:lang w:eastAsia="en-US"/>
              </w:rPr>
              <w:t xml:space="preserve"> RPO dotyczących e-usług publicznych, ale również przy okazji wdrażania inteligentnych systemów transportowych..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szt. </w:t>
            </w:r>
          </w:p>
        </w:tc>
        <w:tc>
          <w:tcPr>
            <w:tcW w:w="2472" w:type="pct"/>
            <w:shd w:val="clear" w:color="auto" w:fill="auto"/>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Racjonalne usprawnienie oznacza konieczne </w:t>
            </w:r>
            <w:r w:rsidRPr="00EF070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t xml:space="preserve">Definicja na podstawie </w:t>
            </w:r>
            <w:r w:rsidRPr="00EF0701">
              <w:rPr>
                <w:rFonts w:asciiTheme="minorHAnsi" w:eastAsiaTheme="minorHAnsi" w:hAnsiTheme="minorHAnsi" w:cs="Arial"/>
                <w:i/>
                <w:iCs/>
                <w:color w:val="000000"/>
                <w:sz w:val="20"/>
                <w:lang w:eastAsia="en-US"/>
              </w:rPr>
              <w:t xml:space="preserve">Wytycznych w zakresie realizacji zasady równości szans </w:t>
            </w:r>
            <w:r w:rsidRPr="00EF0701">
              <w:rPr>
                <w:rFonts w:asciiTheme="minorHAnsi" w:eastAsiaTheme="minorHAnsi" w:hAnsiTheme="minorHAnsi" w:cs="Arial"/>
                <w:i/>
                <w:iCs/>
                <w:color w:val="000000"/>
                <w:sz w:val="20"/>
                <w:lang w:eastAsia="en-US"/>
              </w:rPr>
              <w:br/>
              <w:t xml:space="preserve">i niedyskryminacji, w tym dostępności dla osób </w:t>
            </w:r>
            <w:r w:rsidRPr="00EF070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EF0701">
              <w:rPr>
                <w:rFonts w:asciiTheme="minorHAnsi" w:eastAsiaTheme="minorHAnsi" w:hAnsiTheme="minorHAnsi" w:cs="Arial"/>
                <w:color w:val="000000"/>
                <w:sz w:val="20"/>
                <w:lang w:eastAsia="en-US"/>
              </w:rPr>
              <w:t>.</w:t>
            </w:r>
          </w:p>
        </w:tc>
        <w:tc>
          <w:tcPr>
            <w:tcW w:w="781" w:type="pct"/>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horyzontalny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DE68AF" w:rsidRDefault="00EF0701" w:rsidP="00D9587E">
      <w:pPr>
        <w:autoSpaceDE w:val="0"/>
        <w:autoSpaceDN w:val="0"/>
        <w:adjustRightInd w:val="0"/>
        <w:spacing w:before="120" w:after="12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w:t>
      </w:r>
      <w:r w:rsidR="00742D12">
        <w:rPr>
          <w:rFonts w:asciiTheme="minorHAnsi" w:hAnsiTheme="minorHAnsi"/>
          <w:szCs w:val="22"/>
        </w:rPr>
        <w:t xml:space="preserve">(np. </w:t>
      </w:r>
      <w:r w:rsidR="00BB238F">
        <w:rPr>
          <w:rFonts w:asciiTheme="minorHAnsi" w:hAnsiTheme="minorHAnsi"/>
          <w:szCs w:val="22"/>
        </w:rPr>
        <w:t>dokumentacja techniczna</w:t>
      </w:r>
      <w:r w:rsidR="00742D12">
        <w:rPr>
          <w:rFonts w:asciiTheme="minorHAnsi" w:hAnsiTheme="minorHAnsi"/>
          <w:szCs w:val="22"/>
        </w:rPr>
        <w:t xml:space="preserve">). </w:t>
      </w:r>
    </w:p>
    <w:p w:rsidR="00D9587E" w:rsidRPr="00A213BE" w:rsidRDefault="00D9587E" w:rsidP="00D9587E">
      <w:pPr>
        <w:autoSpaceDE w:val="0"/>
        <w:autoSpaceDN w:val="0"/>
        <w:adjustRightInd w:val="0"/>
        <w:spacing w:before="120" w:after="120" w:line="240" w:lineRule="auto"/>
        <w:jc w:val="both"/>
        <w:rPr>
          <w:rFonts w:asciiTheme="minorHAnsi" w:hAnsiTheme="minorHAnsi"/>
        </w:rPr>
      </w:pPr>
      <w:r w:rsidRPr="00A213BE">
        <w:rPr>
          <w:rFonts w:asciiTheme="minorHAnsi" w:hAnsiTheme="minorHAnsi"/>
          <w:b/>
          <w:szCs w:val="22"/>
        </w:rPr>
        <w:t xml:space="preserve">W ramach Działania </w:t>
      </w:r>
      <w:r w:rsidR="00F74161">
        <w:rPr>
          <w:rFonts w:asciiTheme="minorHAnsi" w:hAnsiTheme="minorHAnsi"/>
          <w:b/>
          <w:szCs w:val="22"/>
        </w:rPr>
        <w:t>4</w:t>
      </w:r>
      <w:r w:rsidRPr="00A213BE">
        <w:rPr>
          <w:rFonts w:asciiTheme="minorHAnsi" w:hAnsiTheme="minorHAnsi"/>
          <w:b/>
          <w:szCs w:val="22"/>
        </w:rPr>
        <w:t xml:space="preserve">.1 </w:t>
      </w:r>
      <w:r w:rsidR="00F74161">
        <w:rPr>
          <w:rFonts w:asciiTheme="minorHAnsi" w:hAnsiTheme="minorHAnsi"/>
          <w:b/>
          <w:szCs w:val="22"/>
        </w:rPr>
        <w:t>określono poniższe wskaźniki</w:t>
      </w:r>
      <w:r w:rsidRPr="00A213BE">
        <w:rPr>
          <w:rFonts w:asciiTheme="minorHAnsi" w:hAnsiTheme="minorHAnsi"/>
          <w:b/>
          <w:szCs w:val="22"/>
        </w:rPr>
        <w:t xml:space="preserve"> o charakterze rezultatu bezpośredniego </w:t>
      </w:r>
      <w:r w:rsidR="00F74161">
        <w:rPr>
          <w:rFonts w:asciiTheme="minorHAnsi" w:hAnsiTheme="minorHAnsi"/>
          <w:b/>
          <w:szCs w:val="22"/>
        </w:rPr>
        <w:t>oraz wskaźniki horyzontalne, które mogą mieć zastosowanie: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9587E" w:rsidRPr="00A213BE" w:rsidTr="004E5A78">
        <w:trPr>
          <w:trHeight w:val="20"/>
          <w:jc w:val="center"/>
        </w:trPr>
        <w:tc>
          <w:tcPr>
            <w:tcW w:w="1189" w:type="pct"/>
            <w:shd w:val="clear" w:color="auto" w:fill="auto"/>
            <w:vAlign w:val="center"/>
          </w:tcPr>
          <w:p w:rsidR="00D9587E" w:rsidRPr="00A213BE" w:rsidRDefault="00D9587E" w:rsidP="004E5A78">
            <w:pPr>
              <w:spacing w:before="0" w:line="240" w:lineRule="auto"/>
              <w:jc w:val="center"/>
              <w:rPr>
                <w:rFonts w:asciiTheme="minorHAnsi" w:hAnsiTheme="minorHAnsi"/>
                <w:b/>
                <w:szCs w:val="22"/>
              </w:rPr>
            </w:pPr>
            <w:r w:rsidRPr="00A213BE">
              <w:rPr>
                <w:rFonts w:asciiTheme="minorHAnsi" w:hAnsiTheme="minorHAnsi"/>
                <w:b/>
                <w:szCs w:val="22"/>
              </w:rPr>
              <w:t>Nazwa wskaźnika rezultatu bezpośredniego</w:t>
            </w:r>
          </w:p>
        </w:tc>
        <w:tc>
          <w:tcPr>
            <w:tcW w:w="701"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061" w:type="pct"/>
            <w:shd w:val="clear" w:color="auto" w:fill="auto"/>
            <w:vAlign w:val="center"/>
          </w:tcPr>
          <w:p w:rsidR="00D9587E" w:rsidRPr="00A213BE" w:rsidRDefault="00D9587E" w:rsidP="004E5A78">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1049"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 którym określono wskaźnik</w:t>
            </w:r>
          </w:p>
        </w:tc>
      </w:tr>
      <w:tr w:rsidR="00F74161" w:rsidRPr="00A213BE" w:rsidTr="004E5A78">
        <w:trPr>
          <w:trHeight w:val="20"/>
          <w:jc w:val="center"/>
        </w:trPr>
        <w:tc>
          <w:tcPr>
            <w:tcW w:w="1189" w:type="pct"/>
            <w:shd w:val="clear" w:color="auto" w:fill="auto"/>
          </w:tcPr>
          <w:p w:rsidR="00F74161" w:rsidRPr="00A213BE" w:rsidRDefault="00F74161" w:rsidP="00F74161">
            <w:pPr>
              <w:pStyle w:val="Default"/>
              <w:rPr>
                <w:rFonts w:asciiTheme="minorHAnsi" w:hAnsiTheme="minorHAnsi" w:cs="ArialNarrow"/>
                <w:sz w:val="22"/>
                <w:szCs w:val="22"/>
              </w:rPr>
            </w:pPr>
            <w:r w:rsidRPr="00F74161">
              <w:rPr>
                <w:rFonts w:asciiTheme="minorHAnsi" w:hAnsiTheme="minorHAnsi" w:cs="ArialNarrow"/>
                <w:sz w:val="22"/>
                <w:szCs w:val="22"/>
              </w:rPr>
              <w:t xml:space="preserve">Dodatkowe możliwości przerobowe w zakresie recyklingu odpadów </w:t>
            </w:r>
          </w:p>
        </w:tc>
        <w:tc>
          <w:tcPr>
            <w:tcW w:w="701" w:type="pct"/>
          </w:tcPr>
          <w:p w:rsidR="00F74161" w:rsidRPr="00A213BE" w:rsidRDefault="00F74161" w:rsidP="004E5A78">
            <w:pPr>
              <w:spacing w:before="0" w:line="240" w:lineRule="auto"/>
              <w:rPr>
                <w:rFonts w:asciiTheme="minorHAnsi" w:hAnsiTheme="minorHAnsi" w:cs="ArialNarrow"/>
                <w:szCs w:val="22"/>
              </w:rPr>
            </w:pPr>
            <w:r w:rsidRPr="00F74161">
              <w:rPr>
                <w:rFonts w:asciiTheme="minorHAnsi" w:hAnsiTheme="minorHAnsi" w:cs="ArialNarrow"/>
                <w:szCs w:val="22"/>
              </w:rPr>
              <w:t>[tony/rok]</w:t>
            </w:r>
          </w:p>
        </w:tc>
        <w:tc>
          <w:tcPr>
            <w:tcW w:w="2061" w:type="pct"/>
            <w:shd w:val="clear" w:color="auto" w:fill="auto"/>
            <w:vAlign w:val="center"/>
          </w:tcPr>
          <w:p w:rsidR="00F74161" w:rsidRDefault="00940E88" w:rsidP="00940E88">
            <w:pPr>
              <w:pStyle w:val="Default"/>
              <w:rPr>
                <w:rFonts w:ascii="Arial Narrow" w:hAnsi="Arial Narrow" w:cs="Helv"/>
                <w:color w:val="333399"/>
                <w:sz w:val="18"/>
                <w:szCs w:val="18"/>
                <w:lang w:val="en-US"/>
              </w:rPr>
            </w:pPr>
            <w:r w:rsidRPr="001A6364">
              <w:rPr>
                <w:rFonts w:asciiTheme="minorHAnsi" w:hAnsiTheme="minorHAnsi" w:cs="ArialNarrow"/>
                <w:sz w:val="22"/>
                <w:szCs w:val="22"/>
                <w:lang w:val="en-US"/>
              </w:rPr>
              <w:t>Annual capacity of newly built waste recycling facilities. It also includes extension of  existing facilities.</w:t>
            </w:r>
            <w:r w:rsidRPr="00127979">
              <w:rPr>
                <w:rFonts w:ascii="Arial Narrow" w:hAnsi="Arial Narrow"/>
                <w:color w:val="333399"/>
                <w:sz w:val="18"/>
                <w:szCs w:val="18"/>
                <w:lang w:val="en-GB"/>
              </w:rPr>
              <w:t xml:space="preserve"> </w:t>
            </w:r>
            <w:r w:rsidRPr="00127979">
              <w:rPr>
                <w:rFonts w:ascii="Arial Narrow" w:hAnsi="Arial Narrow" w:cs="Helv"/>
                <w:color w:val="333399"/>
                <w:sz w:val="18"/>
                <w:szCs w:val="18"/>
                <w:lang w:val="en-US"/>
              </w:rPr>
              <w:t xml:space="preserve"> </w:t>
            </w:r>
          </w:p>
          <w:p w:rsidR="00940E88" w:rsidRDefault="00940E88" w:rsidP="00940E88">
            <w:pPr>
              <w:pStyle w:val="Default"/>
              <w:rPr>
                <w:rFonts w:ascii="Arial Narrow" w:hAnsi="Arial Narrow" w:cs="Helv"/>
                <w:color w:val="333399"/>
                <w:sz w:val="18"/>
                <w:szCs w:val="18"/>
                <w:lang w:val="en-US"/>
              </w:rPr>
            </w:pPr>
          </w:p>
          <w:p w:rsidR="00940E88" w:rsidRDefault="00940E88" w:rsidP="00BB238F">
            <w:pPr>
              <w:pStyle w:val="Default"/>
              <w:rPr>
                <w:rFonts w:asciiTheme="minorHAnsi" w:hAnsiTheme="minorHAnsi" w:cs="ArialNarrow"/>
                <w:sz w:val="22"/>
                <w:szCs w:val="22"/>
              </w:rPr>
            </w:pPr>
            <w:r>
              <w:rPr>
                <w:rFonts w:asciiTheme="minorHAnsi" w:hAnsiTheme="minorHAnsi" w:cs="ArialNarrow"/>
                <w:sz w:val="22"/>
                <w:szCs w:val="22"/>
              </w:rPr>
              <w:t>Tłumaczenie robocze:</w:t>
            </w:r>
          </w:p>
          <w:p w:rsidR="00940E88" w:rsidRPr="00BB238F" w:rsidRDefault="00940E88" w:rsidP="00BB238F">
            <w:pPr>
              <w:pStyle w:val="Default"/>
              <w:rPr>
                <w:rFonts w:asciiTheme="minorHAnsi" w:hAnsiTheme="minorHAnsi" w:cs="ArialNarrow"/>
                <w:sz w:val="22"/>
                <w:szCs w:val="22"/>
              </w:rPr>
            </w:pPr>
            <w:r w:rsidRPr="00BB238F">
              <w:rPr>
                <w:rFonts w:asciiTheme="minorHAnsi" w:hAnsiTheme="minorHAnsi" w:cs="ArialNarrow"/>
                <w:sz w:val="22"/>
                <w:szCs w:val="22"/>
              </w:rPr>
              <w:t xml:space="preserve">Dodatkowa roczna zdolność przerobowa nowo wybudowanych obiektów recyklingu odpadów. Obejmuje również rozbudowane </w:t>
            </w:r>
            <w:r w:rsidRPr="00BB238F">
              <w:rPr>
                <w:rFonts w:asciiTheme="minorHAnsi" w:hAnsiTheme="minorHAnsi" w:cs="ArialNarrow"/>
                <w:sz w:val="22"/>
                <w:szCs w:val="22"/>
              </w:rPr>
              <w:lastRenderedPageBreak/>
              <w:t>istniejące obiekty.</w:t>
            </w:r>
          </w:p>
          <w:p w:rsidR="00940E88" w:rsidRPr="00BB238F" w:rsidRDefault="00940E88" w:rsidP="00BB238F">
            <w:pPr>
              <w:pStyle w:val="Default"/>
              <w:rPr>
                <w:rFonts w:asciiTheme="minorHAnsi" w:hAnsiTheme="minorHAnsi" w:cs="ArialNarrow"/>
                <w:sz w:val="22"/>
                <w:szCs w:val="22"/>
              </w:rPr>
            </w:pPr>
          </w:p>
          <w:p w:rsidR="00940E88" w:rsidRPr="00BB238F" w:rsidRDefault="00940E88" w:rsidP="00BB238F">
            <w:pPr>
              <w:pStyle w:val="Default"/>
              <w:rPr>
                <w:rFonts w:asciiTheme="minorHAnsi" w:hAnsiTheme="minorHAnsi" w:cs="ArialNarrow"/>
                <w:i/>
                <w:sz w:val="22"/>
                <w:szCs w:val="22"/>
              </w:rPr>
            </w:pPr>
            <w:r w:rsidRPr="00BB238F">
              <w:rPr>
                <w:rFonts w:asciiTheme="minorHAnsi" w:hAnsiTheme="minorHAnsi" w:cs="ArialNarrow"/>
                <w:i/>
                <w:sz w:val="22"/>
                <w:szCs w:val="22"/>
              </w:rPr>
              <w:t>Wskaźnik odnosi się do mocy przerobowej, a nie do faktycznego rocznego przerobu.</w:t>
            </w:r>
          </w:p>
          <w:p w:rsidR="00940E88" w:rsidRPr="00BB238F" w:rsidRDefault="00940E88" w:rsidP="00940E88">
            <w:pPr>
              <w:pStyle w:val="Default"/>
              <w:rPr>
                <w:rFonts w:asciiTheme="minorHAnsi" w:hAnsiTheme="minorHAnsi" w:cs="ArialNarrow"/>
                <w:i/>
                <w:sz w:val="22"/>
                <w:szCs w:val="22"/>
              </w:rPr>
            </w:pPr>
            <w:r w:rsidRPr="00BB238F">
              <w:rPr>
                <w:rFonts w:asciiTheme="minorHAnsi" w:hAnsiTheme="minorHAnsi" w:cs="ArialNarrow"/>
                <w:i/>
                <w:sz w:val="22"/>
                <w:szCs w:val="22"/>
              </w:rPr>
              <w:t>Wartość wskaźnika oznacza różnicę możliwości przerobowych po realizacji projektu w stosunku do możliwości przed realizacją projektu. Obliczając wskaźnik należy brać pod uwagę pracę instalacji ze 100% sprawnością, a nie rzeczywistą masę poddanych recyklingowi odpadów.</w:t>
            </w:r>
          </w:p>
          <w:p w:rsidR="00940E88" w:rsidRPr="00452B9C" w:rsidRDefault="00BB238F" w:rsidP="00BB238F">
            <w:pPr>
              <w:pStyle w:val="Default"/>
              <w:rPr>
                <w:rFonts w:asciiTheme="minorHAnsi" w:hAnsiTheme="minorHAnsi"/>
                <w:szCs w:val="22"/>
              </w:rPr>
            </w:pPr>
            <w:r w:rsidRPr="00BB238F">
              <w:rPr>
                <w:rFonts w:asciiTheme="minorHAnsi" w:hAnsiTheme="minorHAnsi" w:cs="ArialNarrow"/>
                <w:i/>
                <w:sz w:val="22"/>
                <w:szCs w:val="22"/>
              </w:rPr>
              <w:t xml:space="preserve">Wskaźnik wykazywany bezpośrednio po zrealizowaniu inwestycji </w:t>
            </w:r>
            <w:r w:rsidR="00940E88" w:rsidRPr="00BB238F">
              <w:rPr>
                <w:rFonts w:asciiTheme="minorHAnsi" w:hAnsiTheme="minorHAnsi" w:cs="ArialNarrow"/>
                <w:i/>
                <w:sz w:val="22"/>
                <w:szCs w:val="22"/>
              </w:rPr>
              <w:t>(wskaźnik odnosi się do mocy przerobowej, a nie do faktycznego rocznego przerobu</w:t>
            </w:r>
          </w:p>
        </w:tc>
        <w:tc>
          <w:tcPr>
            <w:tcW w:w="1049" w:type="pct"/>
          </w:tcPr>
          <w:p w:rsidR="00F74161" w:rsidRPr="00A213BE" w:rsidRDefault="00DE68AF" w:rsidP="00DE68AF">
            <w:pPr>
              <w:spacing w:line="240" w:lineRule="auto"/>
              <w:jc w:val="both"/>
              <w:rPr>
                <w:rFonts w:asciiTheme="minorHAnsi" w:hAnsiTheme="minorHAnsi"/>
                <w:szCs w:val="22"/>
              </w:rPr>
            </w:pPr>
            <w:r>
              <w:rPr>
                <w:rFonts w:asciiTheme="minorHAnsi" w:hAnsiTheme="minorHAnsi"/>
                <w:sz w:val="20"/>
              </w:rPr>
              <w:lastRenderedPageBreak/>
              <w:t xml:space="preserve">RPO WD 2014-2020 </w:t>
            </w:r>
          </w:p>
        </w:tc>
      </w:tr>
      <w:tr w:rsidR="00F74161" w:rsidRPr="00A213BE" w:rsidTr="004E5A78">
        <w:trPr>
          <w:trHeight w:val="20"/>
          <w:jc w:val="center"/>
        </w:trPr>
        <w:tc>
          <w:tcPr>
            <w:tcW w:w="1189" w:type="pct"/>
            <w:shd w:val="clear" w:color="auto" w:fill="auto"/>
          </w:tcPr>
          <w:p w:rsidR="00F74161" w:rsidRPr="00A213BE" w:rsidRDefault="00F74161" w:rsidP="00F74161">
            <w:pPr>
              <w:pStyle w:val="Default"/>
              <w:rPr>
                <w:rFonts w:asciiTheme="minorHAnsi" w:hAnsiTheme="minorHAnsi" w:cs="ArialNarrow"/>
                <w:sz w:val="22"/>
                <w:szCs w:val="22"/>
              </w:rPr>
            </w:pPr>
            <w:r w:rsidRPr="00F74161">
              <w:rPr>
                <w:rFonts w:asciiTheme="minorHAnsi" w:hAnsiTheme="minorHAnsi" w:cs="ArialNarrow"/>
                <w:sz w:val="22"/>
                <w:szCs w:val="22"/>
              </w:rPr>
              <w:lastRenderedPageBreak/>
              <w:t xml:space="preserve">Moc przerobowa zakładu zagospodarowania odpadów </w:t>
            </w:r>
          </w:p>
          <w:p w:rsidR="00F74161" w:rsidRPr="00A213BE" w:rsidRDefault="00F74161" w:rsidP="00F74161">
            <w:pPr>
              <w:pStyle w:val="Default"/>
              <w:rPr>
                <w:rFonts w:asciiTheme="minorHAnsi" w:hAnsiTheme="minorHAnsi" w:cs="ArialNarrow"/>
                <w:sz w:val="22"/>
                <w:szCs w:val="22"/>
              </w:rPr>
            </w:pPr>
          </w:p>
        </w:tc>
        <w:tc>
          <w:tcPr>
            <w:tcW w:w="701" w:type="pct"/>
          </w:tcPr>
          <w:p w:rsidR="00F74161" w:rsidRPr="00A213BE" w:rsidRDefault="00F74161" w:rsidP="004E5A78">
            <w:pPr>
              <w:spacing w:before="0" w:line="240" w:lineRule="auto"/>
              <w:rPr>
                <w:rFonts w:asciiTheme="minorHAnsi" w:hAnsiTheme="minorHAnsi" w:cs="ArialNarrow"/>
                <w:szCs w:val="22"/>
              </w:rPr>
            </w:pPr>
            <w:r w:rsidRPr="00F74161">
              <w:rPr>
                <w:rFonts w:asciiTheme="minorHAnsi" w:hAnsiTheme="minorHAnsi" w:cs="ArialNarrow"/>
                <w:szCs w:val="22"/>
              </w:rPr>
              <w:t>[Mg/rok]</w:t>
            </w:r>
          </w:p>
        </w:tc>
        <w:tc>
          <w:tcPr>
            <w:tcW w:w="2061" w:type="pct"/>
            <w:shd w:val="clear" w:color="auto" w:fill="auto"/>
            <w:vAlign w:val="center"/>
          </w:tcPr>
          <w:p w:rsidR="00F74161" w:rsidRDefault="006D1C52" w:rsidP="006D1C52">
            <w:pPr>
              <w:pStyle w:val="Default"/>
              <w:rPr>
                <w:rFonts w:asciiTheme="minorHAnsi" w:hAnsiTheme="minorHAnsi" w:cs="ArialNarrow"/>
                <w:sz w:val="22"/>
                <w:szCs w:val="22"/>
              </w:rPr>
            </w:pPr>
            <w:r w:rsidRPr="006D1C52">
              <w:rPr>
                <w:rFonts w:asciiTheme="minorHAnsi" w:hAnsiTheme="minorHAnsi" w:cs="ArialNarrow"/>
                <w:sz w:val="22"/>
                <w:szCs w:val="22"/>
              </w:rPr>
              <w:t>Masa odpadów, jaką może przyjąć do odzysku i/lub unieszkodliwiania w ciągu roku zakład zagospodarowania odpadów (ZZO), który otrzymał wsparcie w ramach dofinansowanego projektu</w:t>
            </w:r>
            <w:r>
              <w:rPr>
                <w:rFonts w:asciiTheme="minorHAnsi" w:hAnsiTheme="minorHAnsi" w:cs="ArialNarrow"/>
                <w:sz w:val="22"/>
                <w:szCs w:val="22"/>
              </w:rPr>
              <w:t>.</w:t>
            </w:r>
          </w:p>
          <w:p w:rsidR="006D1C52" w:rsidRPr="006D1C52" w:rsidRDefault="006D1C52" w:rsidP="006D1C52">
            <w:pPr>
              <w:spacing w:line="240" w:lineRule="auto"/>
              <w:rPr>
                <w:rFonts w:asciiTheme="minorHAnsi" w:hAnsiTheme="minorHAnsi" w:cs="ArialNarrow"/>
                <w:szCs w:val="22"/>
              </w:rPr>
            </w:pPr>
            <w:r w:rsidRPr="006D1C52">
              <w:rPr>
                <w:rFonts w:asciiTheme="minorHAnsi" w:hAnsiTheme="minorHAnsi" w:cs="ArialNarrow"/>
                <w:szCs w:val="22"/>
              </w:rPr>
              <w:t>W przypadku projektu dotyczącego budowy ZZO,  moc przerobowa oznacza  masę odpadów, jakie zakład ma możliwości przerobienia w ciągu jednego roku przy założeniu 100% wydajności pracy instalacji.</w:t>
            </w:r>
          </w:p>
          <w:p w:rsidR="006D1C52" w:rsidRDefault="006D1C52" w:rsidP="006D1C52">
            <w:pPr>
              <w:pStyle w:val="Default"/>
              <w:rPr>
                <w:rFonts w:asciiTheme="minorHAnsi" w:hAnsiTheme="minorHAnsi" w:cs="ArialNarrow"/>
                <w:sz w:val="22"/>
                <w:szCs w:val="22"/>
              </w:rPr>
            </w:pPr>
            <w:r w:rsidRPr="006D1C52">
              <w:rPr>
                <w:rFonts w:asciiTheme="minorHAnsi" w:hAnsiTheme="minorHAnsi" w:cs="ArialNarrow"/>
                <w:sz w:val="22"/>
                <w:szCs w:val="22"/>
              </w:rPr>
              <w:t>W przypadku projektu dotyczącego rozbudowy ZZO, moc przerobowa oznacza różnicę, pomiędzy stanem po zakończeniu realizacji inwestycji a stanem wyjściowym masy odpadów, jakie zakład ma możliwości przerobienia w ciągu jednego roku przy założeniu 100% wydajności pracy instalacji</w:t>
            </w:r>
            <w:r>
              <w:rPr>
                <w:rFonts w:asciiTheme="minorHAnsi" w:hAnsiTheme="minorHAnsi" w:cs="ArialNarrow"/>
                <w:sz w:val="22"/>
                <w:szCs w:val="22"/>
              </w:rPr>
              <w:t>.</w:t>
            </w:r>
          </w:p>
          <w:p w:rsidR="006D1C52" w:rsidRPr="006D1C52" w:rsidRDefault="00DE68AF" w:rsidP="00DE68AF">
            <w:pPr>
              <w:pStyle w:val="Default"/>
              <w:rPr>
                <w:rFonts w:asciiTheme="minorHAnsi" w:hAnsiTheme="minorHAnsi" w:cs="ArialNarrow"/>
                <w:sz w:val="22"/>
                <w:szCs w:val="22"/>
              </w:rPr>
            </w:pPr>
            <w:r>
              <w:rPr>
                <w:rFonts w:asciiTheme="minorHAnsi" w:hAnsiTheme="minorHAnsi" w:cs="ArialNarrow"/>
                <w:sz w:val="22"/>
                <w:szCs w:val="22"/>
              </w:rPr>
              <w:t>Wskaźnik wykazywany</w:t>
            </w:r>
            <w:r w:rsidRPr="00DE68AF">
              <w:rPr>
                <w:rFonts w:asciiTheme="minorHAnsi" w:hAnsiTheme="minorHAnsi" w:cs="ArialNarrow"/>
                <w:sz w:val="22"/>
                <w:szCs w:val="22"/>
              </w:rPr>
              <w:t xml:space="preserve"> bezpośrednio po zrealizowaniu inwestycji (wskaźnik odnosi się do mocy przerobowej, a nie do faktycznego rocznego przerobu</w:t>
            </w:r>
            <w:r>
              <w:rPr>
                <w:rFonts w:asciiTheme="minorHAnsi" w:hAnsiTheme="minorHAnsi" w:cs="ArialNarrow"/>
                <w:sz w:val="22"/>
                <w:szCs w:val="22"/>
              </w:rPr>
              <w:t>).</w:t>
            </w:r>
          </w:p>
        </w:tc>
        <w:tc>
          <w:tcPr>
            <w:tcW w:w="1049" w:type="pct"/>
          </w:tcPr>
          <w:p w:rsidR="00F74161" w:rsidRPr="00A213BE" w:rsidRDefault="00F74161" w:rsidP="004E5A78">
            <w:pPr>
              <w:spacing w:line="240" w:lineRule="auto"/>
              <w:jc w:val="both"/>
              <w:rPr>
                <w:rFonts w:asciiTheme="minorHAnsi" w:hAnsiTheme="minorHAnsi"/>
                <w:szCs w:val="22"/>
              </w:rPr>
            </w:pPr>
            <w:proofErr w:type="spellStart"/>
            <w:r w:rsidRPr="00EF0701">
              <w:rPr>
                <w:rFonts w:asciiTheme="minorHAnsi" w:hAnsiTheme="minorHAnsi"/>
                <w:sz w:val="20"/>
              </w:rPr>
              <w:t>SzOOP</w:t>
            </w:r>
            <w:proofErr w:type="spellEnd"/>
            <w:r w:rsidR="00BB238F">
              <w:rPr>
                <w:rFonts w:asciiTheme="minorHAnsi" w:hAnsiTheme="minorHAnsi"/>
                <w:sz w:val="20"/>
              </w:rPr>
              <w:t xml:space="preserve"> RPO WD 2014-2020</w:t>
            </w:r>
          </w:p>
        </w:tc>
      </w:tr>
      <w:tr w:rsidR="00F74161" w:rsidRPr="00A213BE" w:rsidTr="004E5A78">
        <w:trPr>
          <w:trHeight w:val="20"/>
          <w:jc w:val="center"/>
        </w:trPr>
        <w:tc>
          <w:tcPr>
            <w:tcW w:w="1189" w:type="pct"/>
            <w:shd w:val="clear" w:color="auto" w:fill="auto"/>
          </w:tcPr>
          <w:p w:rsidR="00F74161" w:rsidRPr="00A213BE" w:rsidRDefault="00F74161" w:rsidP="00F74161">
            <w:pPr>
              <w:pStyle w:val="Default"/>
              <w:rPr>
                <w:rFonts w:asciiTheme="minorHAnsi" w:hAnsiTheme="minorHAnsi" w:cs="ArialNarrow"/>
                <w:sz w:val="22"/>
                <w:szCs w:val="22"/>
              </w:rPr>
            </w:pPr>
            <w:r w:rsidRPr="00F74161">
              <w:rPr>
                <w:rFonts w:asciiTheme="minorHAnsi" w:hAnsiTheme="minorHAnsi" w:cs="ArialNarrow"/>
                <w:sz w:val="22"/>
                <w:szCs w:val="22"/>
              </w:rPr>
              <w:t xml:space="preserve">Liczba osób objętych systemem zagospodarowania odpadów </w:t>
            </w:r>
          </w:p>
        </w:tc>
        <w:tc>
          <w:tcPr>
            <w:tcW w:w="701" w:type="pct"/>
          </w:tcPr>
          <w:p w:rsidR="00F74161" w:rsidRPr="00A213BE" w:rsidRDefault="00F74161" w:rsidP="004E5A78">
            <w:pPr>
              <w:spacing w:before="0" w:line="240" w:lineRule="auto"/>
              <w:rPr>
                <w:rFonts w:asciiTheme="minorHAnsi" w:hAnsiTheme="minorHAnsi" w:cs="ArialNarrow"/>
                <w:szCs w:val="22"/>
              </w:rPr>
            </w:pPr>
            <w:r w:rsidRPr="00F74161">
              <w:rPr>
                <w:rFonts w:asciiTheme="minorHAnsi" w:hAnsiTheme="minorHAnsi" w:cs="ArialNarrow"/>
                <w:szCs w:val="22"/>
              </w:rPr>
              <w:t>[osoby]</w:t>
            </w:r>
          </w:p>
        </w:tc>
        <w:tc>
          <w:tcPr>
            <w:tcW w:w="2061" w:type="pct"/>
            <w:shd w:val="clear" w:color="auto" w:fill="auto"/>
            <w:vAlign w:val="center"/>
          </w:tcPr>
          <w:p w:rsidR="00F74161" w:rsidRDefault="00683D82" w:rsidP="00683D82">
            <w:pPr>
              <w:spacing w:line="240" w:lineRule="auto"/>
              <w:jc w:val="both"/>
              <w:rPr>
                <w:rFonts w:asciiTheme="minorHAnsi" w:hAnsiTheme="minorHAnsi"/>
                <w:szCs w:val="22"/>
              </w:rPr>
            </w:pPr>
            <w:r>
              <w:rPr>
                <w:rFonts w:asciiTheme="minorHAnsi" w:hAnsiTheme="minorHAnsi"/>
                <w:szCs w:val="22"/>
              </w:rPr>
              <w:t xml:space="preserve">Zgodnie z </w:t>
            </w:r>
            <w:r w:rsidRPr="00683D82">
              <w:rPr>
                <w:rFonts w:asciiTheme="minorHAnsi" w:hAnsiTheme="minorHAnsi"/>
                <w:szCs w:val="22"/>
              </w:rPr>
              <w:t>Ustawa z dnia 14 grudnia 2012 r. o odpadach</w:t>
            </w:r>
            <w:r>
              <w:rPr>
                <w:rFonts w:asciiTheme="minorHAnsi" w:hAnsiTheme="minorHAnsi"/>
                <w:szCs w:val="22"/>
              </w:rPr>
              <w:t xml:space="preserve"> art. 3 pkt 2 przez </w:t>
            </w:r>
            <w:r w:rsidRPr="00683D82">
              <w:rPr>
                <w:rFonts w:asciiTheme="minorHAnsi" w:hAnsiTheme="minorHAnsi"/>
                <w:szCs w:val="22"/>
              </w:rPr>
              <w:t>gospodarowani</w:t>
            </w:r>
            <w:r>
              <w:rPr>
                <w:rFonts w:asciiTheme="minorHAnsi" w:hAnsiTheme="minorHAnsi"/>
                <w:szCs w:val="22"/>
              </w:rPr>
              <w:t>e</w:t>
            </w:r>
            <w:r w:rsidRPr="00683D82">
              <w:rPr>
                <w:rFonts w:asciiTheme="minorHAnsi" w:hAnsiTheme="minorHAnsi"/>
                <w:szCs w:val="22"/>
              </w:rPr>
              <w:t xml:space="preserve"> odpadami – rozumie się zbieranie, transport, przetwarzanie odpadów, łącznie z nadzorem nad tego rodzaju działaniami, jak również późniejsze postępowanie z miejscami unieszkodliwiania odpadów oraz działania wykonywane w charakterze </w:t>
            </w:r>
            <w:r w:rsidRPr="00683D82">
              <w:rPr>
                <w:rFonts w:asciiTheme="minorHAnsi" w:hAnsiTheme="minorHAnsi"/>
                <w:szCs w:val="22"/>
              </w:rPr>
              <w:lastRenderedPageBreak/>
              <w:t>sprzedawcy odpadów lub pośrednika w obrocie odpadami</w:t>
            </w:r>
            <w:r>
              <w:rPr>
                <w:rFonts w:asciiTheme="minorHAnsi" w:hAnsiTheme="minorHAnsi"/>
                <w:szCs w:val="22"/>
              </w:rPr>
              <w:t xml:space="preserve">. </w:t>
            </w:r>
          </w:p>
          <w:p w:rsidR="00683D82" w:rsidRPr="00452B9C" w:rsidRDefault="00683D82" w:rsidP="00683D82">
            <w:pPr>
              <w:spacing w:line="240" w:lineRule="auto"/>
              <w:jc w:val="both"/>
              <w:rPr>
                <w:rFonts w:asciiTheme="minorHAnsi" w:hAnsiTheme="minorHAnsi"/>
                <w:szCs w:val="22"/>
              </w:rPr>
            </w:pPr>
            <w:r>
              <w:rPr>
                <w:rFonts w:asciiTheme="minorHAnsi" w:hAnsiTheme="minorHAnsi"/>
                <w:szCs w:val="22"/>
              </w:rPr>
              <w:t xml:space="preserve">Mając na uwadze powyższy zapis aby określić Liczbę osób objętych systemem zagospodarowania odpadów należy odnieść się do liczby osób zamieszkałych w danej </w:t>
            </w:r>
            <w:r w:rsidR="000E2863">
              <w:rPr>
                <w:rFonts w:asciiTheme="minorHAnsi" w:hAnsiTheme="minorHAnsi"/>
                <w:szCs w:val="22"/>
              </w:rPr>
              <w:t>gminie</w:t>
            </w:r>
            <w:r>
              <w:rPr>
                <w:rFonts w:asciiTheme="minorHAnsi" w:hAnsiTheme="minorHAnsi"/>
                <w:szCs w:val="22"/>
              </w:rPr>
              <w:t xml:space="preserve"> np. poprzez </w:t>
            </w:r>
            <w:r w:rsidR="000E2863">
              <w:rPr>
                <w:rFonts w:asciiTheme="minorHAnsi" w:hAnsiTheme="minorHAnsi"/>
                <w:szCs w:val="22"/>
              </w:rPr>
              <w:t>dane z deklaracji za gospodarowanie odpadami.</w:t>
            </w:r>
          </w:p>
        </w:tc>
        <w:tc>
          <w:tcPr>
            <w:tcW w:w="1049" w:type="pct"/>
          </w:tcPr>
          <w:p w:rsidR="00F74161" w:rsidRPr="00A213BE" w:rsidRDefault="00F74161" w:rsidP="004E5A78">
            <w:pPr>
              <w:spacing w:line="240" w:lineRule="auto"/>
              <w:jc w:val="both"/>
              <w:rPr>
                <w:rFonts w:asciiTheme="minorHAnsi" w:hAnsiTheme="minorHAnsi"/>
                <w:szCs w:val="22"/>
              </w:rPr>
            </w:pPr>
            <w:proofErr w:type="spellStart"/>
            <w:r w:rsidRPr="00EF0701">
              <w:rPr>
                <w:rFonts w:asciiTheme="minorHAnsi" w:hAnsiTheme="minorHAnsi"/>
                <w:sz w:val="20"/>
              </w:rPr>
              <w:lastRenderedPageBreak/>
              <w:t>SzOOP</w:t>
            </w:r>
            <w:proofErr w:type="spellEnd"/>
            <w:r w:rsidR="00BB238F">
              <w:rPr>
                <w:rFonts w:asciiTheme="minorHAnsi" w:hAnsiTheme="minorHAnsi"/>
                <w:sz w:val="20"/>
              </w:rPr>
              <w:t xml:space="preserve"> RPO WD 2014-2020</w:t>
            </w:r>
          </w:p>
        </w:tc>
      </w:tr>
      <w:tr w:rsidR="00F74161" w:rsidRPr="00A213BE" w:rsidTr="004E5A78">
        <w:trPr>
          <w:trHeight w:val="20"/>
          <w:jc w:val="center"/>
        </w:trPr>
        <w:tc>
          <w:tcPr>
            <w:tcW w:w="1189" w:type="pct"/>
            <w:shd w:val="clear" w:color="auto" w:fill="auto"/>
          </w:tcPr>
          <w:p w:rsidR="00F74161" w:rsidRPr="00A213BE" w:rsidRDefault="00F74161" w:rsidP="00F74161">
            <w:pPr>
              <w:pStyle w:val="Default"/>
              <w:rPr>
                <w:rFonts w:asciiTheme="minorHAnsi" w:hAnsiTheme="minorHAnsi" w:cs="ArialNarrow"/>
                <w:sz w:val="22"/>
                <w:szCs w:val="22"/>
              </w:rPr>
            </w:pPr>
            <w:r w:rsidRPr="00F74161">
              <w:rPr>
                <w:rFonts w:asciiTheme="minorHAnsi" w:hAnsiTheme="minorHAnsi" w:cs="ArialNarrow"/>
                <w:sz w:val="22"/>
                <w:szCs w:val="22"/>
              </w:rPr>
              <w:lastRenderedPageBreak/>
              <w:t xml:space="preserve">Liczba osób objętych selektywnym zbieraniem odpadów </w:t>
            </w:r>
          </w:p>
        </w:tc>
        <w:tc>
          <w:tcPr>
            <w:tcW w:w="701" w:type="pct"/>
          </w:tcPr>
          <w:p w:rsidR="00F74161" w:rsidRPr="00A213BE" w:rsidRDefault="00F74161" w:rsidP="004E5A78">
            <w:pPr>
              <w:spacing w:before="0" w:line="240" w:lineRule="auto"/>
              <w:rPr>
                <w:rFonts w:asciiTheme="minorHAnsi" w:hAnsiTheme="minorHAnsi" w:cs="ArialNarrow"/>
                <w:szCs w:val="22"/>
              </w:rPr>
            </w:pPr>
            <w:r w:rsidRPr="00F74161">
              <w:rPr>
                <w:rFonts w:asciiTheme="minorHAnsi" w:hAnsiTheme="minorHAnsi" w:cs="ArialNarrow"/>
                <w:szCs w:val="22"/>
              </w:rPr>
              <w:t>[osoby]</w:t>
            </w:r>
          </w:p>
        </w:tc>
        <w:tc>
          <w:tcPr>
            <w:tcW w:w="2061" w:type="pct"/>
            <w:shd w:val="clear" w:color="auto" w:fill="auto"/>
            <w:vAlign w:val="center"/>
          </w:tcPr>
          <w:p w:rsidR="00940E88" w:rsidRPr="00940E88" w:rsidRDefault="00940E88" w:rsidP="00940E88">
            <w:pPr>
              <w:pStyle w:val="Default"/>
              <w:rPr>
                <w:rFonts w:asciiTheme="minorHAnsi" w:hAnsiTheme="minorHAnsi" w:cs="ArialNarrow"/>
                <w:sz w:val="22"/>
                <w:szCs w:val="22"/>
              </w:rPr>
            </w:pPr>
            <w:r w:rsidRPr="00940E88">
              <w:rPr>
                <w:rFonts w:asciiTheme="minorHAnsi" w:hAnsiTheme="minorHAnsi" w:cs="ArialNarrow"/>
                <w:sz w:val="22"/>
                <w:szCs w:val="22"/>
              </w:rPr>
              <w:t xml:space="preserve">Liczba osób objętych selektywnym zbieraniem odpadów w związku z eksploatacją Punktów Selektywnego Zbierania Odpadów Komunalnych [Ustawa z dnia 13 września 1996 r. o utrzymaniu </w:t>
            </w:r>
            <w:r>
              <w:rPr>
                <w:rFonts w:asciiTheme="minorHAnsi" w:hAnsiTheme="minorHAnsi" w:cs="ArialNarrow"/>
                <w:sz w:val="22"/>
                <w:szCs w:val="22"/>
              </w:rPr>
              <w:t>czystości i porządku w gminach</w:t>
            </w:r>
            <w:r w:rsidRPr="00940E88">
              <w:rPr>
                <w:rFonts w:asciiTheme="minorHAnsi" w:hAnsiTheme="minorHAnsi" w:cs="ArialNarrow"/>
                <w:sz w:val="22"/>
                <w:szCs w:val="22"/>
              </w:rPr>
              <w:t xml:space="preserve">]. </w:t>
            </w:r>
          </w:p>
          <w:p w:rsidR="00F74161" w:rsidRPr="00940E88" w:rsidRDefault="00940E88" w:rsidP="00940E88">
            <w:pPr>
              <w:pStyle w:val="Default"/>
              <w:rPr>
                <w:rFonts w:asciiTheme="minorHAnsi" w:hAnsiTheme="minorHAnsi" w:cs="ArialNarrow"/>
                <w:sz w:val="22"/>
                <w:szCs w:val="22"/>
              </w:rPr>
            </w:pPr>
            <w:r w:rsidRPr="00940E88">
              <w:rPr>
                <w:rFonts w:asciiTheme="minorHAnsi" w:hAnsiTheme="minorHAnsi" w:cs="ArialNarrow"/>
                <w:sz w:val="22"/>
                <w:szCs w:val="22"/>
              </w:rPr>
              <w:t>Wsparcie może polegać na budowie, przebudowie, rozbudowie, remoncie lub wyposażeniu obiektu</w:t>
            </w:r>
          </w:p>
          <w:p w:rsidR="00940E88" w:rsidRPr="00940E88" w:rsidRDefault="00940E88" w:rsidP="00940E88">
            <w:pPr>
              <w:pStyle w:val="Default"/>
              <w:rPr>
                <w:rFonts w:asciiTheme="minorHAnsi" w:hAnsiTheme="minorHAnsi"/>
                <w:i/>
                <w:szCs w:val="22"/>
              </w:rPr>
            </w:pPr>
            <w:r w:rsidRPr="00940E88">
              <w:rPr>
                <w:rFonts w:asciiTheme="minorHAnsi" w:hAnsiTheme="minorHAnsi" w:cs="ArialNarrow"/>
                <w:i/>
                <w:sz w:val="22"/>
                <w:szCs w:val="22"/>
              </w:rPr>
              <w:t>Zgodnie z Art. 23 ustawy z dnia 14 grudnia 2012 r.</w:t>
            </w:r>
            <w:r>
              <w:rPr>
                <w:rFonts w:asciiTheme="minorHAnsi" w:hAnsiTheme="minorHAnsi" w:cs="ArialNarrow"/>
                <w:i/>
                <w:sz w:val="22"/>
                <w:szCs w:val="22"/>
              </w:rPr>
              <w:t xml:space="preserve"> o </w:t>
            </w:r>
            <w:r w:rsidRPr="00940E88">
              <w:rPr>
                <w:rFonts w:asciiTheme="minorHAnsi" w:hAnsiTheme="minorHAnsi" w:cs="ArialNarrow"/>
                <w:i/>
                <w:sz w:val="22"/>
                <w:szCs w:val="22"/>
              </w:rPr>
              <w:t xml:space="preserve"> odpadach, selektywnym zbieraniem odpadów komunalnych objęci są wszyscy mieszkańcy kraju, stąd należy </w:t>
            </w:r>
            <w:r>
              <w:rPr>
                <w:rFonts w:asciiTheme="minorHAnsi" w:hAnsiTheme="minorHAnsi" w:cs="ArialNarrow"/>
                <w:i/>
                <w:sz w:val="22"/>
                <w:szCs w:val="22"/>
              </w:rPr>
              <w:t xml:space="preserve">interpretować wskaźnik w odniesieniu </w:t>
            </w:r>
            <w:r w:rsidRPr="00940E88">
              <w:rPr>
                <w:rFonts w:asciiTheme="minorHAnsi" w:hAnsiTheme="minorHAnsi" w:cs="ArialNarrow"/>
                <w:i/>
                <w:sz w:val="22"/>
                <w:szCs w:val="22"/>
              </w:rPr>
              <w:t xml:space="preserve">wyłącznie </w:t>
            </w:r>
            <w:r>
              <w:rPr>
                <w:rFonts w:asciiTheme="minorHAnsi" w:hAnsiTheme="minorHAnsi" w:cs="ArialNarrow"/>
                <w:i/>
                <w:sz w:val="22"/>
                <w:szCs w:val="22"/>
              </w:rPr>
              <w:t>d</w:t>
            </w:r>
            <w:r w:rsidRPr="00940E88">
              <w:rPr>
                <w:rFonts w:asciiTheme="minorHAnsi" w:hAnsiTheme="minorHAnsi" w:cs="ArialNarrow"/>
                <w:i/>
                <w:sz w:val="22"/>
                <w:szCs w:val="22"/>
              </w:rPr>
              <w:t>o wspartych Punktó</w:t>
            </w:r>
            <w:r>
              <w:rPr>
                <w:rFonts w:asciiTheme="minorHAnsi" w:hAnsiTheme="minorHAnsi" w:cs="ArialNarrow"/>
                <w:i/>
                <w:sz w:val="22"/>
                <w:szCs w:val="22"/>
              </w:rPr>
              <w:t>w</w:t>
            </w:r>
            <w:r w:rsidRPr="00940E88">
              <w:rPr>
                <w:rFonts w:asciiTheme="minorHAnsi" w:hAnsiTheme="minorHAnsi" w:cs="ArialNarrow"/>
                <w:i/>
                <w:sz w:val="22"/>
                <w:szCs w:val="22"/>
              </w:rPr>
              <w:t xml:space="preserve"> Selektywnego Zbierania Odpadów Komunalnych.</w:t>
            </w:r>
          </w:p>
        </w:tc>
        <w:tc>
          <w:tcPr>
            <w:tcW w:w="1049" w:type="pct"/>
          </w:tcPr>
          <w:p w:rsidR="00F74161" w:rsidRPr="00A213BE" w:rsidRDefault="00F74161" w:rsidP="004E5A78">
            <w:pPr>
              <w:spacing w:line="240" w:lineRule="auto"/>
              <w:jc w:val="both"/>
              <w:rPr>
                <w:rFonts w:asciiTheme="minorHAnsi" w:hAnsiTheme="minorHAnsi"/>
                <w:szCs w:val="22"/>
              </w:rPr>
            </w:pPr>
            <w:proofErr w:type="spellStart"/>
            <w:r w:rsidRPr="00EF0701">
              <w:rPr>
                <w:rFonts w:asciiTheme="minorHAnsi" w:hAnsiTheme="minorHAnsi"/>
                <w:sz w:val="20"/>
              </w:rPr>
              <w:t>SzOOP</w:t>
            </w:r>
            <w:proofErr w:type="spellEnd"/>
            <w:r w:rsidR="00BB238F">
              <w:rPr>
                <w:rFonts w:asciiTheme="minorHAnsi" w:hAnsiTheme="minorHAnsi"/>
                <w:sz w:val="20"/>
              </w:rPr>
              <w:t xml:space="preserve"> RPO WD 2014-2020</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Wzrost zatrudnienia we wspieranych przedsiębiorstwach 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Default="00D9587E" w:rsidP="004E5A78">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 xml:space="preserve">w przedsiębiorstwie oznacza, że wartość wskaźnika jest równa zero, co traktuje się jako wyrównanie miejsc pracy, a nie </w:t>
            </w:r>
            <w:r w:rsidRPr="00452B9C">
              <w:rPr>
                <w:rFonts w:asciiTheme="minorHAnsi" w:hAnsiTheme="minorHAnsi"/>
              </w:rPr>
              <w:lastRenderedPageBreak/>
              <w:t>wzrost. Nie wlicza się miejsc pracy, np. utrzymanych dzięki realizacji projektu.</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9587E" w:rsidRPr="00A213BE" w:rsidRDefault="00D9587E" w:rsidP="004E5A78">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9587E" w:rsidRPr="00A213BE"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D9587E" w:rsidRPr="00452B9C"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w:t>
            </w:r>
            <w:r w:rsidRPr="00A213BE">
              <w:rPr>
                <w:rFonts w:asciiTheme="minorHAnsi" w:hAnsiTheme="minorHAnsi"/>
                <w:szCs w:val="22"/>
                <w:lang w:val="en-US"/>
              </w:rPr>
              <w:lastRenderedPageBreak/>
              <w:t xml:space="preserve">standards. </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lastRenderedPageBreak/>
              <w:t>RPO WD 2014-2020</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lastRenderedPageBreak/>
              <w:t>Wzrost zatrudnienia we wspieranych podmiotach (innych niż przedsiębiorstwa)</w:t>
            </w:r>
          </w:p>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spacing w:line="240" w:lineRule="auto"/>
              <w:jc w:val="both"/>
              <w:rPr>
                <w:rFonts w:asciiTheme="minorHAnsi" w:hAnsiTheme="minorHAnsi"/>
                <w:color w:val="333399"/>
                <w:szCs w:val="22"/>
              </w:rPr>
            </w:pPr>
            <w:r w:rsidRPr="00A213BE">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Liczba utrzymanych miejsc pracy</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A213BE">
              <w:rPr>
                <w:rFonts w:asciiTheme="minorHAnsi" w:eastAsiaTheme="minorHAnsi" w:hAnsiTheme="minorHAnsi" w:cstheme="minorBidi"/>
                <w:sz w:val="23"/>
                <w:szCs w:val="23"/>
                <w:lang w:eastAsia="en-US"/>
              </w:rPr>
              <w:t>Miejsca pracy utworzone w wyniku realizacji projektu, lecz nie powodują wzrostu zatrudnienia w organizacji</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 xml:space="preserve">Liczba nowo utworzonych miejsc pracy - pozostałe formy </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A213BE">
              <w:rPr>
                <w:rFonts w:asciiTheme="minorHAnsi" w:eastAsiaTheme="minorHAnsi" w:hAnsiTheme="minorHAnsi" w:cstheme="minorBidi"/>
                <w:iCs/>
                <w:sz w:val="23"/>
                <w:szCs w:val="23"/>
                <w:lang w:eastAsia="en-US"/>
              </w:rPr>
              <w:t>Pozostałe formy</w:t>
            </w:r>
            <w:r w:rsidRPr="00A213BE">
              <w:rPr>
                <w:rFonts w:asciiTheme="minorHAnsi" w:eastAsiaTheme="minorHAnsi" w:hAnsiTheme="minorHAnsi" w:cs="Verdana"/>
                <w:sz w:val="23"/>
                <w:szCs w:val="23"/>
                <w:lang w:eastAsia="en-US"/>
              </w:rPr>
              <w:t xml:space="preserve">, np. umowy cywilnoprawne, miejsca pracy do obsługi projektu, nietrwałe miejsca pracy </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bl>
    <w:p w:rsidR="00EF0701" w:rsidRPr="009313DB" w:rsidRDefault="00EF0701" w:rsidP="00EF0701">
      <w:pPr>
        <w:spacing w:line="240" w:lineRule="auto"/>
        <w:rPr>
          <w:rFonts w:asciiTheme="minorHAnsi" w:hAnsiTheme="minorHAnsi" w:cs="Arial"/>
          <w:szCs w:val="22"/>
        </w:rPr>
      </w:pP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w:t>
      </w:r>
      <w:r w:rsidR="008522A0">
        <w:rPr>
          <w:rFonts w:asciiTheme="minorHAnsi" w:eastAsiaTheme="minorHAnsi" w:hAnsiTheme="minorHAnsi" w:cs="Arial"/>
          <w:szCs w:val="22"/>
          <w:lang w:eastAsia="en-US"/>
        </w:rPr>
        <w:t xml:space="preserve"> </w:t>
      </w:r>
      <w:r w:rsidR="008522A0" w:rsidRPr="00A213BE">
        <w:rPr>
          <w:rFonts w:asciiTheme="minorHAnsi" w:eastAsiaTheme="minorHAnsi" w:hAnsiTheme="minorHAnsi" w:cs="Arial"/>
          <w:szCs w:val="22"/>
          <w:lang w:eastAsia="en-US"/>
        </w:rPr>
        <w:t>oraz rezultatu bezpośredniego</w:t>
      </w:r>
      <w:r w:rsidR="008522A0">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8522A0">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8522A0">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8522A0"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r w:rsidR="008522A0">
        <w:rPr>
          <w:rFonts w:asciiTheme="minorHAnsi" w:hAnsiTheme="minorHAnsi" w:cs="Arial"/>
          <w:b/>
          <w:szCs w:val="22"/>
          <w:u w:val="single"/>
        </w:rPr>
        <w:t>:</w:t>
      </w:r>
    </w:p>
    <w:p w:rsidR="00EF0701" w:rsidRPr="009313DB" w:rsidRDefault="008522A0" w:rsidP="00EF0701">
      <w:pPr>
        <w:spacing w:line="240" w:lineRule="auto"/>
        <w:jc w:val="both"/>
        <w:rPr>
          <w:rFonts w:asciiTheme="minorHAnsi" w:hAnsiTheme="minorHAnsi" w:cs="Arial"/>
          <w:b/>
          <w:szCs w:val="22"/>
          <w:u w:val="single"/>
        </w:rPr>
      </w:pPr>
      <w:r>
        <w:rPr>
          <w:rFonts w:asciiTheme="minorHAnsi" w:hAnsiTheme="minorHAnsi" w:cs="Arial"/>
          <w:b/>
          <w:szCs w:val="22"/>
          <w:u w:val="single"/>
        </w:rPr>
        <w:t xml:space="preserve">a) </w:t>
      </w:r>
      <w:r w:rsidR="00EF0701" w:rsidRPr="009313DB">
        <w:rPr>
          <w:rFonts w:asciiTheme="minorHAnsi" w:hAnsiTheme="minorHAnsi" w:cs="Arial"/>
          <w:b/>
          <w:szCs w:val="22"/>
          <w:u w:val="single"/>
        </w:rPr>
        <w:t>w przypadku wskaźników produktu – w okresie od pod</w:t>
      </w:r>
      <w:r w:rsidR="00EF0701">
        <w:rPr>
          <w:rFonts w:asciiTheme="minorHAnsi" w:hAnsiTheme="minorHAnsi" w:cs="Arial"/>
          <w:b/>
          <w:szCs w:val="22"/>
          <w:u w:val="single"/>
        </w:rPr>
        <w:t>jęcia</w:t>
      </w:r>
      <w:r w:rsidR="00EF0701" w:rsidRPr="009313DB">
        <w:rPr>
          <w:rFonts w:asciiTheme="minorHAnsi" w:hAnsiTheme="minorHAnsi" w:cs="Arial"/>
          <w:b/>
          <w:szCs w:val="22"/>
          <w:u w:val="single"/>
        </w:rPr>
        <w:t xml:space="preserve"> </w:t>
      </w:r>
      <w:r w:rsidR="00EF0701">
        <w:rPr>
          <w:rFonts w:asciiTheme="minorHAnsi" w:hAnsiTheme="minorHAnsi" w:cs="Arial"/>
          <w:b/>
          <w:szCs w:val="22"/>
          <w:u w:val="single"/>
        </w:rPr>
        <w:t xml:space="preserve">decyzji </w:t>
      </w:r>
      <w:r w:rsidR="00EF0701" w:rsidRPr="009313DB">
        <w:rPr>
          <w:rFonts w:asciiTheme="minorHAnsi" w:hAnsiTheme="minorHAnsi" w:cs="Arial"/>
          <w:b/>
          <w:szCs w:val="22"/>
          <w:u w:val="single"/>
        </w:rPr>
        <w:t>o dofinansowani</w:t>
      </w:r>
      <w:r w:rsidR="00EF0701">
        <w:rPr>
          <w:rFonts w:asciiTheme="minorHAnsi" w:hAnsiTheme="minorHAnsi" w:cs="Arial"/>
          <w:b/>
          <w:szCs w:val="22"/>
          <w:u w:val="single"/>
        </w:rPr>
        <w:t>u</w:t>
      </w:r>
      <w:r w:rsidR="00EF0701" w:rsidRPr="009313DB">
        <w:rPr>
          <w:rFonts w:asciiTheme="minorHAnsi" w:hAnsiTheme="minorHAnsi" w:cs="Arial"/>
          <w:b/>
          <w:szCs w:val="22"/>
          <w:u w:val="single"/>
        </w:rPr>
        <w:t>, przy czym osiągnięte wartości powinny zostać wykazane najpóźniej</w:t>
      </w:r>
      <w:r w:rsidR="00EF0701">
        <w:rPr>
          <w:rFonts w:asciiTheme="minorHAnsi" w:hAnsiTheme="minorHAnsi" w:cs="Arial"/>
          <w:b/>
          <w:szCs w:val="22"/>
          <w:u w:val="single"/>
        </w:rPr>
        <w:t xml:space="preserve"> we wniosku o płatność końcową</w:t>
      </w:r>
      <w:r>
        <w:rPr>
          <w:rFonts w:asciiTheme="minorHAnsi" w:hAnsiTheme="minorHAnsi" w:cs="Arial"/>
          <w:b/>
          <w:szCs w:val="22"/>
          <w:u w:val="single"/>
        </w:rPr>
        <w:t>,</w:t>
      </w:r>
    </w:p>
    <w:p w:rsidR="008522A0" w:rsidRPr="00A213BE" w:rsidRDefault="008522A0" w:rsidP="008522A0">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8522A0" w:rsidRPr="00A213BE" w:rsidRDefault="008522A0" w:rsidP="008522A0">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8522A0" w:rsidRPr="00A213BE" w:rsidRDefault="008522A0" w:rsidP="008522A0">
      <w:pPr>
        <w:spacing w:line="240" w:lineRule="auto"/>
        <w:rPr>
          <w:rFonts w:asciiTheme="minorHAnsi" w:hAnsiTheme="minorHAnsi"/>
          <w:szCs w:val="22"/>
        </w:rPr>
      </w:pPr>
    </w:p>
    <w:p w:rsidR="006069D8" w:rsidRPr="009313DB" w:rsidRDefault="006069D8" w:rsidP="00EF0701">
      <w:pPr>
        <w:spacing w:line="240" w:lineRule="auto"/>
        <w:jc w:val="both"/>
        <w:rPr>
          <w:rFonts w:asciiTheme="minorHAnsi" w:hAnsiTheme="minorHAnsi"/>
          <w:szCs w:val="22"/>
        </w:rPr>
      </w:pPr>
    </w:p>
    <w:sectPr w:rsidR="006069D8" w:rsidRPr="009313DB" w:rsidSect="00E5693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F5" w:rsidRDefault="00B47AF5" w:rsidP="008C495E">
      <w:pPr>
        <w:spacing w:before="0" w:line="240" w:lineRule="auto"/>
      </w:pPr>
      <w:r>
        <w:separator/>
      </w:r>
    </w:p>
  </w:endnote>
  <w:endnote w:type="continuationSeparator" w:id="0">
    <w:p w:rsidR="00B47AF5" w:rsidRDefault="00B47AF5"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3841CA">
          <w:rPr>
            <w:noProof/>
          </w:rPr>
          <w:t>2</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F5" w:rsidRDefault="00B47AF5" w:rsidP="008C495E">
      <w:pPr>
        <w:spacing w:before="0" w:line="240" w:lineRule="auto"/>
      </w:pPr>
      <w:r>
        <w:separator/>
      </w:r>
    </w:p>
  </w:footnote>
  <w:footnote w:type="continuationSeparator" w:id="0">
    <w:p w:rsidR="00B47AF5" w:rsidRDefault="00B47AF5"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39" w:rsidRDefault="00E56939">
    <w:pPr>
      <w:pStyle w:val="Nagwek"/>
    </w:pPr>
    <w:r>
      <w:rPr>
        <w:noProof/>
      </w:rPr>
      <w:drawing>
        <wp:inline distT="0" distB="0" distL="0" distR="0" wp14:anchorId="770E6F0E" wp14:editId="7FC76863">
          <wp:extent cx="4968875" cy="61595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87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463A"/>
    <w:rsid w:val="000D7445"/>
    <w:rsid w:val="000E2863"/>
    <w:rsid w:val="000E3B57"/>
    <w:rsid w:val="00115219"/>
    <w:rsid w:val="001303DD"/>
    <w:rsid w:val="0014706D"/>
    <w:rsid w:val="001711EA"/>
    <w:rsid w:val="0017324E"/>
    <w:rsid w:val="001933BD"/>
    <w:rsid w:val="001962F1"/>
    <w:rsid w:val="001A3060"/>
    <w:rsid w:val="001A6364"/>
    <w:rsid w:val="001C0B15"/>
    <w:rsid w:val="001D1CFD"/>
    <w:rsid w:val="001F6BE0"/>
    <w:rsid w:val="0022505F"/>
    <w:rsid w:val="00243514"/>
    <w:rsid w:val="002442A5"/>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841CA"/>
    <w:rsid w:val="003B0F33"/>
    <w:rsid w:val="003B6ECB"/>
    <w:rsid w:val="003D3BC5"/>
    <w:rsid w:val="003D6A16"/>
    <w:rsid w:val="003F05D2"/>
    <w:rsid w:val="00401430"/>
    <w:rsid w:val="0040793D"/>
    <w:rsid w:val="0041266E"/>
    <w:rsid w:val="00467D2B"/>
    <w:rsid w:val="004839B2"/>
    <w:rsid w:val="00485478"/>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174"/>
    <w:rsid w:val="00644DA8"/>
    <w:rsid w:val="00650CA8"/>
    <w:rsid w:val="006743F9"/>
    <w:rsid w:val="00683D82"/>
    <w:rsid w:val="006C1D33"/>
    <w:rsid w:val="006C681F"/>
    <w:rsid w:val="006D1C52"/>
    <w:rsid w:val="006D5B52"/>
    <w:rsid w:val="006D5D7B"/>
    <w:rsid w:val="006F3E11"/>
    <w:rsid w:val="00717C18"/>
    <w:rsid w:val="0072798D"/>
    <w:rsid w:val="00741B27"/>
    <w:rsid w:val="00742D12"/>
    <w:rsid w:val="00743204"/>
    <w:rsid w:val="0075174F"/>
    <w:rsid w:val="0076413F"/>
    <w:rsid w:val="00766CF0"/>
    <w:rsid w:val="00787387"/>
    <w:rsid w:val="007C0883"/>
    <w:rsid w:val="007C3BCA"/>
    <w:rsid w:val="007D1CF1"/>
    <w:rsid w:val="007D6CF8"/>
    <w:rsid w:val="007E4BC2"/>
    <w:rsid w:val="007E6D53"/>
    <w:rsid w:val="00802B47"/>
    <w:rsid w:val="0081177D"/>
    <w:rsid w:val="00811CCD"/>
    <w:rsid w:val="0082525C"/>
    <w:rsid w:val="00837D34"/>
    <w:rsid w:val="00842A28"/>
    <w:rsid w:val="008522A0"/>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37234"/>
    <w:rsid w:val="00940E88"/>
    <w:rsid w:val="00955479"/>
    <w:rsid w:val="00964B79"/>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47AF5"/>
    <w:rsid w:val="00B80CE8"/>
    <w:rsid w:val="00B843EB"/>
    <w:rsid w:val="00B87D19"/>
    <w:rsid w:val="00BA4236"/>
    <w:rsid w:val="00BB238F"/>
    <w:rsid w:val="00BB7F60"/>
    <w:rsid w:val="00BD05BA"/>
    <w:rsid w:val="00BD70AD"/>
    <w:rsid w:val="00BE20B6"/>
    <w:rsid w:val="00BE3F33"/>
    <w:rsid w:val="00BE50EE"/>
    <w:rsid w:val="00C10532"/>
    <w:rsid w:val="00C36C6E"/>
    <w:rsid w:val="00C538A8"/>
    <w:rsid w:val="00C56E14"/>
    <w:rsid w:val="00C758A2"/>
    <w:rsid w:val="00CB485D"/>
    <w:rsid w:val="00CD21B1"/>
    <w:rsid w:val="00CF16E5"/>
    <w:rsid w:val="00D03CAB"/>
    <w:rsid w:val="00D052AB"/>
    <w:rsid w:val="00D173BC"/>
    <w:rsid w:val="00D3121B"/>
    <w:rsid w:val="00D43B43"/>
    <w:rsid w:val="00D75E86"/>
    <w:rsid w:val="00D770D6"/>
    <w:rsid w:val="00D82F7C"/>
    <w:rsid w:val="00D84B70"/>
    <w:rsid w:val="00D902BB"/>
    <w:rsid w:val="00D90C7A"/>
    <w:rsid w:val="00D9587E"/>
    <w:rsid w:val="00DA0E32"/>
    <w:rsid w:val="00DB2D42"/>
    <w:rsid w:val="00DB63A0"/>
    <w:rsid w:val="00DE68AF"/>
    <w:rsid w:val="00DF3CC5"/>
    <w:rsid w:val="00DF4DD2"/>
    <w:rsid w:val="00E07494"/>
    <w:rsid w:val="00E11D35"/>
    <w:rsid w:val="00E32852"/>
    <w:rsid w:val="00E55074"/>
    <w:rsid w:val="00E56939"/>
    <w:rsid w:val="00E604AF"/>
    <w:rsid w:val="00E61834"/>
    <w:rsid w:val="00E848C5"/>
    <w:rsid w:val="00E90CA0"/>
    <w:rsid w:val="00E91B8F"/>
    <w:rsid w:val="00EB0385"/>
    <w:rsid w:val="00EB6FAC"/>
    <w:rsid w:val="00EF0701"/>
    <w:rsid w:val="00EF6053"/>
    <w:rsid w:val="00F11756"/>
    <w:rsid w:val="00F30D7F"/>
    <w:rsid w:val="00F367D1"/>
    <w:rsid w:val="00F56A9A"/>
    <w:rsid w:val="00F7416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 w:type="paragraph" w:customStyle="1" w:styleId="USTustnpkodeksu">
    <w:name w:val="UST(§) – ust. (§ np. kodeksu)"/>
    <w:basedOn w:val="Normalny"/>
    <w:link w:val="USTustnpkodeksuZnak"/>
    <w:uiPriority w:val="99"/>
    <w:rsid w:val="006D1C52"/>
    <w:pPr>
      <w:suppressAutoHyphens/>
      <w:autoSpaceDE w:val="0"/>
      <w:autoSpaceDN w:val="0"/>
      <w:adjustRightInd w:val="0"/>
      <w:spacing w:before="0" w:line="360" w:lineRule="auto"/>
      <w:ind w:firstLine="510"/>
      <w:jc w:val="both"/>
    </w:pPr>
    <w:rPr>
      <w:rFonts w:ascii="Times" w:eastAsia="Calibri" w:hAnsi="Times"/>
      <w:sz w:val="20"/>
      <w:szCs w:val="22"/>
    </w:rPr>
  </w:style>
  <w:style w:type="character" w:customStyle="1" w:styleId="USTustnpkodeksuZnak">
    <w:name w:val="UST(§) – ust. (§ np. kodeksu) Znak"/>
    <w:link w:val="USTustnpkodeksu"/>
    <w:uiPriority w:val="99"/>
    <w:locked/>
    <w:rsid w:val="006D1C52"/>
    <w:rPr>
      <w:rFonts w:ascii="Times" w:eastAsia="Calibri" w:hAnsi="Times" w:cs="Times New Roman"/>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 w:type="paragraph" w:customStyle="1" w:styleId="USTustnpkodeksu">
    <w:name w:val="UST(§) – ust. (§ np. kodeksu)"/>
    <w:basedOn w:val="Normalny"/>
    <w:link w:val="USTustnpkodeksuZnak"/>
    <w:uiPriority w:val="99"/>
    <w:rsid w:val="006D1C52"/>
    <w:pPr>
      <w:suppressAutoHyphens/>
      <w:autoSpaceDE w:val="0"/>
      <w:autoSpaceDN w:val="0"/>
      <w:adjustRightInd w:val="0"/>
      <w:spacing w:before="0" w:line="360" w:lineRule="auto"/>
      <w:ind w:firstLine="510"/>
      <w:jc w:val="both"/>
    </w:pPr>
    <w:rPr>
      <w:rFonts w:ascii="Times" w:eastAsia="Calibri" w:hAnsi="Times"/>
      <w:sz w:val="20"/>
      <w:szCs w:val="22"/>
    </w:rPr>
  </w:style>
  <w:style w:type="character" w:customStyle="1" w:styleId="USTustnpkodeksuZnak">
    <w:name w:val="UST(§) – ust. (§ np. kodeksu) Znak"/>
    <w:link w:val="USTustnpkodeksu"/>
    <w:uiPriority w:val="99"/>
    <w:locked/>
    <w:rsid w:val="006D1C52"/>
    <w:rPr>
      <w:rFonts w:ascii="Times" w:eastAsia="Calibri" w:hAnsi="Times" w:cs="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65712015">
      <w:bodyDiv w:val="1"/>
      <w:marLeft w:val="0"/>
      <w:marRight w:val="0"/>
      <w:marTop w:val="0"/>
      <w:marBottom w:val="0"/>
      <w:divBdr>
        <w:top w:val="none" w:sz="0" w:space="0" w:color="auto"/>
        <w:left w:val="none" w:sz="0" w:space="0" w:color="auto"/>
        <w:bottom w:val="none" w:sz="0" w:space="0" w:color="auto"/>
        <w:right w:val="none" w:sz="0" w:space="0" w:color="auto"/>
      </w:divBdr>
      <w:divsChild>
        <w:div w:id="32582483">
          <w:marLeft w:val="0"/>
          <w:marRight w:val="0"/>
          <w:marTop w:val="0"/>
          <w:marBottom w:val="0"/>
          <w:divBdr>
            <w:top w:val="none" w:sz="0" w:space="0" w:color="auto"/>
            <w:left w:val="none" w:sz="0" w:space="0" w:color="auto"/>
            <w:bottom w:val="none" w:sz="0" w:space="0" w:color="auto"/>
            <w:right w:val="none" w:sz="0" w:space="0" w:color="auto"/>
          </w:divBdr>
        </w:div>
        <w:div w:id="459765493">
          <w:marLeft w:val="0"/>
          <w:marRight w:val="0"/>
          <w:marTop w:val="0"/>
          <w:marBottom w:val="0"/>
          <w:divBdr>
            <w:top w:val="none" w:sz="0" w:space="0" w:color="auto"/>
            <w:left w:val="none" w:sz="0" w:space="0" w:color="auto"/>
            <w:bottom w:val="none" w:sz="0" w:space="0" w:color="auto"/>
            <w:right w:val="none" w:sz="0" w:space="0" w:color="auto"/>
          </w:divBdr>
        </w:div>
        <w:div w:id="1158349359">
          <w:marLeft w:val="0"/>
          <w:marRight w:val="0"/>
          <w:marTop w:val="0"/>
          <w:marBottom w:val="0"/>
          <w:divBdr>
            <w:top w:val="none" w:sz="0" w:space="0" w:color="auto"/>
            <w:left w:val="none" w:sz="0" w:space="0" w:color="auto"/>
            <w:bottom w:val="none" w:sz="0" w:space="0" w:color="auto"/>
            <w:right w:val="none" w:sz="0" w:space="0" w:color="auto"/>
          </w:divBdr>
        </w:div>
        <w:div w:id="1564173278">
          <w:marLeft w:val="0"/>
          <w:marRight w:val="0"/>
          <w:marTop w:val="0"/>
          <w:marBottom w:val="0"/>
          <w:divBdr>
            <w:top w:val="none" w:sz="0" w:space="0" w:color="auto"/>
            <w:left w:val="none" w:sz="0" w:space="0" w:color="auto"/>
            <w:bottom w:val="none" w:sz="0" w:space="0" w:color="auto"/>
            <w:right w:val="none" w:sz="0" w:space="0" w:color="auto"/>
          </w:divBdr>
        </w:div>
        <w:div w:id="1540438685">
          <w:marLeft w:val="0"/>
          <w:marRight w:val="0"/>
          <w:marTop w:val="0"/>
          <w:marBottom w:val="0"/>
          <w:divBdr>
            <w:top w:val="none" w:sz="0" w:space="0" w:color="auto"/>
            <w:left w:val="none" w:sz="0" w:space="0" w:color="auto"/>
            <w:bottom w:val="none" w:sz="0" w:space="0" w:color="auto"/>
            <w:right w:val="none" w:sz="0" w:space="0" w:color="auto"/>
          </w:divBdr>
        </w:div>
        <w:div w:id="546258275">
          <w:marLeft w:val="0"/>
          <w:marRight w:val="0"/>
          <w:marTop w:val="0"/>
          <w:marBottom w:val="0"/>
          <w:divBdr>
            <w:top w:val="none" w:sz="0" w:space="0" w:color="auto"/>
            <w:left w:val="none" w:sz="0" w:space="0" w:color="auto"/>
            <w:bottom w:val="none" w:sz="0" w:space="0" w:color="auto"/>
            <w:right w:val="none" w:sz="0" w:space="0" w:color="auto"/>
          </w:divBdr>
        </w:div>
        <w:div w:id="723604053">
          <w:marLeft w:val="0"/>
          <w:marRight w:val="0"/>
          <w:marTop w:val="0"/>
          <w:marBottom w:val="0"/>
          <w:divBdr>
            <w:top w:val="none" w:sz="0" w:space="0" w:color="auto"/>
            <w:left w:val="none" w:sz="0" w:space="0" w:color="auto"/>
            <w:bottom w:val="none" w:sz="0" w:space="0" w:color="auto"/>
            <w:right w:val="none" w:sz="0" w:space="0" w:color="auto"/>
          </w:divBdr>
        </w:div>
        <w:div w:id="926110092">
          <w:marLeft w:val="0"/>
          <w:marRight w:val="0"/>
          <w:marTop w:val="0"/>
          <w:marBottom w:val="0"/>
          <w:divBdr>
            <w:top w:val="none" w:sz="0" w:space="0" w:color="auto"/>
            <w:left w:val="none" w:sz="0" w:space="0" w:color="auto"/>
            <w:bottom w:val="none" w:sz="0" w:space="0" w:color="auto"/>
            <w:right w:val="none" w:sz="0" w:space="0" w:color="auto"/>
          </w:divBdr>
        </w:div>
        <w:div w:id="393085886">
          <w:marLeft w:val="0"/>
          <w:marRight w:val="0"/>
          <w:marTop w:val="0"/>
          <w:marBottom w:val="0"/>
          <w:divBdr>
            <w:top w:val="none" w:sz="0" w:space="0" w:color="auto"/>
            <w:left w:val="none" w:sz="0" w:space="0" w:color="auto"/>
            <w:bottom w:val="none" w:sz="0" w:space="0" w:color="auto"/>
            <w:right w:val="none" w:sz="0" w:space="0" w:color="auto"/>
          </w:divBdr>
        </w:div>
        <w:div w:id="665863807">
          <w:marLeft w:val="0"/>
          <w:marRight w:val="0"/>
          <w:marTop w:val="0"/>
          <w:marBottom w:val="0"/>
          <w:divBdr>
            <w:top w:val="none" w:sz="0" w:space="0" w:color="auto"/>
            <w:left w:val="none" w:sz="0" w:space="0" w:color="auto"/>
            <w:bottom w:val="none" w:sz="0" w:space="0" w:color="auto"/>
            <w:right w:val="none" w:sz="0" w:space="0" w:color="auto"/>
          </w:divBdr>
        </w:div>
        <w:div w:id="345137355">
          <w:marLeft w:val="0"/>
          <w:marRight w:val="0"/>
          <w:marTop w:val="0"/>
          <w:marBottom w:val="0"/>
          <w:divBdr>
            <w:top w:val="none" w:sz="0" w:space="0" w:color="auto"/>
            <w:left w:val="none" w:sz="0" w:space="0" w:color="auto"/>
            <w:bottom w:val="none" w:sz="0" w:space="0" w:color="auto"/>
            <w:right w:val="none" w:sz="0" w:space="0" w:color="auto"/>
          </w:divBdr>
        </w:div>
        <w:div w:id="14500907">
          <w:marLeft w:val="0"/>
          <w:marRight w:val="0"/>
          <w:marTop w:val="0"/>
          <w:marBottom w:val="0"/>
          <w:divBdr>
            <w:top w:val="none" w:sz="0" w:space="0" w:color="auto"/>
            <w:left w:val="none" w:sz="0" w:space="0" w:color="auto"/>
            <w:bottom w:val="none" w:sz="0" w:space="0" w:color="auto"/>
            <w:right w:val="none" w:sz="0" w:space="0" w:color="auto"/>
          </w:divBdr>
        </w:div>
        <w:div w:id="801074348">
          <w:marLeft w:val="0"/>
          <w:marRight w:val="0"/>
          <w:marTop w:val="0"/>
          <w:marBottom w:val="0"/>
          <w:divBdr>
            <w:top w:val="none" w:sz="0" w:space="0" w:color="auto"/>
            <w:left w:val="none" w:sz="0" w:space="0" w:color="auto"/>
            <w:bottom w:val="none" w:sz="0" w:space="0" w:color="auto"/>
            <w:right w:val="none" w:sz="0" w:space="0" w:color="auto"/>
          </w:divBdr>
        </w:div>
        <w:div w:id="971784706">
          <w:marLeft w:val="0"/>
          <w:marRight w:val="0"/>
          <w:marTop w:val="0"/>
          <w:marBottom w:val="0"/>
          <w:divBdr>
            <w:top w:val="none" w:sz="0" w:space="0" w:color="auto"/>
            <w:left w:val="none" w:sz="0" w:space="0" w:color="auto"/>
            <w:bottom w:val="none" w:sz="0" w:space="0" w:color="auto"/>
            <w:right w:val="none" w:sz="0" w:space="0" w:color="auto"/>
          </w:divBdr>
        </w:div>
        <w:div w:id="1492409973">
          <w:marLeft w:val="0"/>
          <w:marRight w:val="0"/>
          <w:marTop w:val="0"/>
          <w:marBottom w:val="0"/>
          <w:divBdr>
            <w:top w:val="none" w:sz="0" w:space="0" w:color="auto"/>
            <w:left w:val="none" w:sz="0" w:space="0" w:color="auto"/>
            <w:bottom w:val="none" w:sz="0" w:space="0" w:color="auto"/>
            <w:right w:val="none" w:sz="0" w:space="0" w:color="auto"/>
          </w:divBdr>
        </w:div>
        <w:div w:id="1631282716">
          <w:marLeft w:val="0"/>
          <w:marRight w:val="0"/>
          <w:marTop w:val="0"/>
          <w:marBottom w:val="0"/>
          <w:divBdr>
            <w:top w:val="none" w:sz="0" w:space="0" w:color="auto"/>
            <w:left w:val="none" w:sz="0" w:space="0" w:color="auto"/>
            <w:bottom w:val="none" w:sz="0" w:space="0" w:color="auto"/>
            <w:right w:val="none" w:sz="0" w:space="0" w:color="auto"/>
          </w:divBdr>
        </w:div>
        <w:div w:id="1705864111">
          <w:marLeft w:val="0"/>
          <w:marRight w:val="0"/>
          <w:marTop w:val="0"/>
          <w:marBottom w:val="0"/>
          <w:divBdr>
            <w:top w:val="none" w:sz="0" w:space="0" w:color="auto"/>
            <w:left w:val="none" w:sz="0" w:space="0" w:color="auto"/>
            <w:bottom w:val="none" w:sz="0" w:space="0" w:color="auto"/>
            <w:right w:val="none" w:sz="0" w:space="0" w:color="auto"/>
          </w:divBdr>
        </w:div>
        <w:div w:id="1309821505">
          <w:marLeft w:val="0"/>
          <w:marRight w:val="0"/>
          <w:marTop w:val="0"/>
          <w:marBottom w:val="0"/>
          <w:divBdr>
            <w:top w:val="none" w:sz="0" w:space="0" w:color="auto"/>
            <w:left w:val="none" w:sz="0" w:space="0" w:color="auto"/>
            <w:bottom w:val="none" w:sz="0" w:space="0" w:color="auto"/>
            <w:right w:val="none" w:sz="0" w:space="0" w:color="auto"/>
          </w:divBdr>
        </w:div>
        <w:div w:id="829758394">
          <w:marLeft w:val="0"/>
          <w:marRight w:val="0"/>
          <w:marTop w:val="0"/>
          <w:marBottom w:val="0"/>
          <w:divBdr>
            <w:top w:val="none" w:sz="0" w:space="0" w:color="auto"/>
            <w:left w:val="none" w:sz="0" w:space="0" w:color="auto"/>
            <w:bottom w:val="none" w:sz="0" w:space="0" w:color="auto"/>
            <w:right w:val="none" w:sz="0" w:space="0" w:color="auto"/>
          </w:divBdr>
        </w:div>
        <w:div w:id="891842805">
          <w:marLeft w:val="0"/>
          <w:marRight w:val="0"/>
          <w:marTop w:val="0"/>
          <w:marBottom w:val="0"/>
          <w:divBdr>
            <w:top w:val="none" w:sz="0" w:space="0" w:color="auto"/>
            <w:left w:val="none" w:sz="0" w:space="0" w:color="auto"/>
            <w:bottom w:val="none" w:sz="0" w:space="0" w:color="auto"/>
            <w:right w:val="none" w:sz="0" w:space="0" w:color="auto"/>
          </w:divBdr>
        </w:div>
        <w:div w:id="337316232">
          <w:marLeft w:val="0"/>
          <w:marRight w:val="0"/>
          <w:marTop w:val="0"/>
          <w:marBottom w:val="0"/>
          <w:divBdr>
            <w:top w:val="none" w:sz="0" w:space="0" w:color="auto"/>
            <w:left w:val="none" w:sz="0" w:space="0" w:color="auto"/>
            <w:bottom w:val="none" w:sz="0" w:space="0" w:color="auto"/>
            <w:right w:val="none" w:sz="0" w:space="0" w:color="auto"/>
          </w:divBdr>
        </w:div>
        <w:div w:id="798378785">
          <w:marLeft w:val="0"/>
          <w:marRight w:val="0"/>
          <w:marTop w:val="0"/>
          <w:marBottom w:val="0"/>
          <w:divBdr>
            <w:top w:val="none" w:sz="0" w:space="0" w:color="auto"/>
            <w:left w:val="none" w:sz="0" w:space="0" w:color="auto"/>
            <w:bottom w:val="none" w:sz="0" w:space="0" w:color="auto"/>
            <w:right w:val="none" w:sz="0" w:space="0" w:color="auto"/>
          </w:divBdr>
        </w:div>
        <w:div w:id="1346711688">
          <w:marLeft w:val="0"/>
          <w:marRight w:val="0"/>
          <w:marTop w:val="0"/>
          <w:marBottom w:val="0"/>
          <w:divBdr>
            <w:top w:val="none" w:sz="0" w:space="0" w:color="auto"/>
            <w:left w:val="none" w:sz="0" w:space="0" w:color="auto"/>
            <w:bottom w:val="none" w:sz="0" w:space="0" w:color="auto"/>
            <w:right w:val="none" w:sz="0" w:space="0" w:color="auto"/>
          </w:divBdr>
        </w:div>
        <w:div w:id="1592202867">
          <w:marLeft w:val="0"/>
          <w:marRight w:val="0"/>
          <w:marTop w:val="0"/>
          <w:marBottom w:val="0"/>
          <w:divBdr>
            <w:top w:val="none" w:sz="0" w:space="0" w:color="auto"/>
            <w:left w:val="none" w:sz="0" w:space="0" w:color="auto"/>
            <w:bottom w:val="none" w:sz="0" w:space="0" w:color="auto"/>
            <w:right w:val="none" w:sz="0" w:space="0" w:color="auto"/>
          </w:divBdr>
        </w:div>
        <w:div w:id="1066368895">
          <w:marLeft w:val="0"/>
          <w:marRight w:val="0"/>
          <w:marTop w:val="0"/>
          <w:marBottom w:val="0"/>
          <w:divBdr>
            <w:top w:val="none" w:sz="0" w:space="0" w:color="auto"/>
            <w:left w:val="none" w:sz="0" w:space="0" w:color="auto"/>
            <w:bottom w:val="none" w:sz="0" w:space="0" w:color="auto"/>
            <w:right w:val="none" w:sz="0" w:space="0" w:color="auto"/>
          </w:divBdr>
        </w:div>
        <w:div w:id="1599170907">
          <w:marLeft w:val="0"/>
          <w:marRight w:val="0"/>
          <w:marTop w:val="0"/>
          <w:marBottom w:val="0"/>
          <w:divBdr>
            <w:top w:val="none" w:sz="0" w:space="0" w:color="auto"/>
            <w:left w:val="none" w:sz="0" w:space="0" w:color="auto"/>
            <w:bottom w:val="none" w:sz="0" w:space="0" w:color="auto"/>
            <w:right w:val="none" w:sz="0" w:space="0" w:color="auto"/>
          </w:divBdr>
        </w:div>
        <w:div w:id="1737627166">
          <w:marLeft w:val="0"/>
          <w:marRight w:val="0"/>
          <w:marTop w:val="0"/>
          <w:marBottom w:val="0"/>
          <w:divBdr>
            <w:top w:val="none" w:sz="0" w:space="0" w:color="auto"/>
            <w:left w:val="none" w:sz="0" w:space="0" w:color="auto"/>
            <w:bottom w:val="none" w:sz="0" w:space="0" w:color="auto"/>
            <w:right w:val="none" w:sz="0" w:space="0" w:color="auto"/>
          </w:divBdr>
        </w:div>
        <w:div w:id="10284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754B-7971-4F18-BB9B-AAFFD7A1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2757</Words>
  <Characters>16545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5</cp:revision>
  <cp:lastPrinted>2016-09-28T09:21:00Z</cp:lastPrinted>
  <dcterms:created xsi:type="dcterms:W3CDTF">2016-10-04T12:57:00Z</dcterms:created>
  <dcterms:modified xsi:type="dcterms:W3CDTF">2016-10-05T05:04:00Z</dcterms:modified>
</cp:coreProperties>
</file>